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E0" w:rsidRDefault="00DD66E0" w:rsidP="00E042A4">
      <w:pPr>
        <w:spacing w:after="0" w:line="360" w:lineRule="auto"/>
        <w:jc w:val="center"/>
        <w:rPr>
          <w:rFonts w:ascii="Arial" w:hAnsi="Arial" w:cs="Arial"/>
          <w:sz w:val="40"/>
          <w:szCs w:val="40"/>
        </w:rPr>
      </w:pPr>
    </w:p>
    <w:p w:rsidR="00DD66E0" w:rsidRDefault="00DD66E0" w:rsidP="00E042A4">
      <w:pPr>
        <w:spacing w:after="0" w:line="360" w:lineRule="auto"/>
        <w:jc w:val="center"/>
        <w:rPr>
          <w:rFonts w:ascii="Arial" w:hAnsi="Arial" w:cs="Arial"/>
          <w:sz w:val="40"/>
          <w:szCs w:val="40"/>
        </w:rPr>
      </w:pPr>
    </w:p>
    <w:p w:rsidR="00DD66E0" w:rsidRDefault="00DD66E0" w:rsidP="00E042A4">
      <w:pPr>
        <w:spacing w:after="0" w:line="360" w:lineRule="auto"/>
        <w:jc w:val="center"/>
        <w:rPr>
          <w:rFonts w:ascii="Arial" w:hAnsi="Arial" w:cs="Arial"/>
          <w:sz w:val="40"/>
          <w:szCs w:val="40"/>
        </w:rPr>
      </w:pPr>
    </w:p>
    <w:p w:rsidR="00D837AE" w:rsidRPr="003A4964" w:rsidRDefault="00D837AE" w:rsidP="00E042A4">
      <w:pPr>
        <w:spacing w:after="0" w:line="360" w:lineRule="auto"/>
        <w:jc w:val="center"/>
        <w:rPr>
          <w:rFonts w:ascii="Arial" w:hAnsi="Arial" w:cs="Arial"/>
          <w:sz w:val="40"/>
          <w:szCs w:val="40"/>
        </w:rPr>
      </w:pPr>
      <w:r w:rsidRPr="003A4964">
        <w:rPr>
          <w:rFonts w:ascii="Arial" w:hAnsi="Arial" w:cs="Arial"/>
          <w:sz w:val="40"/>
          <w:szCs w:val="40"/>
        </w:rPr>
        <w:t>A vueltas con la prescripción del IVA: la declaración resumen anual y la Resolución del TEAC de 22 de septiembre de 2016</w:t>
      </w:r>
    </w:p>
    <w:p w:rsidR="00D837AE" w:rsidRPr="00E042A4" w:rsidRDefault="00D837AE" w:rsidP="00E042A4">
      <w:pPr>
        <w:pStyle w:val="Sangradetextonormal"/>
        <w:spacing w:after="0" w:line="360" w:lineRule="auto"/>
        <w:ind w:left="0"/>
        <w:jc w:val="center"/>
        <w:rPr>
          <w:rFonts w:ascii="Arial" w:hAnsi="Arial" w:cs="Arial"/>
          <w:lang w:val="pt-PT"/>
        </w:rPr>
      </w:pPr>
    </w:p>
    <w:p w:rsidR="00D837AE" w:rsidRPr="00E042A4" w:rsidRDefault="00D837AE" w:rsidP="00E042A4">
      <w:pPr>
        <w:pStyle w:val="Sangradetextonormal"/>
        <w:spacing w:after="0" w:line="360" w:lineRule="auto"/>
        <w:ind w:left="0"/>
        <w:jc w:val="center"/>
        <w:rPr>
          <w:rFonts w:ascii="Arial" w:hAnsi="Arial" w:cs="Arial"/>
          <w:lang w:val="pt-PT"/>
        </w:rPr>
      </w:pPr>
      <w:r w:rsidRPr="00E042A4">
        <w:rPr>
          <w:rFonts w:ascii="Arial" w:hAnsi="Arial" w:cs="Arial"/>
          <w:lang w:val="pt-PT"/>
        </w:rPr>
        <w:t>por</w:t>
      </w:r>
    </w:p>
    <w:p w:rsidR="00D837AE" w:rsidRPr="00E042A4" w:rsidRDefault="00D837AE" w:rsidP="00E042A4">
      <w:pPr>
        <w:pStyle w:val="Sangradetextonormal"/>
        <w:spacing w:after="0" w:line="360" w:lineRule="auto"/>
        <w:ind w:left="0"/>
        <w:jc w:val="center"/>
        <w:rPr>
          <w:rFonts w:ascii="Arial" w:hAnsi="Arial" w:cs="Arial"/>
          <w:lang w:val="pt-PT"/>
        </w:rPr>
      </w:pPr>
    </w:p>
    <w:p w:rsidR="00D837AE" w:rsidRPr="00E042A4" w:rsidRDefault="00D837AE" w:rsidP="00E042A4">
      <w:pPr>
        <w:pStyle w:val="Sangradetextonormal"/>
        <w:spacing w:after="0" w:line="360" w:lineRule="auto"/>
        <w:ind w:left="0"/>
        <w:jc w:val="center"/>
        <w:rPr>
          <w:rFonts w:ascii="Arial" w:hAnsi="Arial" w:cs="Arial"/>
          <w:lang w:val="pt-PT"/>
        </w:rPr>
      </w:pPr>
    </w:p>
    <w:p w:rsidR="00D837AE" w:rsidRPr="00E042A4" w:rsidRDefault="00D837AE" w:rsidP="00E042A4">
      <w:pPr>
        <w:pStyle w:val="Sangradetextonormal"/>
        <w:spacing w:after="0" w:line="360" w:lineRule="auto"/>
        <w:ind w:left="0"/>
        <w:jc w:val="center"/>
        <w:rPr>
          <w:rFonts w:ascii="Arial" w:hAnsi="Arial" w:cs="Arial"/>
          <w:i/>
          <w:lang w:val="pt-PT"/>
        </w:rPr>
      </w:pPr>
    </w:p>
    <w:p w:rsidR="00D837AE" w:rsidRPr="00E042A4" w:rsidRDefault="00D837AE" w:rsidP="00E042A4">
      <w:pPr>
        <w:pStyle w:val="Sangradetextonormal"/>
        <w:spacing w:after="0" w:line="360" w:lineRule="auto"/>
        <w:ind w:left="0"/>
        <w:jc w:val="center"/>
        <w:rPr>
          <w:rFonts w:ascii="Arial" w:hAnsi="Arial" w:cs="Arial"/>
          <w:i/>
          <w:lang w:val="pt-PT"/>
        </w:rPr>
      </w:pPr>
      <w:r w:rsidRPr="00E042A4">
        <w:rPr>
          <w:rFonts w:ascii="Arial" w:hAnsi="Arial" w:cs="Arial"/>
          <w:i/>
          <w:lang w:val="pt-PT"/>
        </w:rPr>
        <w:t>José Miguel Martínez-Carrasco Pignatelli</w:t>
      </w:r>
    </w:p>
    <w:p w:rsidR="00D837AE" w:rsidRPr="00E042A4" w:rsidRDefault="00D837AE" w:rsidP="00E042A4">
      <w:pPr>
        <w:pStyle w:val="Sangradetextonormal"/>
        <w:spacing w:after="0" w:line="360" w:lineRule="auto"/>
        <w:ind w:left="0"/>
        <w:jc w:val="center"/>
        <w:rPr>
          <w:rFonts w:ascii="Arial" w:hAnsi="Arial" w:cs="Arial"/>
          <w:iCs/>
        </w:rPr>
      </w:pPr>
      <w:r w:rsidRPr="00E042A4">
        <w:rPr>
          <w:rFonts w:ascii="Arial" w:hAnsi="Arial" w:cs="Arial"/>
          <w:iCs/>
        </w:rPr>
        <w:t>Profesor Titular Universidad</w:t>
      </w:r>
    </w:p>
    <w:p w:rsidR="00D837AE" w:rsidRPr="00E042A4" w:rsidRDefault="00D837AE" w:rsidP="00E042A4">
      <w:pPr>
        <w:pStyle w:val="Sangradetextonormal"/>
        <w:spacing w:after="0" w:line="360" w:lineRule="auto"/>
        <w:ind w:left="0"/>
        <w:rPr>
          <w:rFonts w:ascii="Arial" w:hAnsi="Arial" w:cs="Arial"/>
        </w:rPr>
      </w:pPr>
      <w:r w:rsidRPr="00E042A4">
        <w:rPr>
          <w:rFonts w:ascii="Arial" w:hAnsi="Arial" w:cs="Arial"/>
        </w:rPr>
        <w:tab/>
      </w:r>
      <w:r w:rsidRPr="00E042A4">
        <w:rPr>
          <w:rFonts w:ascii="Arial" w:hAnsi="Arial" w:cs="Arial"/>
        </w:rPr>
        <w:tab/>
      </w:r>
      <w:r w:rsidRPr="00E042A4">
        <w:rPr>
          <w:rFonts w:ascii="Arial" w:hAnsi="Arial" w:cs="Arial"/>
        </w:rPr>
        <w:tab/>
      </w:r>
      <w:r w:rsidRPr="00E042A4">
        <w:rPr>
          <w:rFonts w:ascii="Arial" w:hAnsi="Arial" w:cs="Arial"/>
        </w:rPr>
        <w:tab/>
        <w:t>Derecho Financiero y Tributario</w:t>
      </w:r>
    </w:p>
    <w:p w:rsidR="00D837AE" w:rsidRPr="00E042A4" w:rsidRDefault="00D837AE" w:rsidP="00E042A4">
      <w:pPr>
        <w:pStyle w:val="Sangradetextonormal"/>
        <w:spacing w:after="0" w:line="360" w:lineRule="auto"/>
        <w:ind w:left="0"/>
        <w:jc w:val="center"/>
        <w:rPr>
          <w:rFonts w:ascii="Arial" w:hAnsi="Arial" w:cs="Arial"/>
        </w:rPr>
      </w:pPr>
      <w:r w:rsidRPr="00E042A4">
        <w:rPr>
          <w:rFonts w:ascii="Arial" w:hAnsi="Arial" w:cs="Arial"/>
        </w:rPr>
        <w:t>Universidad Autónoma de Barcelona</w:t>
      </w:r>
    </w:p>
    <w:p w:rsidR="00D837AE" w:rsidRPr="00E042A4" w:rsidRDefault="00D837AE" w:rsidP="00E042A4">
      <w:pPr>
        <w:pStyle w:val="Sangradetextonormal"/>
        <w:spacing w:after="0" w:line="360" w:lineRule="auto"/>
        <w:ind w:left="0"/>
        <w:jc w:val="center"/>
        <w:rPr>
          <w:rFonts w:ascii="Arial" w:hAnsi="Arial" w:cs="Arial"/>
        </w:rPr>
      </w:pPr>
    </w:p>
    <w:p w:rsidR="00D837AE" w:rsidRPr="00E042A4" w:rsidRDefault="00D837AE" w:rsidP="00E042A4">
      <w:pPr>
        <w:pStyle w:val="Sangradetextonormal"/>
        <w:spacing w:after="0" w:line="360" w:lineRule="auto"/>
        <w:ind w:left="0"/>
        <w:jc w:val="center"/>
        <w:rPr>
          <w:rFonts w:ascii="Arial" w:hAnsi="Arial" w:cs="Arial"/>
        </w:rPr>
      </w:pPr>
    </w:p>
    <w:p w:rsidR="00D837AE" w:rsidRPr="00E042A4" w:rsidRDefault="00D837AE" w:rsidP="00E042A4">
      <w:pPr>
        <w:pStyle w:val="Sangradetextonormal"/>
        <w:spacing w:after="0" w:line="360" w:lineRule="auto"/>
        <w:ind w:left="0"/>
        <w:jc w:val="center"/>
        <w:rPr>
          <w:rFonts w:ascii="Arial" w:hAnsi="Arial" w:cs="Arial"/>
        </w:rPr>
      </w:pPr>
    </w:p>
    <w:p w:rsidR="00D837AE" w:rsidRPr="00E042A4" w:rsidRDefault="00D837AE" w:rsidP="00E042A4">
      <w:pPr>
        <w:pStyle w:val="Sangradetextonormal"/>
        <w:spacing w:after="0" w:line="360" w:lineRule="auto"/>
        <w:ind w:left="0"/>
        <w:jc w:val="center"/>
        <w:rPr>
          <w:rFonts w:ascii="Arial" w:hAnsi="Arial" w:cs="Arial"/>
        </w:rPr>
      </w:pPr>
    </w:p>
    <w:p w:rsidR="00D837AE" w:rsidRPr="00E042A4" w:rsidRDefault="00D837AE" w:rsidP="00E042A4">
      <w:pPr>
        <w:pStyle w:val="Sangradetextonormal"/>
        <w:spacing w:after="0" w:line="360" w:lineRule="auto"/>
        <w:ind w:left="0"/>
        <w:jc w:val="center"/>
        <w:rPr>
          <w:rFonts w:ascii="Arial" w:hAnsi="Arial" w:cs="Arial"/>
        </w:rPr>
      </w:pPr>
    </w:p>
    <w:p w:rsidR="00D837AE" w:rsidRPr="00E042A4" w:rsidRDefault="00D837AE" w:rsidP="00E042A4">
      <w:pPr>
        <w:pStyle w:val="Sangradetextonormal"/>
        <w:spacing w:after="0" w:line="360" w:lineRule="auto"/>
        <w:ind w:left="0"/>
        <w:jc w:val="center"/>
        <w:rPr>
          <w:rFonts w:ascii="Arial" w:hAnsi="Arial" w:cs="Arial"/>
        </w:rPr>
      </w:pPr>
    </w:p>
    <w:p w:rsidR="00D837AE" w:rsidRPr="00E042A4" w:rsidRDefault="00D837AE" w:rsidP="00E042A4">
      <w:pPr>
        <w:pStyle w:val="Sangradetextonormal"/>
        <w:spacing w:after="0" w:line="360" w:lineRule="auto"/>
        <w:ind w:left="0"/>
        <w:jc w:val="center"/>
        <w:rPr>
          <w:rFonts w:ascii="Arial" w:hAnsi="Arial" w:cs="Arial"/>
          <w:b/>
        </w:rPr>
      </w:pPr>
      <w:r w:rsidRPr="00E042A4">
        <w:rPr>
          <w:rFonts w:ascii="Arial" w:hAnsi="Arial" w:cs="Arial"/>
        </w:rPr>
        <w:t xml:space="preserve">Barcelona, diciembre 2016 </w:t>
      </w:r>
    </w:p>
    <w:p w:rsidR="00D837AE" w:rsidRPr="00E042A4" w:rsidRDefault="00D837AE" w:rsidP="00E042A4">
      <w:pPr>
        <w:tabs>
          <w:tab w:val="left" w:pos="-720"/>
        </w:tabs>
        <w:suppressAutoHyphens/>
        <w:spacing w:after="0" w:line="360" w:lineRule="auto"/>
        <w:jc w:val="both"/>
        <w:rPr>
          <w:rFonts w:ascii="Arial" w:hAnsi="Arial" w:cs="Arial"/>
          <w:spacing w:val="-3"/>
          <w:u w:val="double"/>
        </w:rPr>
      </w:pPr>
    </w:p>
    <w:p w:rsidR="00D837AE" w:rsidRPr="00E042A4" w:rsidRDefault="00D837AE" w:rsidP="00E042A4">
      <w:pPr>
        <w:tabs>
          <w:tab w:val="left" w:pos="-720"/>
        </w:tabs>
        <w:suppressAutoHyphens/>
        <w:spacing w:after="0" w:line="360" w:lineRule="auto"/>
        <w:jc w:val="both"/>
        <w:rPr>
          <w:rFonts w:ascii="Arial" w:hAnsi="Arial" w:cs="Arial"/>
          <w:spacing w:val="-3"/>
          <w:u w:val="double"/>
        </w:rPr>
      </w:pPr>
    </w:p>
    <w:p w:rsidR="00D837AE" w:rsidRPr="00E042A4" w:rsidRDefault="00D837AE" w:rsidP="00E042A4">
      <w:pPr>
        <w:tabs>
          <w:tab w:val="left" w:pos="-720"/>
        </w:tabs>
        <w:suppressAutoHyphens/>
        <w:spacing w:after="0" w:line="360" w:lineRule="auto"/>
        <w:jc w:val="both"/>
        <w:rPr>
          <w:rFonts w:ascii="Arial" w:hAnsi="Arial" w:cs="Arial"/>
          <w:spacing w:val="-3"/>
          <w:u w:val="double"/>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D837AE" w:rsidRPr="00E042A4" w:rsidRDefault="00D837AE" w:rsidP="00E042A4">
      <w:pPr>
        <w:tabs>
          <w:tab w:val="right" w:pos="8504"/>
        </w:tabs>
        <w:spacing w:after="0" w:line="360" w:lineRule="auto"/>
        <w:jc w:val="both"/>
        <w:rPr>
          <w:rFonts w:ascii="Arial" w:hAnsi="Arial" w:cs="Arial"/>
        </w:rPr>
      </w:pPr>
    </w:p>
    <w:p w:rsidR="00647CE5" w:rsidRPr="003A4964" w:rsidRDefault="003A4964" w:rsidP="00E042A4">
      <w:pPr>
        <w:spacing w:after="0" w:line="360" w:lineRule="auto"/>
        <w:jc w:val="both"/>
        <w:rPr>
          <w:rFonts w:ascii="Arial" w:eastAsia="Times New Roman" w:hAnsi="Arial" w:cs="Arial"/>
          <w:lang w:eastAsia="es-ES"/>
        </w:rPr>
      </w:pPr>
      <w:r w:rsidRPr="003A4964">
        <w:rPr>
          <w:rFonts w:ascii="Arial" w:eastAsia="Times New Roman" w:hAnsi="Arial" w:cs="Arial"/>
          <w:u w:val="double"/>
          <w:lang w:eastAsia="es-ES"/>
        </w:rPr>
        <w:lastRenderedPageBreak/>
        <w:t>I</w:t>
      </w:r>
      <w:r w:rsidR="00647CE5" w:rsidRPr="003A4964">
        <w:rPr>
          <w:rFonts w:ascii="Arial" w:eastAsia="Times New Roman" w:hAnsi="Arial" w:cs="Arial"/>
          <w:lang w:eastAsia="es-ES"/>
        </w:rPr>
        <w:t xml:space="preserve">. </w:t>
      </w:r>
      <w:r w:rsidRPr="003A4964">
        <w:rPr>
          <w:rFonts w:ascii="Arial" w:eastAsia="Times New Roman" w:hAnsi="Arial" w:cs="Arial"/>
          <w:u w:val="double"/>
          <w:lang w:eastAsia="es-ES"/>
        </w:rPr>
        <w:t>INTRODUCCIÓN</w:t>
      </w:r>
      <w:r w:rsidR="00647CE5" w:rsidRPr="003A4964">
        <w:rPr>
          <w:rFonts w:ascii="Arial" w:eastAsia="Times New Roman" w:hAnsi="Arial" w:cs="Arial"/>
          <w:lang w:eastAsia="es-ES"/>
        </w:rPr>
        <w:t>.</w:t>
      </w:r>
    </w:p>
    <w:p w:rsidR="00647CE5" w:rsidRDefault="00647CE5" w:rsidP="00E042A4">
      <w:pPr>
        <w:spacing w:after="0" w:line="360" w:lineRule="auto"/>
        <w:jc w:val="both"/>
        <w:rPr>
          <w:rFonts w:ascii="Arial" w:eastAsia="Times New Roman" w:hAnsi="Arial" w:cs="Arial"/>
          <w:b/>
          <w:lang w:eastAsia="es-ES"/>
        </w:rPr>
      </w:pPr>
    </w:p>
    <w:p w:rsidR="003A4964" w:rsidRPr="00E042A4" w:rsidRDefault="003A4964" w:rsidP="003A496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El </w:t>
      </w:r>
      <w:r w:rsidRPr="00E042A4">
        <w:rPr>
          <w:rStyle w:val="Textoennegrita"/>
          <w:rFonts w:ascii="Arial" w:hAnsi="Arial" w:cs="Arial"/>
          <w:sz w:val="22"/>
          <w:szCs w:val="22"/>
        </w:rPr>
        <w:t xml:space="preserve">Tribunal Económico-Administrativo Central </w:t>
      </w:r>
      <w:r w:rsidRPr="00E042A4">
        <w:rPr>
          <w:rStyle w:val="Textoennegrita"/>
          <w:rFonts w:ascii="Arial" w:hAnsi="Arial" w:cs="Arial"/>
          <w:b w:val="0"/>
          <w:sz w:val="22"/>
          <w:szCs w:val="22"/>
        </w:rPr>
        <w:t>(</w:t>
      </w:r>
      <w:r w:rsidRPr="00E042A4">
        <w:rPr>
          <w:rStyle w:val="Textoennegrita"/>
          <w:rFonts w:ascii="Arial" w:hAnsi="Arial" w:cs="Arial"/>
          <w:sz w:val="22"/>
          <w:szCs w:val="22"/>
        </w:rPr>
        <w:t>TEAC</w:t>
      </w:r>
      <w:r w:rsidRPr="00E042A4">
        <w:rPr>
          <w:rStyle w:val="Textoennegrita"/>
          <w:rFonts w:ascii="Arial" w:hAnsi="Arial" w:cs="Arial"/>
          <w:b w:val="0"/>
          <w:sz w:val="22"/>
          <w:szCs w:val="22"/>
        </w:rPr>
        <w:t>)</w:t>
      </w:r>
      <w:r w:rsidRPr="00E042A4">
        <w:rPr>
          <w:rFonts w:ascii="Arial" w:hAnsi="Arial" w:cs="Arial"/>
          <w:sz w:val="22"/>
          <w:szCs w:val="22"/>
        </w:rPr>
        <w:t xml:space="preserve"> ha afirmado recientemente que la </w:t>
      </w:r>
      <w:r w:rsidRPr="00E042A4">
        <w:rPr>
          <w:rFonts w:ascii="Arial" w:hAnsi="Arial" w:cs="Arial"/>
          <w:b/>
          <w:sz w:val="22"/>
          <w:szCs w:val="22"/>
        </w:rPr>
        <w:t>declaración anual</w:t>
      </w:r>
      <w:r w:rsidRPr="00E042A4">
        <w:rPr>
          <w:rFonts w:ascii="Arial" w:hAnsi="Arial" w:cs="Arial"/>
          <w:sz w:val="22"/>
          <w:szCs w:val="22"/>
        </w:rPr>
        <w:t xml:space="preserve"> del </w:t>
      </w:r>
      <w:r w:rsidRPr="00E042A4">
        <w:rPr>
          <w:rFonts w:ascii="Arial" w:hAnsi="Arial" w:cs="Arial"/>
          <w:b/>
          <w:sz w:val="22"/>
          <w:szCs w:val="22"/>
        </w:rPr>
        <w:t>Impuesto sobre el Valor Añadido</w:t>
      </w:r>
      <w:r w:rsidRPr="00E042A4">
        <w:rPr>
          <w:rFonts w:ascii="Arial" w:hAnsi="Arial" w:cs="Arial"/>
          <w:sz w:val="22"/>
          <w:szCs w:val="22"/>
        </w:rPr>
        <w:t xml:space="preserve"> (</w:t>
      </w:r>
      <w:r w:rsidRPr="00E042A4">
        <w:rPr>
          <w:rFonts w:ascii="Arial" w:hAnsi="Arial" w:cs="Arial"/>
          <w:b/>
          <w:sz w:val="22"/>
          <w:szCs w:val="22"/>
        </w:rPr>
        <w:t>modelo 390</w:t>
      </w:r>
      <w:r w:rsidRPr="00E042A4">
        <w:rPr>
          <w:rFonts w:ascii="Arial" w:hAnsi="Arial" w:cs="Arial"/>
          <w:sz w:val="22"/>
          <w:szCs w:val="22"/>
        </w:rPr>
        <w:t>) resulta irrelevante en el cómputo del plazo de prescripción de las liquidaciones mensuales o trimestrales del impuesto. Esto es, el 390 no es causa de interrupción del cómputo del plazo de prescripción de cuatro años de que dispone la Hacienda Pública para determinar la deuda tributaria. Con ello, el plazo para investigar el impuesto se reduce sustancialmente.</w:t>
      </w:r>
    </w:p>
    <w:p w:rsidR="003A4964" w:rsidRPr="00E042A4" w:rsidRDefault="003A4964" w:rsidP="00E042A4">
      <w:pPr>
        <w:spacing w:after="0" w:line="360" w:lineRule="auto"/>
        <w:jc w:val="both"/>
        <w:rPr>
          <w:rFonts w:ascii="Arial" w:eastAsia="Times New Roman" w:hAnsi="Arial" w:cs="Arial"/>
          <w:b/>
          <w:lang w:eastAsia="es-ES"/>
        </w:rPr>
      </w:pPr>
    </w:p>
    <w:p w:rsidR="0083269B" w:rsidRPr="00E042A4" w:rsidRDefault="00D00923" w:rsidP="00E042A4">
      <w:pPr>
        <w:pStyle w:val="articulo"/>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Es sólito que la declaración del IVA de resumen anual (modelo 390) </w:t>
      </w:r>
      <w:r w:rsidR="00C20C55" w:rsidRPr="00E042A4">
        <w:rPr>
          <w:rFonts w:ascii="Arial" w:hAnsi="Arial" w:cs="Arial"/>
          <w:sz w:val="22"/>
          <w:szCs w:val="22"/>
        </w:rPr>
        <w:t xml:space="preserve">constituye una obligación formal, recapitulativa de los datos insertados por los obligados tributarios en sus autoliquidaciones mensuales o trimestrales presentadas a lo largo del año. </w:t>
      </w:r>
    </w:p>
    <w:p w:rsidR="0083269B" w:rsidRPr="00E042A4" w:rsidRDefault="0083269B" w:rsidP="00E042A4">
      <w:pPr>
        <w:pStyle w:val="articulo"/>
        <w:spacing w:before="0" w:beforeAutospacing="0" w:after="0" w:afterAutospacing="0" w:line="360" w:lineRule="auto"/>
        <w:jc w:val="both"/>
        <w:rPr>
          <w:rFonts w:ascii="Arial" w:hAnsi="Arial" w:cs="Arial"/>
          <w:sz w:val="22"/>
          <w:szCs w:val="22"/>
        </w:rPr>
      </w:pPr>
    </w:p>
    <w:p w:rsidR="0083269B" w:rsidRPr="00E042A4" w:rsidRDefault="0083269B" w:rsidP="00E042A4">
      <w:pPr>
        <w:pStyle w:val="articulo"/>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El deber de presentar dicha obligación formal trae causa de lo dispuesto en el </w:t>
      </w:r>
      <w:r w:rsidR="003A4964">
        <w:rPr>
          <w:rFonts w:ascii="Arial" w:hAnsi="Arial" w:cs="Arial"/>
          <w:sz w:val="22"/>
          <w:szCs w:val="22"/>
        </w:rPr>
        <w:t xml:space="preserve">          </w:t>
      </w:r>
      <w:hyperlink r:id="rId8" w:tooltip="LCEur\2006\3252" w:history="1">
        <w:r w:rsidRPr="00E042A4">
          <w:rPr>
            <w:rStyle w:val="Hipervnculo"/>
            <w:rFonts w:ascii="Arial" w:hAnsi="Arial" w:cs="Arial"/>
            <w:b/>
            <w:color w:val="auto"/>
            <w:sz w:val="22"/>
            <w:szCs w:val="22"/>
            <w:u w:val="none"/>
          </w:rPr>
          <w:t>art. 261.1</w:t>
        </w:r>
        <w:r w:rsidRPr="00E042A4">
          <w:rPr>
            <w:rStyle w:val="Hipervnculo"/>
            <w:rFonts w:ascii="Arial" w:hAnsi="Arial" w:cs="Arial"/>
            <w:color w:val="auto"/>
            <w:sz w:val="22"/>
            <w:szCs w:val="22"/>
            <w:u w:val="none"/>
          </w:rPr>
          <w:t> </w:t>
        </w:r>
      </w:hyperlink>
      <w:r w:rsidRPr="00E042A4">
        <w:rPr>
          <w:rFonts w:ascii="Arial" w:hAnsi="Arial" w:cs="Arial"/>
          <w:sz w:val="22"/>
          <w:szCs w:val="22"/>
        </w:rPr>
        <w:t xml:space="preserve">de la </w:t>
      </w:r>
      <w:hyperlink r:id="rId9" w:history="1">
        <w:r w:rsidRPr="00E042A4">
          <w:rPr>
            <w:rStyle w:val="Hipervnculo"/>
            <w:rFonts w:ascii="Arial" w:hAnsi="Arial" w:cs="Arial"/>
            <w:b/>
            <w:color w:val="auto"/>
            <w:sz w:val="22"/>
            <w:szCs w:val="22"/>
            <w:u w:val="none"/>
          </w:rPr>
          <w:t>Directiva 2006/112/CE</w:t>
        </w:r>
      </w:hyperlink>
      <w:r w:rsidRPr="00E042A4">
        <w:rPr>
          <w:rFonts w:ascii="Arial" w:hAnsi="Arial" w:cs="Arial"/>
          <w:sz w:val="22"/>
          <w:szCs w:val="22"/>
        </w:rPr>
        <w:t xml:space="preserve">, en virtud del cual: </w:t>
      </w:r>
    </w:p>
    <w:p w:rsidR="0083269B" w:rsidRPr="00E042A4" w:rsidRDefault="0083269B" w:rsidP="00E042A4">
      <w:pPr>
        <w:pStyle w:val="articulo"/>
        <w:spacing w:before="0" w:beforeAutospacing="0" w:after="0" w:afterAutospacing="0" w:line="360" w:lineRule="auto"/>
        <w:jc w:val="both"/>
        <w:rPr>
          <w:rFonts w:ascii="Arial" w:hAnsi="Arial" w:cs="Arial"/>
          <w:sz w:val="22"/>
          <w:szCs w:val="22"/>
        </w:rPr>
      </w:pPr>
    </w:p>
    <w:p w:rsidR="0083269B" w:rsidRPr="003A4964" w:rsidRDefault="0083269B" w:rsidP="003A4964">
      <w:pPr>
        <w:pStyle w:val="articulo"/>
        <w:spacing w:before="0" w:beforeAutospacing="0" w:after="0" w:afterAutospacing="0"/>
        <w:ind w:left="567" w:right="567"/>
        <w:jc w:val="both"/>
        <w:rPr>
          <w:rFonts w:ascii="Arial" w:hAnsi="Arial" w:cs="Arial"/>
          <w:i/>
          <w:sz w:val="20"/>
          <w:szCs w:val="20"/>
        </w:rPr>
      </w:pPr>
      <w:r w:rsidRPr="003A4964">
        <w:rPr>
          <w:rFonts w:ascii="Arial" w:hAnsi="Arial" w:cs="Arial"/>
          <w:i/>
          <w:sz w:val="20"/>
          <w:szCs w:val="20"/>
        </w:rPr>
        <w:t xml:space="preserve">“Los Estados miembros podrán exigir al sujeto pasivo que presente una declaración que incluya todos los datos mencionados en los artículos 250 y 251, relativa al conjunto de las operaciones efectuadas el año anterior. Esta declaración deberá incluir también todos los elementos necesarios para efectuar las posibles regularizaciones”. </w:t>
      </w:r>
    </w:p>
    <w:p w:rsidR="0083269B" w:rsidRPr="00E042A4" w:rsidRDefault="0083269B" w:rsidP="00E042A4">
      <w:pPr>
        <w:pStyle w:val="articulo"/>
        <w:spacing w:before="0" w:beforeAutospacing="0" w:after="0" w:afterAutospacing="0" w:line="360" w:lineRule="auto"/>
        <w:jc w:val="both"/>
        <w:rPr>
          <w:rFonts w:ascii="Arial" w:hAnsi="Arial" w:cs="Arial"/>
          <w:sz w:val="22"/>
          <w:szCs w:val="22"/>
        </w:rPr>
      </w:pPr>
    </w:p>
    <w:p w:rsidR="00D00923" w:rsidRPr="00E042A4" w:rsidRDefault="0083269B" w:rsidP="00E042A4">
      <w:pPr>
        <w:pStyle w:val="articulo"/>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En los mismos términos se pronuncia el </w:t>
      </w:r>
      <w:r w:rsidRPr="00E042A4">
        <w:rPr>
          <w:rFonts w:ascii="Arial" w:hAnsi="Arial" w:cs="Arial"/>
          <w:b/>
          <w:sz w:val="22"/>
          <w:szCs w:val="22"/>
        </w:rPr>
        <w:t>apdo. 6</w:t>
      </w:r>
      <w:r w:rsidRPr="00E042A4">
        <w:rPr>
          <w:rFonts w:ascii="Arial" w:hAnsi="Arial" w:cs="Arial"/>
          <w:sz w:val="22"/>
          <w:szCs w:val="22"/>
        </w:rPr>
        <w:t xml:space="preserve"> del  </w:t>
      </w:r>
      <w:hyperlink r:id="rId10" w:tooltip="LCEur\1977\138" w:history="1">
        <w:r w:rsidRPr="00E042A4">
          <w:rPr>
            <w:rStyle w:val="Hipervnculo"/>
            <w:rFonts w:ascii="Arial" w:hAnsi="Arial" w:cs="Arial"/>
            <w:b/>
            <w:color w:val="auto"/>
            <w:sz w:val="22"/>
            <w:szCs w:val="22"/>
            <w:u w:val="none"/>
          </w:rPr>
          <w:t>art. 22</w:t>
        </w:r>
        <w:r w:rsidRPr="00E042A4">
          <w:rPr>
            <w:rStyle w:val="Hipervnculo"/>
            <w:rFonts w:ascii="Arial" w:hAnsi="Arial" w:cs="Arial"/>
            <w:color w:val="auto"/>
            <w:sz w:val="22"/>
            <w:szCs w:val="22"/>
            <w:u w:val="none"/>
          </w:rPr>
          <w:t> </w:t>
        </w:r>
      </w:hyperlink>
      <w:r w:rsidRPr="00E042A4">
        <w:rPr>
          <w:rFonts w:ascii="Arial" w:hAnsi="Arial" w:cs="Arial"/>
          <w:sz w:val="22"/>
          <w:szCs w:val="22"/>
        </w:rPr>
        <w:t xml:space="preserve">de la </w:t>
      </w:r>
      <w:hyperlink r:id="rId11" w:history="1">
        <w:r w:rsidRPr="00E042A4">
          <w:rPr>
            <w:rStyle w:val="Hipervnculo"/>
            <w:rFonts w:ascii="Arial" w:hAnsi="Arial" w:cs="Arial"/>
            <w:b/>
            <w:color w:val="auto"/>
            <w:sz w:val="22"/>
            <w:szCs w:val="22"/>
            <w:u w:val="none"/>
          </w:rPr>
          <w:t>Sexta Directiva</w:t>
        </w:r>
      </w:hyperlink>
      <w:r w:rsidRPr="00E042A4">
        <w:rPr>
          <w:rFonts w:ascii="Arial" w:hAnsi="Arial" w:cs="Arial"/>
          <w:sz w:val="22"/>
          <w:szCs w:val="22"/>
        </w:rPr>
        <w:t>.</w:t>
      </w:r>
    </w:p>
    <w:p w:rsidR="00C20C55" w:rsidRPr="00E042A4" w:rsidRDefault="00C20C55" w:rsidP="00E042A4">
      <w:pPr>
        <w:pStyle w:val="articulo"/>
        <w:spacing w:before="0" w:beforeAutospacing="0" w:after="0" w:afterAutospacing="0" w:line="360" w:lineRule="auto"/>
        <w:jc w:val="both"/>
        <w:rPr>
          <w:rFonts w:ascii="Arial" w:hAnsi="Arial" w:cs="Arial"/>
          <w:sz w:val="22"/>
          <w:szCs w:val="22"/>
        </w:rPr>
      </w:pPr>
    </w:p>
    <w:p w:rsidR="00647CE5" w:rsidRPr="00E042A4" w:rsidRDefault="00C20C55" w:rsidP="00E042A4">
      <w:pPr>
        <w:pStyle w:val="articulo"/>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Pues bien. </w:t>
      </w:r>
      <w:r w:rsidR="00647CE5" w:rsidRPr="00E042A4">
        <w:rPr>
          <w:rFonts w:ascii="Arial" w:hAnsi="Arial" w:cs="Arial"/>
          <w:sz w:val="22"/>
          <w:szCs w:val="22"/>
        </w:rPr>
        <w:t xml:space="preserve">En su </w:t>
      </w:r>
      <w:r w:rsidR="00647CE5" w:rsidRPr="00E042A4">
        <w:rPr>
          <w:rFonts w:ascii="Arial" w:hAnsi="Arial" w:cs="Arial"/>
          <w:b/>
          <w:sz w:val="22"/>
          <w:szCs w:val="22"/>
        </w:rPr>
        <w:t>Resolución</w:t>
      </w:r>
      <w:r w:rsidR="00647CE5" w:rsidRPr="00E042A4">
        <w:rPr>
          <w:rFonts w:ascii="Arial" w:hAnsi="Arial" w:cs="Arial"/>
          <w:sz w:val="22"/>
          <w:szCs w:val="22"/>
        </w:rPr>
        <w:t xml:space="preserve"> de </w:t>
      </w:r>
      <w:r w:rsidR="00647CE5" w:rsidRPr="00E042A4">
        <w:rPr>
          <w:rFonts w:ascii="Arial" w:hAnsi="Arial" w:cs="Arial"/>
          <w:b/>
          <w:sz w:val="22"/>
          <w:szCs w:val="22"/>
        </w:rPr>
        <w:t>22 de septiembre</w:t>
      </w:r>
      <w:r w:rsidR="00647CE5" w:rsidRPr="00E042A4">
        <w:rPr>
          <w:rFonts w:ascii="Arial" w:hAnsi="Arial" w:cs="Arial"/>
          <w:sz w:val="22"/>
          <w:szCs w:val="22"/>
        </w:rPr>
        <w:t xml:space="preserve"> de </w:t>
      </w:r>
      <w:r w:rsidR="0083279B" w:rsidRPr="00E042A4">
        <w:rPr>
          <w:rFonts w:ascii="Arial" w:hAnsi="Arial" w:cs="Arial"/>
          <w:b/>
          <w:sz w:val="22"/>
          <w:szCs w:val="22"/>
        </w:rPr>
        <w:t>2016</w:t>
      </w:r>
      <w:r w:rsidR="0083279B" w:rsidRPr="00E042A4">
        <w:rPr>
          <w:rFonts w:ascii="Arial" w:hAnsi="Arial" w:cs="Arial"/>
          <w:sz w:val="22"/>
          <w:szCs w:val="22"/>
        </w:rPr>
        <w:t>,</w:t>
      </w:r>
      <w:r w:rsidR="0083279B" w:rsidRPr="00E042A4">
        <w:rPr>
          <w:rFonts w:ascii="Arial" w:hAnsi="Arial" w:cs="Arial"/>
          <w:b/>
          <w:sz w:val="22"/>
          <w:szCs w:val="22"/>
        </w:rPr>
        <w:t xml:space="preserve"> </w:t>
      </w:r>
      <w:r w:rsidR="00647CE5" w:rsidRPr="00E042A4">
        <w:rPr>
          <w:rFonts w:ascii="Arial" w:hAnsi="Arial" w:cs="Arial"/>
          <w:sz w:val="22"/>
          <w:szCs w:val="22"/>
        </w:rPr>
        <w:t xml:space="preserve">el </w:t>
      </w:r>
      <w:r w:rsidR="00647CE5" w:rsidRPr="00E042A4">
        <w:rPr>
          <w:rFonts w:ascii="Arial" w:hAnsi="Arial" w:cs="Arial"/>
          <w:b/>
          <w:sz w:val="22"/>
          <w:szCs w:val="22"/>
        </w:rPr>
        <w:t>T</w:t>
      </w:r>
      <w:r w:rsidR="00A022BF" w:rsidRPr="00E042A4">
        <w:rPr>
          <w:rFonts w:ascii="Arial" w:hAnsi="Arial" w:cs="Arial"/>
          <w:b/>
          <w:sz w:val="22"/>
          <w:szCs w:val="22"/>
        </w:rPr>
        <w:t>EAC</w:t>
      </w:r>
      <w:r w:rsidR="00647CE5" w:rsidRPr="00E042A4">
        <w:rPr>
          <w:rFonts w:ascii="Arial" w:hAnsi="Arial" w:cs="Arial"/>
          <w:b/>
          <w:sz w:val="22"/>
          <w:szCs w:val="22"/>
        </w:rPr>
        <w:t xml:space="preserve"> </w:t>
      </w:r>
      <w:r w:rsidR="00647CE5" w:rsidRPr="00E042A4">
        <w:rPr>
          <w:rFonts w:ascii="Arial" w:hAnsi="Arial" w:cs="Arial"/>
          <w:sz w:val="22"/>
          <w:szCs w:val="22"/>
        </w:rPr>
        <w:t xml:space="preserve">considera que siendo el resumen anual de </w:t>
      </w:r>
      <w:r w:rsidR="00FF1AC7" w:rsidRPr="00E042A4">
        <w:rPr>
          <w:rFonts w:ascii="Arial" w:hAnsi="Arial" w:cs="Arial"/>
          <w:sz w:val="22"/>
          <w:szCs w:val="22"/>
        </w:rPr>
        <w:t xml:space="preserve">IVA </w:t>
      </w:r>
      <w:r w:rsidR="00647CE5" w:rsidRPr="00E042A4">
        <w:rPr>
          <w:rFonts w:ascii="Arial" w:hAnsi="Arial" w:cs="Arial"/>
          <w:sz w:val="22"/>
          <w:szCs w:val="22"/>
        </w:rPr>
        <w:t xml:space="preserve">una declaración concebida únicamente para agilizar la gestión del impuesto, cuya finalidad no es el pago de la deuda resultante de la liquidación </w:t>
      </w:r>
      <w:r w:rsidR="00F137E6" w:rsidRPr="00E042A4">
        <w:rPr>
          <w:rFonts w:ascii="Arial" w:hAnsi="Arial" w:cs="Arial"/>
          <w:sz w:val="22"/>
          <w:szCs w:val="22"/>
        </w:rPr>
        <w:t xml:space="preserve">del impuesto en </w:t>
      </w:r>
      <w:r w:rsidR="00647CE5" w:rsidRPr="00E042A4">
        <w:rPr>
          <w:rFonts w:ascii="Arial" w:hAnsi="Arial" w:cs="Arial"/>
          <w:sz w:val="22"/>
          <w:szCs w:val="22"/>
        </w:rPr>
        <w:t xml:space="preserve">cada período impositivo (mensual o trimestral), ni constituye </w:t>
      </w:r>
      <w:r w:rsidR="002C5E45" w:rsidRPr="00E042A4">
        <w:rPr>
          <w:rFonts w:ascii="Arial" w:hAnsi="Arial" w:cs="Arial"/>
          <w:sz w:val="22"/>
          <w:szCs w:val="22"/>
        </w:rPr>
        <w:t xml:space="preserve">tampoco </w:t>
      </w:r>
      <w:r w:rsidR="00647CE5" w:rsidRPr="00E042A4">
        <w:rPr>
          <w:rFonts w:ascii="Arial" w:hAnsi="Arial" w:cs="Arial"/>
          <w:sz w:val="22"/>
          <w:szCs w:val="22"/>
        </w:rPr>
        <w:t xml:space="preserve">una </w:t>
      </w:r>
      <w:r w:rsidR="00647CE5" w:rsidRPr="00E042A4">
        <w:rPr>
          <w:rFonts w:ascii="Arial" w:hAnsi="Arial" w:cs="Arial"/>
          <w:i/>
          <w:sz w:val="22"/>
          <w:szCs w:val="22"/>
        </w:rPr>
        <w:t>actuación fehaciente del obligado tributario conducente a la liquidación o autoliquidación de la deuda tributaria</w:t>
      </w:r>
      <w:r w:rsidR="00647CE5" w:rsidRPr="00E042A4">
        <w:rPr>
          <w:rFonts w:ascii="Arial" w:hAnsi="Arial" w:cs="Arial"/>
          <w:sz w:val="22"/>
          <w:szCs w:val="22"/>
        </w:rPr>
        <w:t xml:space="preserve"> (pues nada se liquida), la presentación del modelo 390 no interrumpe el plazo de prescripción de cuatro años del derecho de la Administración para determinar la deuda tributaria (</w:t>
      </w:r>
      <w:r w:rsidR="00647CE5" w:rsidRPr="00E042A4">
        <w:rPr>
          <w:rFonts w:ascii="Arial" w:hAnsi="Arial" w:cs="Arial"/>
          <w:b/>
          <w:sz w:val="22"/>
          <w:szCs w:val="22"/>
        </w:rPr>
        <w:t>art. 68.1 c Ley 58/2003</w:t>
      </w:r>
      <w:r w:rsidR="00647CE5" w:rsidRPr="00E042A4">
        <w:rPr>
          <w:rFonts w:ascii="Arial" w:hAnsi="Arial" w:cs="Arial"/>
          <w:sz w:val="22"/>
          <w:szCs w:val="22"/>
        </w:rPr>
        <w:t xml:space="preserve">, </w:t>
      </w:r>
      <w:r w:rsidR="00647CE5" w:rsidRPr="00E042A4">
        <w:rPr>
          <w:rFonts w:ascii="Arial" w:hAnsi="Arial" w:cs="Arial"/>
          <w:b/>
          <w:sz w:val="22"/>
          <w:szCs w:val="22"/>
        </w:rPr>
        <w:t>General Tributaria</w:t>
      </w:r>
      <w:r w:rsidR="00647CE5" w:rsidRPr="00E042A4">
        <w:rPr>
          <w:rFonts w:ascii="Arial" w:hAnsi="Arial" w:cs="Arial"/>
          <w:sz w:val="22"/>
          <w:szCs w:val="22"/>
        </w:rPr>
        <w:t xml:space="preserve">, LGT). </w:t>
      </w:r>
    </w:p>
    <w:p w:rsidR="00647CE5" w:rsidRPr="00E042A4" w:rsidRDefault="00647CE5" w:rsidP="00E042A4">
      <w:pPr>
        <w:pStyle w:val="articulo"/>
        <w:spacing w:before="0" w:beforeAutospacing="0" w:after="0" w:afterAutospacing="0" w:line="360" w:lineRule="auto"/>
        <w:jc w:val="both"/>
        <w:rPr>
          <w:rFonts w:ascii="Arial" w:hAnsi="Arial" w:cs="Arial"/>
          <w:sz w:val="22"/>
          <w:szCs w:val="22"/>
        </w:rPr>
      </w:pPr>
    </w:p>
    <w:p w:rsidR="00647CE5" w:rsidRPr="00E042A4" w:rsidRDefault="00647CE5" w:rsidP="00E042A4">
      <w:pPr>
        <w:pStyle w:val="articulo"/>
        <w:spacing w:before="0" w:beforeAutospacing="0" w:after="0" w:afterAutospacing="0" w:line="360" w:lineRule="auto"/>
        <w:jc w:val="both"/>
        <w:rPr>
          <w:rFonts w:ascii="Arial" w:hAnsi="Arial" w:cs="Arial"/>
          <w:sz w:val="22"/>
          <w:szCs w:val="22"/>
        </w:rPr>
      </w:pPr>
      <w:r w:rsidRPr="00E042A4">
        <w:rPr>
          <w:rFonts w:ascii="Arial" w:hAnsi="Arial" w:cs="Arial"/>
          <w:sz w:val="22"/>
          <w:szCs w:val="22"/>
        </w:rPr>
        <w:t>En consecuencia, con arreglo a este criterio, cada período impositivo del IVA prescribe por el transcurso de cuatro años (</w:t>
      </w:r>
      <w:r w:rsidRPr="00E042A4">
        <w:rPr>
          <w:rFonts w:ascii="Arial" w:hAnsi="Arial" w:cs="Arial"/>
          <w:b/>
          <w:sz w:val="22"/>
          <w:szCs w:val="22"/>
        </w:rPr>
        <w:t>art. 66 a LGT</w:t>
      </w:r>
      <w:r w:rsidRPr="00E042A4">
        <w:rPr>
          <w:rFonts w:ascii="Arial" w:hAnsi="Arial" w:cs="Arial"/>
          <w:sz w:val="22"/>
          <w:szCs w:val="22"/>
        </w:rPr>
        <w:t>) a contar desde la finalización del plazo de presentación de la autoliquidación correspondiente (</w:t>
      </w:r>
      <w:r w:rsidRPr="00E042A4">
        <w:rPr>
          <w:rFonts w:ascii="Arial" w:hAnsi="Arial" w:cs="Arial"/>
          <w:b/>
          <w:sz w:val="22"/>
          <w:szCs w:val="22"/>
        </w:rPr>
        <w:t>art. 67.1 LGT</w:t>
      </w:r>
      <w:r w:rsidRPr="00E042A4">
        <w:rPr>
          <w:rFonts w:ascii="Arial" w:hAnsi="Arial" w:cs="Arial"/>
          <w:sz w:val="22"/>
          <w:szCs w:val="22"/>
        </w:rPr>
        <w:t>).</w:t>
      </w:r>
    </w:p>
    <w:p w:rsidR="00647CE5" w:rsidRPr="00E042A4" w:rsidRDefault="00647CE5" w:rsidP="00E042A4">
      <w:pPr>
        <w:pStyle w:val="articulo"/>
        <w:spacing w:before="0" w:beforeAutospacing="0" w:after="0" w:afterAutospacing="0" w:line="360" w:lineRule="auto"/>
        <w:jc w:val="both"/>
        <w:rPr>
          <w:rFonts w:ascii="Arial" w:hAnsi="Arial" w:cs="Arial"/>
          <w:sz w:val="22"/>
          <w:szCs w:val="22"/>
        </w:rPr>
      </w:pPr>
    </w:p>
    <w:p w:rsidR="003C12A2" w:rsidRPr="00E042A4" w:rsidRDefault="003A4964" w:rsidP="00E042A4">
      <w:pPr>
        <w:spacing w:after="0" w:line="360" w:lineRule="auto"/>
        <w:jc w:val="both"/>
        <w:rPr>
          <w:rFonts w:ascii="Arial" w:eastAsia="Times New Roman" w:hAnsi="Arial" w:cs="Arial"/>
          <w:b/>
          <w:lang w:eastAsia="es-ES"/>
        </w:rPr>
      </w:pPr>
      <w:r w:rsidRPr="003A4964">
        <w:rPr>
          <w:rFonts w:ascii="Arial" w:eastAsia="Times New Roman" w:hAnsi="Arial" w:cs="Arial"/>
          <w:u w:val="double"/>
          <w:lang w:eastAsia="es-ES"/>
        </w:rPr>
        <w:lastRenderedPageBreak/>
        <w:t>II</w:t>
      </w:r>
      <w:r w:rsidR="003C12A2" w:rsidRPr="003A4964">
        <w:rPr>
          <w:rFonts w:ascii="Arial" w:eastAsia="Times New Roman" w:hAnsi="Arial" w:cs="Arial"/>
          <w:lang w:eastAsia="es-ES"/>
        </w:rPr>
        <w:t xml:space="preserve">. </w:t>
      </w:r>
      <w:r w:rsidRPr="003A4964">
        <w:rPr>
          <w:rFonts w:ascii="Arial" w:eastAsia="Times New Roman" w:hAnsi="Arial" w:cs="Arial"/>
          <w:u w:val="double"/>
          <w:lang w:eastAsia="es-ES"/>
        </w:rPr>
        <w:t>LA POLÉMICA</w:t>
      </w:r>
      <w:r w:rsidRPr="003A4964">
        <w:rPr>
          <w:rFonts w:ascii="Arial" w:eastAsia="Times New Roman" w:hAnsi="Arial" w:cs="Arial"/>
          <w:b/>
          <w:u w:val="double"/>
          <w:lang w:eastAsia="es-ES"/>
        </w:rPr>
        <w:t xml:space="preserve"> </w:t>
      </w:r>
      <w:bookmarkStart w:id="0" w:name="_GoBack"/>
      <w:bookmarkEnd w:id="0"/>
      <w:r w:rsidRPr="003A4964">
        <w:rPr>
          <w:rFonts w:ascii="Arial" w:eastAsia="Times New Roman" w:hAnsi="Arial" w:cs="Arial"/>
          <w:u w:val="double"/>
          <w:lang w:eastAsia="es-ES"/>
        </w:rPr>
        <w:t>DOCTRINA DEL TRIBUNAL SUPREMO SOBRE LOS EFECTOS INTERRUPTIVOS DE LA DECLARACIÓN RESUMEN ANUAL DEL IVA</w:t>
      </w:r>
      <w:r w:rsidRPr="003A4964">
        <w:rPr>
          <w:rFonts w:ascii="Arial" w:eastAsia="Times New Roman" w:hAnsi="Arial" w:cs="Arial"/>
          <w:lang w:eastAsia="es-ES"/>
        </w:rPr>
        <w:t>.</w:t>
      </w:r>
    </w:p>
    <w:p w:rsidR="003C12A2" w:rsidRPr="00E042A4" w:rsidRDefault="003C12A2" w:rsidP="00E042A4">
      <w:pPr>
        <w:pStyle w:val="NormalWeb"/>
        <w:spacing w:before="0" w:beforeAutospacing="0" w:after="0" w:afterAutospacing="0" w:line="360" w:lineRule="auto"/>
        <w:jc w:val="both"/>
        <w:rPr>
          <w:rFonts w:ascii="Arial" w:hAnsi="Arial" w:cs="Arial"/>
          <w:sz w:val="22"/>
          <w:szCs w:val="22"/>
        </w:rPr>
      </w:pPr>
    </w:p>
    <w:p w:rsidR="002C5E45" w:rsidRPr="00E042A4" w:rsidRDefault="002C5E45"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En el</w:t>
      </w:r>
      <w:r w:rsidR="00FF1AC7" w:rsidRPr="00E042A4">
        <w:rPr>
          <w:rFonts w:ascii="Arial" w:hAnsi="Arial" w:cs="Arial"/>
          <w:sz w:val="22"/>
          <w:szCs w:val="22"/>
        </w:rPr>
        <w:t xml:space="preserve"> IVA</w:t>
      </w:r>
      <w:r w:rsidRPr="00E042A4">
        <w:rPr>
          <w:rFonts w:ascii="Arial" w:hAnsi="Arial" w:cs="Arial"/>
          <w:sz w:val="22"/>
          <w:szCs w:val="22"/>
        </w:rPr>
        <w:t xml:space="preserve"> el criterio que se aplicaba </w:t>
      </w:r>
      <w:r w:rsidR="00A022BF" w:rsidRPr="00E042A4">
        <w:rPr>
          <w:rFonts w:ascii="Arial" w:hAnsi="Arial" w:cs="Arial"/>
          <w:sz w:val="22"/>
          <w:szCs w:val="22"/>
        </w:rPr>
        <w:t>pacífica</w:t>
      </w:r>
      <w:r w:rsidR="00D00923" w:rsidRPr="00E042A4">
        <w:rPr>
          <w:rFonts w:ascii="Arial" w:hAnsi="Arial" w:cs="Arial"/>
          <w:sz w:val="22"/>
          <w:szCs w:val="22"/>
        </w:rPr>
        <w:t xml:space="preserve"> y unánime</w:t>
      </w:r>
      <w:r w:rsidR="00A022BF" w:rsidRPr="00E042A4">
        <w:rPr>
          <w:rFonts w:ascii="Arial" w:hAnsi="Arial" w:cs="Arial"/>
          <w:sz w:val="22"/>
          <w:szCs w:val="22"/>
        </w:rPr>
        <w:t xml:space="preserve">mente </w:t>
      </w:r>
      <w:r w:rsidRPr="00E042A4">
        <w:rPr>
          <w:rFonts w:ascii="Arial" w:hAnsi="Arial" w:cs="Arial"/>
          <w:sz w:val="22"/>
          <w:szCs w:val="22"/>
        </w:rPr>
        <w:t xml:space="preserve">era que el cómputo del plazo prescriptivo de cuatro años comenzaba </w:t>
      </w:r>
      <w:r w:rsidR="00BE65DF" w:rsidRPr="00E042A4">
        <w:rPr>
          <w:rFonts w:ascii="Arial" w:hAnsi="Arial" w:cs="Arial"/>
          <w:sz w:val="22"/>
          <w:szCs w:val="22"/>
        </w:rPr>
        <w:t>a</w:t>
      </w:r>
      <w:r w:rsidRPr="00E042A4">
        <w:rPr>
          <w:rFonts w:ascii="Arial" w:hAnsi="Arial" w:cs="Arial"/>
          <w:sz w:val="22"/>
          <w:szCs w:val="22"/>
        </w:rPr>
        <w:t xml:space="preserve">l día </w:t>
      </w:r>
      <w:r w:rsidR="00BE65DF" w:rsidRPr="00E042A4">
        <w:rPr>
          <w:rFonts w:ascii="Arial" w:hAnsi="Arial" w:cs="Arial"/>
          <w:sz w:val="22"/>
          <w:szCs w:val="22"/>
        </w:rPr>
        <w:t xml:space="preserve">siguiente </w:t>
      </w:r>
      <w:r w:rsidR="00D00923" w:rsidRPr="00E042A4">
        <w:rPr>
          <w:rFonts w:ascii="Arial" w:hAnsi="Arial" w:cs="Arial"/>
          <w:sz w:val="22"/>
          <w:szCs w:val="22"/>
        </w:rPr>
        <w:t xml:space="preserve">de </w:t>
      </w:r>
      <w:r w:rsidR="00BE65DF" w:rsidRPr="00E042A4">
        <w:rPr>
          <w:rFonts w:ascii="Arial" w:hAnsi="Arial" w:cs="Arial"/>
          <w:sz w:val="22"/>
          <w:szCs w:val="22"/>
        </w:rPr>
        <w:t xml:space="preserve">la finalización del plazo de </w:t>
      </w:r>
      <w:r w:rsidRPr="00E042A4">
        <w:rPr>
          <w:rFonts w:ascii="Arial" w:hAnsi="Arial" w:cs="Arial"/>
          <w:sz w:val="22"/>
          <w:szCs w:val="22"/>
        </w:rPr>
        <w:t>presentación de la declaración mensual o trimestral.</w:t>
      </w:r>
    </w:p>
    <w:p w:rsidR="002C5E45" w:rsidRPr="00E042A4" w:rsidRDefault="002C5E45" w:rsidP="00E042A4">
      <w:pPr>
        <w:pStyle w:val="NormalWeb"/>
        <w:spacing w:before="0" w:beforeAutospacing="0" w:after="0" w:afterAutospacing="0" w:line="360" w:lineRule="auto"/>
        <w:jc w:val="both"/>
        <w:rPr>
          <w:rFonts w:ascii="Arial" w:hAnsi="Arial" w:cs="Arial"/>
          <w:sz w:val="22"/>
          <w:szCs w:val="22"/>
        </w:rPr>
      </w:pPr>
    </w:p>
    <w:p w:rsidR="00FD1F7A" w:rsidRPr="00E042A4" w:rsidRDefault="002C5E45"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Sin embargo, </w:t>
      </w:r>
      <w:r w:rsidR="00654B18" w:rsidRPr="00E042A4">
        <w:rPr>
          <w:rFonts w:ascii="Arial" w:hAnsi="Arial" w:cs="Arial"/>
          <w:sz w:val="22"/>
          <w:szCs w:val="22"/>
        </w:rPr>
        <w:t xml:space="preserve">a partir de </w:t>
      </w:r>
      <w:r w:rsidRPr="00E042A4">
        <w:rPr>
          <w:rFonts w:ascii="Arial" w:hAnsi="Arial" w:cs="Arial"/>
          <w:sz w:val="22"/>
          <w:szCs w:val="22"/>
        </w:rPr>
        <w:t>2009</w:t>
      </w:r>
      <w:r w:rsidR="00BE65DF" w:rsidRPr="00E042A4">
        <w:rPr>
          <w:rFonts w:ascii="Arial" w:hAnsi="Arial" w:cs="Arial"/>
          <w:sz w:val="22"/>
          <w:szCs w:val="22"/>
        </w:rPr>
        <w:t xml:space="preserve"> </w:t>
      </w:r>
      <w:r w:rsidRPr="00E042A4">
        <w:rPr>
          <w:rFonts w:ascii="Arial" w:hAnsi="Arial" w:cs="Arial"/>
          <w:sz w:val="22"/>
          <w:szCs w:val="22"/>
        </w:rPr>
        <w:t xml:space="preserve">varias </w:t>
      </w:r>
      <w:r w:rsidRPr="00E042A4">
        <w:rPr>
          <w:rFonts w:ascii="Arial" w:hAnsi="Arial" w:cs="Arial"/>
          <w:b/>
          <w:sz w:val="22"/>
          <w:szCs w:val="22"/>
        </w:rPr>
        <w:t>sentencias</w:t>
      </w:r>
      <w:r w:rsidRPr="00E042A4">
        <w:rPr>
          <w:rFonts w:ascii="Arial" w:hAnsi="Arial" w:cs="Arial"/>
          <w:sz w:val="22"/>
          <w:szCs w:val="22"/>
        </w:rPr>
        <w:t xml:space="preserve"> del </w:t>
      </w:r>
      <w:r w:rsidR="003C12A2" w:rsidRPr="00E042A4">
        <w:rPr>
          <w:rFonts w:ascii="Arial" w:hAnsi="Arial" w:cs="Arial"/>
          <w:b/>
          <w:sz w:val="22"/>
          <w:szCs w:val="22"/>
        </w:rPr>
        <w:t>Tribunal Supremo</w:t>
      </w:r>
      <w:r w:rsidRPr="00E042A4">
        <w:rPr>
          <w:rFonts w:ascii="Arial" w:hAnsi="Arial" w:cs="Arial"/>
          <w:sz w:val="22"/>
          <w:szCs w:val="22"/>
        </w:rPr>
        <w:t xml:space="preserve"> </w:t>
      </w:r>
      <w:r w:rsidR="00561C85" w:rsidRPr="00E042A4">
        <w:rPr>
          <w:rFonts w:ascii="Arial" w:hAnsi="Arial" w:cs="Arial"/>
          <w:sz w:val="22"/>
          <w:szCs w:val="22"/>
        </w:rPr>
        <w:t>(</w:t>
      </w:r>
      <w:r w:rsidR="00654B18" w:rsidRPr="00E042A4">
        <w:rPr>
          <w:rFonts w:ascii="Arial" w:hAnsi="Arial" w:cs="Arial"/>
          <w:b/>
          <w:sz w:val="22"/>
          <w:szCs w:val="22"/>
        </w:rPr>
        <w:t>STS</w:t>
      </w:r>
      <w:r w:rsidR="00654B18" w:rsidRPr="00E042A4">
        <w:rPr>
          <w:rFonts w:ascii="Arial" w:hAnsi="Arial" w:cs="Arial"/>
          <w:sz w:val="22"/>
          <w:szCs w:val="22"/>
        </w:rPr>
        <w:t xml:space="preserve"> de </w:t>
      </w:r>
      <w:r w:rsidR="00654B18" w:rsidRPr="00E042A4">
        <w:rPr>
          <w:rFonts w:ascii="Arial" w:hAnsi="Arial" w:cs="Arial"/>
          <w:b/>
          <w:sz w:val="22"/>
          <w:szCs w:val="22"/>
        </w:rPr>
        <w:t>25 de noviembre</w:t>
      </w:r>
      <w:r w:rsidR="00654B18" w:rsidRPr="00E042A4">
        <w:rPr>
          <w:rFonts w:ascii="Arial" w:hAnsi="Arial" w:cs="Arial"/>
          <w:sz w:val="22"/>
          <w:szCs w:val="22"/>
        </w:rPr>
        <w:t xml:space="preserve"> de </w:t>
      </w:r>
      <w:r w:rsidR="00654B18" w:rsidRPr="00E042A4">
        <w:rPr>
          <w:rFonts w:ascii="Arial" w:hAnsi="Arial" w:cs="Arial"/>
          <w:b/>
          <w:sz w:val="22"/>
          <w:szCs w:val="22"/>
        </w:rPr>
        <w:t>2009</w:t>
      </w:r>
      <w:r w:rsidR="00654B18" w:rsidRPr="00E042A4">
        <w:rPr>
          <w:rFonts w:ascii="Arial" w:hAnsi="Arial" w:cs="Arial"/>
          <w:sz w:val="22"/>
          <w:szCs w:val="22"/>
        </w:rPr>
        <w:t xml:space="preserve">, recurso de casación 983/2004; </w:t>
      </w:r>
      <w:r w:rsidR="00654B18" w:rsidRPr="00E042A4">
        <w:rPr>
          <w:rFonts w:ascii="Arial" w:hAnsi="Arial" w:cs="Arial"/>
          <w:b/>
          <w:sz w:val="22"/>
          <w:szCs w:val="22"/>
        </w:rPr>
        <w:t>STS</w:t>
      </w:r>
      <w:r w:rsidR="00654B18" w:rsidRPr="00E042A4">
        <w:rPr>
          <w:rFonts w:ascii="Arial" w:hAnsi="Arial" w:cs="Arial"/>
          <w:sz w:val="22"/>
          <w:szCs w:val="22"/>
        </w:rPr>
        <w:t xml:space="preserve"> de </w:t>
      </w:r>
      <w:r w:rsidR="00654B18" w:rsidRPr="00E042A4">
        <w:rPr>
          <w:rFonts w:ascii="Arial" w:hAnsi="Arial" w:cs="Arial"/>
          <w:b/>
          <w:sz w:val="22"/>
          <w:szCs w:val="22"/>
        </w:rPr>
        <w:t>23 de junio</w:t>
      </w:r>
      <w:r w:rsidR="00654B18" w:rsidRPr="00E042A4">
        <w:rPr>
          <w:rFonts w:ascii="Arial" w:hAnsi="Arial" w:cs="Arial"/>
          <w:sz w:val="22"/>
          <w:szCs w:val="22"/>
        </w:rPr>
        <w:t xml:space="preserve"> de </w:t>
      </w:r>
      <w:r w:rsidR="00654B18" w:rsidRPr="00E042A4">
        <w:rPr>
          <w:rFonts w:ascii="Arial" w:hAnsi="Arial" w:cs="Arial"/>
          <w:b/>
          <w:sz w:val="22"/>
          <w:szCs w:val="22"/>
        </w:rPr>
        <w:t>2010</w:t>
      </w:r>
      <w:r w:rsidR="00654B18" w:rsidRPr="00E042A4">
        <w:rPr>
          <w:rFonts w:ascii="Arial" w:hAnsi="Arial" w:cs="Arial"/>
          <w:sz w:val="22"/>
          <w:szCs w:val="22"/>
        </w:rPr>
        <w:t xml:space="preserve">, recurso de casación 2845/2005; y </w:t>
      </w:r>
      <w:r w:rsidR="00654B18" w:rsidRPr="00E042A4">
        <w:rPr>
          <w:rFonts w:ascii="Arial" w:hAnsi="Arial" w:cs="Arial"/>
          <w:b/>
          <w:sz w:val="22"/>
          <w:szCs w:val="22"/>
        </w:rPr>
        <w:t>STS</w:t>
      </w:r>
      <w:r w:rsidR="00654B18" w:rsidRPr="00E042A4">
        <w:rPr>
          <w:rFonts w:ascii="Arial" w:hAnsi="Arial" w:cs="Arial"/>
          <w:sz w:val="22"/>
          <w:szCs w:val="22"/>
        </w:rPr>
        <w:t xml:space="preserve"> de </w:t>
      </w:r>
      <w:r w:rsidR="00654B18" w:rsidRPr="00E042A4">
        <w:rPr>
          <w:rFonts w:ascii="Arial" w:hAnsi="Arial" w:cs="Arial"/>
          <w:b/>
          <w:sz w:val="22"/>
          <w:szCs w:val="22"/>
        </w:rPr>
        <w:t>17 de febrero</w:t>
      </w:r>
      <w:r w:rsidR="00654B18" w:rsidRPr="00E042A4">
        <w:rPr>
          <w:rFonts w:ascii="Arial" w:hAnsi="Arial" w:cs="Arial"/>
          <w:sz w:val="22"/>
          <w:szCs w:val="22"/>
        </w:rPr>
        <w:t xml:space="preserve"> de </w:t>
      </w:r>
      <w:r w:rsidR="00654B18" w:rsidRPr="00E042A4">
        <w:rPr>
          <w:rFonts w:ascii="Arial" w:hAnsi="Arial" w:cs="Arial"/>
          <w:b/>
          <w:sz w:val="22"/>
          <w:szCs w:val="22"/>
        </w:rPr>
        <w:t>2011</w:t>
      </w:r>
      <w:r w:rsidR="00654B18" w:rsidRPr="00E042A4">
        <w:rPr>
          <w:rFonts w:ascii="Arial" w:hAnsi="Arial" w:cs="Arial"/>
          <w:sz w:val="22"/>
          <w:szCs w:val="22"/>
        </w:rPr>
        <w:t>, recurso de casación 4688/2006</w:t>
      </w:r>
      <w:r w:rsidR="00561C85" w:rsidRPr="00E042A4">
        <w:rPr>
          <w:rFonts w:ascii="Arial" w:hAnsi="Arial" w:cs="Arial"/>
          <w:sz w:val="22"/>
          <w:szCs w:val="22"/>
        </w:rPr>
        <w:t xml:space="preserve">) </w:t>
      </w:r>
      <w:r w:rsidR="00BE65DF" w:rsidRPr="00E042A4">
        <w:rPr>
          <w:rFonts w:ascii="Arial" w:hAnsi="Arial" w:cs="Arial"/>
          <w:sz w:val="22"/>
          <w:szCs w:val="22"/>
        </w:rPr>
        <w:t xml:space="preserve">trastocaron esta situación de normalidad al considerar que </w:t>
      </w:r>
      <w:r w:rsidR="004B4B93" w:rsidRPr="00E042A4">
        <w:rPr>
          <w:rFonts w:ascii="Arial" w:hAnsi="Arial" w:cs="Arial"/>
          <w:sz w:val="22"/>
          <w:szCs w:val="22"/>
        </w:rPr>
        <w:t xml:space="preserve">la declaración </w:t>
      </w:r>
      <w:r w:rsidR="00BE65DF" w:rsidRPr="00E042A4">
        <w:rPr>
          <w:rFonts w:ascii="Arial" w:hAnsi="Arial" w:cs="Arial"/>
          <w:sz w:val="22"/>
          <w:szCs w:val="22"/>
        </w:rPr>
        <w:t xml:space="preserve">resumen </w:t>
      </w:r>
      <w:r w:rsidR="004B4B93" w:rsidRPr="00E042A4">
        <w:rPr>
          <w:rFonts w:ascii="Arial" w:hAnsi="Arial" w:cs="Arial"/>
          <w:sz w:val="22"/>
          <w:szCs w:val="22"/>
        </w:rPr>
        <w:t xml:space="preserve">anual del IVA </w:t>
      </w:r>
      <w:r w:rsidR="00BE65DF" w:rsidRPr="00E042A4">
        <w:rPr>
          <w:rFonts w:ascii="Arial" w:hAnsi="Arial" w:cs="Arial"/>
          <w:sz w:val="22"/>
          <w:szCs w:val="22"/>
        </w:rPr>
        <w:t xml:space="preserve">por la que los sujetos pasivos declaran información del impuesto del año inmediato anterior </w:t>
      </w:r>
      <w:r w:rsidR="004B4B93" w:rsidRPr="00E042A4">
        <w:rPr>
          <w:rFonts w:ascii="Arial" w:hAnsi="Arial" w:cs="Arial"/>
          <w:sz w:val="22"/>
          <w:szCs w:val="22"/>
        </w:rPr>
        <w:t xml:space="preserve">interrumpía la prescripción de las </w:t>
      </w:r>
      <w:r w:rsidR="00B62AD9" w:rsidRPr="00E042A4">
        <w:rPr>
          <w:rFonts w:ascii="Arial" w:hAnsi="Arial" w:cs="Arial"/>
          <w:sz w:val="22"/>
          <w:szCs w:val="22"/>
        </w:rPr>
        <w:t>declaraciones-</w:t>
      </w:r>
      <w:r w:rsidR="004B4B93" w:rsidRPr="00E042A4">
        <w:rPr>
          <w:rFonts w:ascii="Arial" w:hAnsi="Arial" w:cs="Arial"/>
          <w:sz w:val="22"/>
          <w:szCs w:val="22"/>
        </w:rPr>
        <w:t>liquidaciones mensuales o trimestrales</w:t>
      </w:r>
      <w:r w:rsidR="00B62AD9" w:rsidRPr="00E042A4">
        <w:rPr>
          <w:rFonts w:ascii="Arial" w:hAnsi="Arial" w:cs="Arial"/>
          <w:sz w:val="22"/>
          <w:szCs w:val="22"/>
        </w:rPr>
        <w:t xml:space="preserve"> presentadas durante el año. A juicio del alto Tribunal, el resumen anual del IVA suponía una ratificación de aquellas, ya que se acompañaban las declaraciones liquidaciones trimestrales con las que dicha declaración del 390 tenía que ser consonante</w:t>
      </w:r>
      <w:r w:rsidR="004B4B93" w:rsidRPr="00E042A4">
        <w:rPr>
          <w:rFonts w:ascii="Arial" w:hAnsi="Arial" w:cs="Arial"/>
          <w:sz w:val="22"/>
          <w:szCs w:val="22"/>
        </w:rPr>
        <w:t xml:space="preserve">. </w:t>
      </w:r>
    </w:p>
    <w:p w:rsidR="00CC5781" w:rsidRPr="00E042A4" w:rsidRDefault="00CC5781" w:rsidP="00E042A4">
      <w:pPr>
        <w:spacing w:after="0" w:line="360" w:lineRule="auto"/>
        <w:jc w:val="both"/>
        <w:rPr>
          <w:rFonts w:ascii="Arial" w:eastAsia="Times New Roman" w:hAnsi="Arial" w:cs="Arial"/>
          <w:lang w:eastAsia="es-ES"/>
        </w:rPr>
      </w:pPr>
    </w:p>
    <w:p w:rsidR="00FD1F7A" w:rsidRPr="00E042A4" w:rsidRDefault="00CC5781" w:rsidP="00E042A4">
      <w:pPr>
        <w:spacing w:after="0" w:line="360" w:lineRule="auto"/>
        <w:jc w:val="both"/>
        <w:rPr>
          <w:rFonts w:ascii="Arial" w:eastAsia="Times New Roman" w:hAnsi="Arial" w:cs="Arial"/>
          <w:lang w:eastAsia="es-ES"/>
        </w:rPr>
      </w:pPr>
      <w:r w:rsidRPr="00E042A4">
        <w:rPr>
          <w:rFonts w:ascii="Arial" w:eastAsia="Times New Roman" w:hAnsi="Arial" w:cs="Arial"/>
          <w:lang w:eastAsia="es-ES"/>
        </w:rPr>
        <w:t>En</w:t>
      </w:r>
      <w:r w:rsidR="00ED5C8E" w:rsidRPr="00E042A4">
        <w:rPr>
          <w:rFonts w:ascii="Arial" w:eastAsia="Times New Roman" w:hAnsi="Arial" w:cs="Arial"/>
          <w:lang w:eastAsia="es-ES"/>
        </w:rPr>
        <w:t xml:space="preserve"> el fundamento de derecho cuarto de</w:t>
      </w:r>
      <w:r w:rsidRPr="00E042A4">
        <w:rPr>
          <w:rFonts w:ascii="Arial" w:eastAsia="Times New Roman" w:hAnsi="Arial" w:cs="Arial"/>
          <w:lang w:eastAsia="es-ES"/>
        </w:rPr>
        <w:t xml:space="preserve"> la sentencia de 2009 referida, el </w:t>
      </w:r>
      <w:r w:rsidRPr="00E042A4">
        <w:rPr>
          <w:rFonts w:ascii="Arial" w:eastAsia="Times New Roman" w:hAnsi="Arial" w:cs="Arial"/>
          <w:b/>
          <w:lang w:eastAsia="es-ES"/>
        </w:rPr>
        <w:t>TS</w:t>
      </w:r>
      <w:r w:rsidRPr="00E042A4">
        <w:rPr>
          <w:rFonts w:ascii="Arial" w:eastAsia="Times New Roman" w:hAnsi="Arial" w:cs="Arial"/>
          <w:lang w:eastAsia="es-ES"/>
        </w:rPr>
        <w:t xml:space="preserve"> afirmó</w:t>
      </w:r>
      <w:r w:rsidR="00FD1F7A" w:rsidRPr="00E042A4">
        <w:rPr>
          <w:rFonts w:ascii="Arial" w:eastAsia="Times New Roman" w:hAnsi="Arial" w:cs="Arial"/>
          <w:lang w:eastAsia="es-ES"/>
        </w:rPr>
        <w:t>:</w:t>
      </w:r>
    </w:p>
    <w:p w:rsidR="00FD1F7A" w:rsidRPr="00E042A4" w:rsidRDefault="00FD1F7A" w:rsidP="00E042A4">
      <w:pPr>
        <w:spacing w:after="0" w:line="360" w:lineRule="auto"/>
        <w:jc w:val="both"/>
        <w:rPr>
          <w:rFonts w:ascii="Arial" w:eastAsia="Times New Roman" w:hAnsi="Arial" w:cs="Arial"/>
          <w:lang w:eastAsia="es-ES"/>
        </w:rPr>
      </w:pPr>
    </w:p>
    <w:p w:rsidR="00FD1F7A" w:rsidRPr="003A4964" w:rsidRDefault="00FD1F7A" w:rsidP="003A4964">
      <w:pPr>
        <w:spacing w:after="0" w:line="240" w:lineRule="auto"/>
        <w:ind w:left="567" w:right="567"/>
        <w:jc w:val="both"/>
        <w:rPr>
          <w:rFonts w:ascii="Arial" w:eastAsia="Times New Roman" w:hAnsi="Arial" w:cs="Arial"/>
          <w:i/>
          <w:sz w:val="20"/>
          <w:szCs w:val="20"/>
          <w:lang w:eastAsia="es-ES"/>
        </w:rPr>
      </w:pPr>
      <w:r w:rsidRPr="003A4964">
        <w:rPr>
          <w:rFonts w:ascii="Arial" w:eastAsia="Times New Roman" w:hAnsi="Arial" w:cs="Arial"/>
          <w:sz w:val="20"/>
          <w:szCs w:val="20"/>
          <w:lang w:eastAsia="es-ES"/>
        </w:rPr>
        <w:t>“</w:t>
      </w:r>
      <w:r w:rsidRPr="003A4964">
        <w:rPr>
          <w:rFonts w:ascii="Arial" w:eastAsia="Times New Roman" w:hAnsi="Arial" w:cs="Arial"/>
          <w:i/>
          <w:sz w:val="20"/>
          <w:szCs w:val="20"/>
          <w:lang w:eastAsia="es-ES"/>
        </w:rPr>
        <w:t>Una primera apreciación pone de relieve que el contenido propio de la declaración-resumen anual no es liquidatorio. Siendo esto cierto no se puede ignorar que a dicha declaración se acompañan las declaraciones liquidaciones trimestrales cuyo contenido ha de ser congruente con el de la declaración-resumen anual, pues si así no fuera la declaración-resumen anual y las liquidaciones (en este caso trimestral) serían contradictorias, y, por tanto, rechazables. Ello permite concluir que aunque la declaración-resumen anual no tiene en sí misma un contenido liquidatorio, implica y comporta una ratificación de las distintas liquidac</w:t>
      </w:r>
      <w:r w:rsidR="001D62EC" w:rsidRPr="003A4964">
        <w:rPr>
          <w:rFonts w:ascii="Arial" w:eastAsia="Times New Roman" w:hAnsi="Arial" w:cs="Arial"/>
          <w:i/>
          <w:sz w:val="20"/>
          <w:szCs w:val="20"/>
          <w:lang w:eastAsia="es-ES"/>
        </w:rPr>
        <w:t>iones efectuadas durante el año</w:t>
      </w:r>
      <w:r w:rsidRPr="003A4964">
        <w:rPr>
          <w:rFonts w:ascii="Arial" w:eastAsia="Times New Roman" w:hAnsi="Arial" w:cs="Arial"/>
          <w:i/>
          <w:sz w:val="20"/>
          <w:szCs w:val="20"/>
          <w:lang w:eastAsia="es-ES"/>
        </w:rPr>
        <w:t>.</w:t>
      </w:r>
    </w:p>
    <w:p w:rsidR="001D62EC" w:rsidRPr="003A4964" w:rsidRDefault="001D62EC" w:rsidP="003A4964">
      <w:pPr>
        <w:spacing w:after="0" w:line="240" w:lineRule="auto"/>
        <w:ind w:left="567" w:right="567"/>
        <w:jc w:val="both"/>
        <w:rPr>
          <w:rFonts w:ascii="Arial" w:eastAsia="Times New Roman" w:hAnsi="Arial" w:cs="Arial"/>
          <w:sz w:val="20"/>
          <w:szCs w:val="20"/>
          <w:lang w:eastAsia="es-ES"/>
        </w:rPr>
      </w:pPr>
    </w:p>
    <w:p w:rsidR="001D62EC" w:rsidRPr="003A4964" w:rsidRDefault="001D62EC" w:rsidP="003A4964">
      <w:pPr>
        <w:spacing w:after="0" w:line="240" w:lineRule="auto"/>
        <w:ind w:left="567" w:right="567"/>
        <w:jc w:val="both"/>
        <w:rPr>
          <w:rFonts w:ascii="Arial" w:eastAsia="Times New Roman" w:hAnsi="Arial" w:cs="Arial"/>
          <w:i/>
          <w:sz w:val="20"/>
          <w:szCs w:val="20"/>
          <w:lang w:eastAsia="es-ES"/>
        </w:rPr>
      </w:pPr>
      <w:r w:rsidRPr="003A4964">
        <w:rPr>
          <w:rFonts w:ascii="Arial" w:eastAsia="Times New Roman" w:hAnsi="Arial" w:cs="Arial"/>
          <w:i/>
          <w:sz w:val="20"/>
          <w:szCs w:val="20"/>
          <w:lang w:eastAsia="es-ES"/>
        </w:rPr>
        <w:t xml:space="preserve">Este elemento de la declaración-resumen anual, de ratificación de las liquidaciones efectuadas durante el año, permite imputar a tales declaraciones un contenido interruptivo de la prescripción, por efecto de su contenido liquidatorio y al que el artículo 66.1 de la L.G.T. confiere carácter interruptivo. </w:t>
      </w:r>
    </w:p>
    <w:p w:rsidR="001D62EC" w:rsidRPr="003A4964" w:rsidRDefault="001D62EC" w:rsidP="003A4964">
      <w:pPr>
        <w:spacing w:after="0" w:line="240" w:lineRule="auto"/>
        <w:ind w:left="567" w:right="567"/>
        <w:jc w:val="both"/>
        <w:rPr>
          <w:rFonts w:ascii="Arial" w:eastAsia="Times New Roman" w:hAnsi="Arial" w:cs="Arial"/>
          <w:i/>
          <w:sz w:val="20"/>
          <w:szCs w:val="20"/>
          <w:lang w:eastAsia="es-ES"/>
        </w:rPr>
      </w:pPr>
    </w:p>
    <w:p w:rsidR="001D62EC" w:rsidRPr="00E042A4" w:rsidRDefault="001D62EC" w:rsidP="003A4964">
      <w:pPr>
        <w:spacing w:after="0" w:line="240" w:lineRule="auto"/>
        <w:ind w:left="567" w:right="567"/>
        <w:jc w:val="both"/>
        <w:rPr>
          <w:rFonts w:ascii="Arial" w:eastAsia="Times New Roman" w:hAnsi="Arial" w:cs="Arial"/>
          <w:i/>
          <w:lang w:eastAsia="es-ES"/>
        </w:rPr>
      </w:pPr>
      <w:r w:rsidRPr="003A4964">
        <w:rPr>
          <w:rFonts w:ascii="Arial" w:eastAsia="Times New Roman" w:hAnsi="Arial" w:cs="Arial"/>
          <w:i/>
          <w:sz w:val="20"/>
          <w:szCs w:val="20"/>
          <w:lang w:eastAsia="es-ES"/>
        </w:rPr>
        <w:t>Por lo expuesto, es rechazable la tesis del recurrente en el sentido de que la declaración-resumen anual no es una verdadera declaración tributaria, sino una comunicación informativa, pues tal aserto es, desde luego, contrario a su denominación "declaración", pero lo es también a su contenido, pues como ya hemos expuesto, y en virtud de la documentación que ha de acompañarla, y los datos que en ella se consignan, tiene un contenido ratificatorio de las liquidaciones efectuadas durante el año”.</w:t>
      </w:r>
    </w:p>
    <w:p w:rsidR="00FD1F7A" w:rsidRPr="00E042A4" w:rsidRDefault="00FD1F7A" w:rsidP="00E042A4">
      <w:pPr>
        <w:pStyle w:val="NormalWeb"/>
        <w:spacing w:before="0" w:beforeAutospacing="0" w:after="0" w:afterAutospacing="0" w:line="360" w:lineRule="auto"/>
        <w:ind w:left="567" w:right="566"/>
        <w:jc w:val="both"/>
        <w:rPr>
          <w:rFonts w:ascii="Arial" w:hAnsi="Arial" w:cs="Arial"/>
          <w:i/>
          <w:sz w:val="22"/>
          <w:szCs w:val="22"/>
        </w:rPr>
      </w:pPr>
    </w:p>
    <w:p w:rsidR="005F5CD8" w:rsidRPr="00E042A4" w:rsidRDefault="00BE65DF"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En la práctica</w:t>
      </w:r>
      <w:r w:rsidR="007D6483" w:rsidRPr="00E042A4">
        <w:rPr>
          <w:rFonts w:ascii="Arial" w:hAnsi="Arial" w:cs="Arial"/>
          <w:sz w:val="22"/>
          <w:szCs w:val="22"/>
        </w:rPr>
        <w:t>,</w:t>
      </w:r>
      <w:r w:rsidRPr="00E042A4">
        <w:rPr>
          <w:rFonts w:ascii="Arial" w:hAnsi="Arial" w:cs="Arial"/>
          <w:sz w:val="22"/>
          <w:szCs w:val="22"/>
        </w:rPr>
        <w:t xml:space="preserve"> esta doctrina implicó que la</w:t>
      </w:r>
      <w:r w:rsidR="004B4B93" w:rsidRPr="00E042A4">
        <w:rPr>
          <w:rFonts w:ascii="Arial" w:hAnsi="Arial" w:cs="Arial"/>
          <w:sz w:val="22"/>
          <w:szCs w:val="22"/>
        </w:rPr>
        <w:t xml:space="preserve"> </w:t>
      </w:r>
      <w:r w:rsidRPr="00E042A4">
        <w:rPr>
          <w:rFonts w:ascii="Arial" w:hAnsi="Arial" w:cs="Arial"/>
          <w:sz w:val="22"/>
          <w:szCs w:val="22"/>
        </w:rPr>
        <w:t xml:space="preserve">Admón. tributaria dispusiera de casi un </w:t>
      </w:r>
      <w:r w:rsidR="004B4B93" w:rsidRPr="00E042A4">
        <w:rPr>
          <w:rFonts w:ascii="Arial" w:hAnsi="Arial" w:cs="Arial"/>
          <w:sz w:val="22"/>
          <w:szCs w:val="22"/>
        </w:rPr>
        <w:t xml:space="preserve">año </w:t>
      </w:r>
      <w:r w:rsidRPr="00E042A4">
        <w:rPr>
          <w:rFonts w:ascii="Arial" w:hAnsi="Arial" w:cs="Arial"/>
          <w:sz w:val="22"/>
          <w:szCs w:val="22"/>
        </w:rPr>
        <w:t xml:space="preserve">más </w:t>
      </w:r>
      <w:r w:rsidR="004B4B93" w:rsidRPr="00E042A4">
        <w:rPr>
          <w:rFonts w:ascii="Arial" w:hAnsi="Arial" w:cs="Arial"/>
          <w:sz w:val="22"/>
          <w:szCs w:val="22"/>
        </w:rPr>
        <w:t xml:space="preserve">para </w:t>
      </w:r>
      <w:r w:rsidRPr="00E042A4">
        <w:rPr>
          <w:rFonts w:ascii="Arial" w:hAnsi="Arial" w:cs="Arial"/>
          <w:sz w:val="22"/>
          <w:szCs w:val="22"/>
        </w:rPr>
        <w:t>ejercer su facultad de comprobación-</w:t>
      </w:r>
      <w:r w:rsidR="004B4B93" w:rsidRPr="00E042A4">
        <w:rPr>
          <w:rFonts w:ascii="Arial" w:hAnsi="Arial" w:cs="Arial"/>
          <w:sz w:val="22"/>
          <w:szCs w:val="22"/>
        </w:rPr>
        <w:t>investiga</w:t>
      </w:r>
      <w:r w:rsidRPr="00E042A4">
        <w:rPr>
          <w:rFonts w:ascii="Arial" w:hAnsi="Arial" w:cs="Arial"/>
          <w:sz w:val="22"/>
          <w:szCs w:val="22"/>
        </w:rPr>
        <w:t>ción</w:t>
      </w:r>
      <w:r w:rsidR="004B4B93" w:rsidRPr="00E042A4">
        <w:rPr>
          <w:rFonts w:ascii="Arial" w:hAnsi="Arial" w:cs="Arial"/>
          <w:sz w:val="22"/>
          <w:szCs w:val="22"/>
        </w:rPr>
        <w:t xml:space="preserve"> </w:t>
      </w:r>
      <w:r w:rsidRPr="00E042A4">
        <w:rPr>
          <w:rFonts w:ascii="Arial" w:hAnsi="Arial" w:cs="Arial"/>
          <w:sz w:val="22"/>
          <w:szCs w:val="22"/>
        </w:rPr>
        <w:t xml:space="preserve">sobre los </w:t>
      </w:r>
      <w:r w:rsidR="004B4B93" w:rsidRPr="00E042A4">
        <w:rPr>
          <w:rFonts w:ascii="Arial" w:hAnsi="Arial" w:cs="Arial"/>
          <w:sz w:val="22"/>
          <w:szCs w:val="22"/>
        </w:rPr>
        <w:t>ob</w:t>
      </w:r>
      <w:r w:rsidRPr="00E042A4">
        <w:rPr>
          <w:rFonts w:ascii="Arial" w:hAnsi="Arial" w:cs="Arial"/>
          <w:sz w:val="22"/>
          <w:szCs w:val="22"/>
        </w:rPr>
        <w:t>ligados tributario</w:t>
      </w:r>
      <w:r w:rsidR="004B4B93" w:rsidRPr="00E042A4">
        <w:rPr>
          <w:rFonts w:ascii="Arial" w:hAnsi="Arial" w:cs="Arial"/>
          <w:sz w:val="22"/>
          <w:szCs w:val="22"/>
        </w:rPr>
        <w:t>s.</w:t>
      </w:r>
      <w:r w:rsidR="00B62AD9" w:rsidRPr="00E042A4">
        <w:rPr>
          <w:rFonts w:ascii="Arial" w:hAnsi="Arial" w:cs="Arial"/>
          <w:sz w:val="22"/>
          <w:szCs w:val="22"/>
        </w:rPr>
        <w:t xml:space="preserve"> </w:t>
      </w:r>
      <w:r w:rsidR="004B4B93" w:rsidRPr="00E042A4">
        <w:rPr>
          <w:rFonts w:ascii="Arial" w:hAnsi="Arial" w:cs="Arial"/>
          <w:sz w:val="22"/>
          <w:szCs w:val="22"/>
        </w:rPr>
        <w:t>E</w:t>
      </w:r>
      <w:r w:rsidR="00FF1AC7" w:rsidRPr="00E042A4">
        <w:rPr>
          <w:rFonts w:ascii="Arial" w:hAnsi="Arial" w:cs="Arial"/>
          <w:sz w:val="22"/>
          <w:szCs w:val="22"/>
        </w:rPr>
        <w:t xml:space="preserve">n efecto. Una </w:t>
      </w:r>
      <w:r w:rsidR="004B4B93" w:rsidRPr="00E042A4">
        <w:rPr>
          <w:rFonts w:ascii="Arial" w:hAnsi="Arial" w:cs="Arial"/>
          <w:sz w:val="22"/>
          <w:szCs w:val="22"/>
        </w:rPr>
        <w:t xml:space="preserve">factura </w:t>
      </w:r>
      <w:r w:rsidR="00FF1AC7" w:rsidRPr="00E042A4">
        <w:rPr>
          <w:rFonts w:ascii="Arial" w:hAnsi="Arial" w:cs="Arial"/>
          <w:sz w:val="22"/>
          <w:szCs w:val="22"/>
        </w:rPr>
        <w:t xml:space="preserve">que fuera </w:t>
      </w:r>
      <w:r w:rsidR="004B4B93" w:rsidRPr="00E042A4">
        <w:rPr>
          <w:rFonts w:ascii="Arial" w:hAnsi="Arial" w:cs="Arial"/>
          <w:sz w:val="22"/>
          <w:szCs w:val="22"/>
        </w:rPr>
        <w:t xml:space="preserve">emitida en enero </w:t>
      </w:r>
      <w:r w:rsidR="00FF1AC7" w:rsidRPr="00E042A4">
        <w:rPr>
          <w:rFonts w:ascii="Arial" w:hAnsi="Arial" w:cs="Arial"/>
          <w:sz w:val="22"/>
          <w:szCs w:val="22"/>
        </w:rPr>
        <w:t>debe</w:t>
      </w:r>
      <w:r w:rsidR="004B4B93" w:rsidRPr="00E042A4">
        <w:rPr>
          <w:rFonts w:ascii="Arial" w:hAnsi="Arial" w:cs="Arial"/>
          <w:sz w:val="22"/>
          <w:szCs w:val="22"/>
        </w:rPr>
        <w:t xml:space="preserve"> inclu</w:t>
      </w:r>
      <w:r w:rsidR="00FF1AC7" w:rsidRPr="00E042A4">
        <w:rPr>
          <w:rFonts w:ascii="Arial" w:hAnsi="Arial" w:cs="Arial"/>
          <w:sz w:val="22"/>
          <w:szCs w:val="22"/>
        </w:rPr>
        <w:t>irs</w:t>
      </w:r>
      <w:r w:rsidR="004B4B93" w:rsidRPr="00E042A4">
        <w:rPr>
          <w:rFonts w:ascii="Arial" w:hAnsi="Arial" w:cs="Arial"/>
          <w:sz w:val="22"/>
          <w:szCs w:val="22"/>
        </w:rPr>
        <w:t xml:space="preserve">e en la </w:t>
      </w:r>
      <w:r w:rsidR="004B4B93" w:rsidRPr="00E042A4">
        <w:rPr>
          <w:rStyle w:val="Textoennegrita"/>
          <w:rFonts w:ascii="Arial" w:hAnsi="Arial" w:cs="Arial"/>
          <w:b w:val="0"/>
          <w:sz w:val="22"/>
          <w:szCs w:val="22"/>
        </w:rPr>
        <w:t>declaración mensual</w:t>
      </w:r>
      <w:r w:rsidR="00FF1AC7" w:rsidRPr="00E042A4">
        <w:rPr>
          <w:rStyle w:val="Textoennegrita"/>
          <w:rFonts w:ascii="Arial" w:hAnsi="Arial" w:cs="Arial"/>
          <w:b w:val="0"/>
          <w:sz w:val="22"/>
          <w:szCs w:val="22"/>
        </w:rPr>
        <w:t xml:space="preserve">, o en la declaración trimestral cuyo plazo de presentación finaliza </w:t>
      </w:r>
      <w:r w:rsidR="00FF1AC7" w:rsidRPr="00E042A4">
        <w:rPr>
          <w:rStyle w:val="Textoennegrita"/>
          <w:rFonts w:ascii="Arial" w:hAnsi="Arial" w:cs="Arial"/>
          <w:b w:val="0"/>
          <w:sz w:val="22"/>
          <w:szCs w:val="22"/>
        </w:rPr>
        <w:lastRenderedPageBreak/>
        <w:t xml:space="preserve">respectivamente </w:t>
      </w:r>
      <w:r w:rsidR="00FF1AC7" w:rsidRPr="00E042A4">
        <w:rPr>
          <w:rFonts w:ascii="Arial" w:hAnsi="Arial" w:cs="Arial"/>
          <w:sz w:val="22"/>
          <w:szCs w:val="22"/>
        </w:rPr>
        <w:t xml:space="preserve">el 20 de febrero </w:t>
      </w:r>
      <w:r w:rsidR="004B4B93" w:rsidRPr="00E042A4">
        <w:rPr>
          <w:rFonts w:ascii="Arial" w:hAnsi="Arial" w:cs="Arial"/>
          <w:sz w:val="22"/>
          <w:szCs w:val="22"/>
        </w:rPr>
        <w:t xml:space="preserve">o </w:t>
      </w:r>
      <w:r w:rsidR="00FF1AC7" w:rsidRPr="00E042A4">
        <w:rPr>
          <w:rFonts w:ascii="Arial" w:hAnsi="Arial" w:cs="Arial"/>
          <w:sz w:val="22"/>
          <w:szCs w:val="22"/>
        </w:rPr>
        <w:t>el 20 de abril.</w:t>
      </w:r>
      <w:r w:rsidR="004B4B93" w:rsidRPr="00E042A4">
        <w:rPr>
          <w:rFonts w:ascii="Arial" w:hAnsi="Arial" w:cs="Arial"/>
          <w:sz w:val="22"/>
          <w:szCs w:val="22"/>
        </w:rPr>
        <w:t xml:space="preserve"> </w:t>
      </w:r>
      <w:r w:rsidR="00FF1AC7" w:rsidRPr="00E042A4">
        <w:rPr>
          <w:rFonts w:ascii="Arial" w:hAnsi="Arial" w:cs="Arial"/>
          <w:sz w:val="22"/>
          <w:szCs w:val="22"/>
        </w:rPr>
        <w:t xml:space="preserve">Es desde entonces cuando </w:t>
      </w:r>
      <w:r w:rsidR="004B4B93" w:rsidRPr="00E042A4">
        <w:rPr>
          <w:rFonts w:ascii="Arial" w:hAnsi="Arial" w:cs="Arial"/>
          <w:sz w:val="22"/>
          <w:szCs w:val="22"/>
        </w:rPr>
        <w:t xml:space="preserve">se inicia el </w:t>
      </w:r>
      <w:r w:rsidR="00FF1AC7" w:rsidRPr="00E042A4">
        <w:rPr>
          <w:rFonts w:ascii="Arial" w:hAnsi="Arial" w:cs="Arial"/>
          <w:sz w:val="22"/>
          <w:szCs w:val="22"/>
        </w:rPr>
        <w:t>cómputo de</w:t>
      </w:r>
      <w:r w:rsidR="004B4B93" w:rsidRPr="00E042A4">
        <w:rPr>
          <w:rFonts w:ascii="Arial" w:hAnsi="Arial" w:cs="Arial"/>
          <w:sz w:val="22"/>
          <w:szCs w:val="22"/>
        </w:rPr>
        <w:t>l</w:t>
      </w:r>
      <w:r w:rsidR="00FF1AC7" w:rsidRPr="00E042A4">
        <w:rPr>
          <w:rFonts w:ascii="Arial" w:hAnsi="Arial" w:cs="Arial"/>
          <w:sz w:val="22"/>
          <w:szCs w:val="22"/>
        </w:rPr>
        <w:t xml:space="preserve"> pl</w:t>
      </w:r>
      <w:r w:rsidR="004B4B93" w:rsidRPr="00E042A4">
        <w:rPr>
          <w:rFonts w:ascii="Arial" w:hAnsi="Arial" w:cs="Arial"/>
          <w:sz w:val="22"/>
          <w:szCs w:val="22"/>
        </w:rPr>
        <w:t>a</w:t>
      </w:r>
      <w:r w:rsidR="00FF1AC7" w:rsidRPr="00E042A4">
        <w:rPr>
          <w:rFonts w:ascii="Arial" w:hAnsi="Arial" w:cs="Arial"/>
          <w:sz w:val="22"/>
          <w:szCs w:val="22"/>
        </w:rPr>
        <w:t>zo de</w:t>
      </w:r>
      <w:r w:rsidR="004B4B93" w:rsidRPr="00E042A4">
        <w:rPr>
          <w:rFonts w:ascii="Arial" w:hAnsi="Arial" w:cs="Arial"/>
          <w:sz w:val="22"/>
          <w:szCs w:val="22"/>
        </w:rPr>
        <w:t xml:space="preserve"> prescripción. La </w:t>
      </w:r>
      <w:r w:rsidR="00172633" w:rsidRPr="00E042A4">
        <w:rPr>
          <w:rFonts w:ascii="Arial" w:hAnsi="Arial" w:cs="Arial"/>
          <w:sz w:val="22"/>
          <w:szCs w:val="22"/>
        </w:rPr>
        <w:t xml:space="preserve">doctrina </w:t>
      </w:r>
      <w:r w:rsidR="004B4B93" w:rsidRPr="00E042A4">
        <w:rPr>
          <w:rFonts w:ascii="Arial" w:hAnsi="Arial" w:cs="Arial"/>
          <w:sz w:val="22"/>
          <w:szCs w:val="22"/>
        </w:rPr>
        <w:t xml:space="preserve">del </w:t>
      </w:r>
      <w:r w:rsidR="00172633" w:rsidRPr="00E042A4">
        <w:rPr>
          <w:rFonts w:ascii="Arial" w:hAnsi="Arial" w:cs="Arial"/>
          <w:b/>
          <w:sz w:val="22"/>
          <w:szCs w:val="22"/>
        </w:rPr>
        <w:t>TS</w:t>
      </w:r>
      <w:r w:rsidR="00172633" w:rsidRPr="00E042A4">
        <w:rPr>
          <w:rFonts w:ascii="Arial" w:hAnsi="Arial" w:cs="Arial"/>
          <w:sz w:val="22"/>
          <w:szCs w:val="22"/>
        </w:rPr>
        <w:t xml:space="preserve"> sobre este particular implicó </w:t>
      </w:r>
      <w:r w:rsidR="004B4B93" w:rsidRPr="00E042A4">
        <w:rPr>
          <w:rFonts w:ascii="Arial" w:hAnsi="Arial" w:cs="Arial"/>
          <w:sz w:val="22"/>
          <w:szCs w:val="22"/>
        </w:rPr>
        <w:t>que el p</w:t>
      </w:r>
      <w:r w:rsidR="00172633" w:rsidRPr="00E042A4">
        <w:rPr>
          <w:rFonts w:ascii="Arial" w:hAnsi="Arial" w:cs="Arial"/>
          <w:sz w:val="22"/>
          <w:szCs w:val="22"/>
        </w:rPr>
        <w:t>laz</w:t>
      </w:r>
      <w:r w:rsidR="004B4B93" w:rsidRPr="00E042A4">
        <w:rPr>
          <w:rFonts w:ascii="Arial" w:hAnsi="Arial" w:cs="Arial"/>
          <w:sz w:val="22"/>
          <w:szCs w:val="22"/>
        </w:rPr>
        <w:t xml:space="preserve">o de cuatro años </w:t>
      </w:r>
      <w:r w:rsidR="00172633" w:rsidRPr="00E042A4">
        <w:rPr>
          <w:rFonts w:ascii="Arial" w:hAnsi="Arial" w:cs="Arial"/>
          <w:sz w:val="22"/>
          <w:szCs w:val="22"/>
        </w:rPr>
        <w:t xml:space="preserve">de prescripción extintiva quedaba </w:t>
      </w:r>
      <w:r w:rsidR="004B4B93" w:rsidRPr="00E042A4">
        <w:rPr>
          <w:rFonts w:ascii="Arial" w:hAnsi="Arial" w:cs="Arial"/>
          <w:sz w:val="22"/>
          <w:szCs w:val="22"/>
        </w:rPr>
        <w:t>renova</w:t>
      </w:r>
      <w:r w:rsidR="00172633" w:rsidRPr="00E042A4">
        <w:rPr>
          <w:rFonts w:ascii="Arial" w:hAnsi="Arial" w:cs="Arial"/>
          <w:sz w:val="22"/>
          <w:szCs w:val="22"/>
        </w:rPr>
        <w:t xml:space="preserve">do al presentarse la declaración resumen anual del IVA </w:t>
      </w:r>
      <w:r w:rsidR="004B4B93" w:rsidRPr="00E042A4">
        <w:rPr>
          <w:rFonts w:ascii="Arial" w:hAnsi="Arial" w:cs="Arial"/>
          <w:sz w:val="22"/>
          <w:szCs w:val="22"/>
        </w:rPr>
        <w:t xml:space="preserve">el </w:t>
      </w:r>
      <w:r w:rsidR="00172633" w:rsidRPr="00E042A4">
        <w:rPr>
          <w:rFonts w:ascii="Arial" w:hAnsi="Arial" w:cs="Arial"/>
          <w:sz w:val="22"/>
          <w:szCs w:val="22"/>
        </w:rPr>
        <w:t xml:space="preserve">día </w:t>
      </w:r>
      <w:r w:rsidR="004B4B93" w:rsidRPr="00E042A4">
        <w:rPr>
          <w:rFonts w:ascii="Arial" w:hAnsi="Arial" w:cs="Arial"/>
          <w:sz w:val="22"/>
          <w:szCs w:val="22"/>
        </w:rPr>
        <w:t xml:space="preserve">30 de enero del </w:t>
      </w:r>
      <w:r w:rsidR="00172633" w:rsidRPr="00E042A4">
        <w:rPr>
          <w:rFonts w:ascii="Arial" w:hAnsi="Arial" w:cs="Arial"/>
          <w:sz w:val="22"/>
          <w:szCs w:val="22"/>
        </w:rPr>
        <w:t>año</w:t>
      </w:r>
      <w:r w:rsidR="004B4B93" w:rsidRPr="00E042A4">
        <w:rPr>
          <w:rFonts w:ascii="Arial" w:hAnsi="Arial" w:cs="Arial"/>
          <w:sz w:val="22"/>
          <w:szCs w:val="22"/>
        </w:rPr>
        <w:t xml:space="preserve"> siguiente.</w:t>
      </w:r>
      <w:r w:rsidR="005F5CD8" w:rsidRPr="00E042A4">
        <w:rPr>
          <w:rFonts w:ascii="Arial" w:hAnsi="Arial" w:cs="Arial"/>
          <w:sz w:val="22"/>
          <w:szCs w:val="22"/>
        </w:rPr>
        <w:t xml:space="preserve"> </w:t>
      </w:r>
    </w:p>
    <w:p w:rsidR="005F5CD8" w:rsidRPr="00E042A4" w:rsidRDefault="005F5CD8" w:rsidP="00E042A4">
      <w:pPr>
        <w:spacing w:after="0" w:line="360" w:lineRule="auto"/>
        <w:jc w:val="both"/>
        <w:rPr>
          <w:rFonts w:ascii="Arial" w:hAnsi="Arial" w:cs="Arial"/>
        </w:rPr>
      </w:pPr>
    </w:p>
    <w:p w:rsidR="004B4B93" w:rsidRPr="00E042A4" w:rsidRDefault="005F5CD8" w:rsidP="00E042A4">
      <w:pPr>
        <w:spacing w:after="0" w:line="360" w:lineRule="auto"/>
        <w:jc w:val="both"/>
        <w:rPr>
          <w:rFonts w:ascii="Arial" w:hAnsi="Arial" w:cs="Arial"/>
        </w:rPr>
      </w:pPr>
      <w:r w:rsidRPr="00E042A4">
        <w:rPr>
          <w:rFonts w:ascii="Arial" w:hAnsi="Arial" w:cs="Arial"/>
        </w:rPr>
        <w:t xml:space="preserve">En el hipotético supuesto de un sujeto pasivo </w:t>
      </w:r>
      <w:r w:rsidRPr="00E042A4">
        <w:rPr>
          <w:rFonts w:ascii="Arial" w:eastAsia="Times New Roman" w:hAnsi="Arial" w:cs="Arial"/>
          <w:lang w:eastAsia="es-ES"/>
        </w:rPr>
        <w:t xml:space="preserve">que en la autoliquidación de IVA del primer trimestre de 2015 cometiera una irregularidad, conforme a la doctrina señalada del TS, la presentación del modelo 390 resumen anual del ejercicio 2015, efectuada por aquel el 30 de enero de 2016, sí tendría efectos interruptivos de la prescripción, por lo que el plazo de cuatro años comenzaría a correr de nuevo. </w:t>
      </w:r>
      <w:r w:rsidRPr="00E042A4">
        <w:rPr>
          <w:rFonts w:ascii="Arial" w:hAnsi="Arial" w:cs="Arial"/>
        </w:rPr>
        <w:t>Así,</w:t>
      </w:r>
      <w:r w:rsidRPr="00E042A4">
        <w:rPr>
          <w:rFonts w:ascii="Arial" w:eastAsia="Times New Roman" w:hAnsi="Arial" w:cs="Arial"/>
          <w:lang w:eastAsia="es-ES"/>
        </w:rPr>
        <w:t xml:space="preserve"> la Hacienda Pública dispondría de un plazo para ejercer su derecho de liquidar la deuda tributaria, regularizando la situación del contribuyente que abarcaría desde el 31 de enero de 2016 hasta 31 de enero de 2020.</w:t>
      </w:r>
    </w:p>
    <w:p w:rsidR="00AE332D" w:rsidRPr="00E042A4" w:rsidRDefault="00AE332D" w:rsidP="00E042A4">
      <w:pPr>
        <w:pStyle w:val="NormalWeb"/>
        <w:spacing w:before="0" w:beforeAutospacing="0" w:after="0" w:afterAutospacing="0" w:line="360" w:lineRule="auto"/>
        <w:jc w:val="both"/>
        <w:rPr>
          <w:rFonts w:ascii="Arial" w:hAnsi="Arial" w:cs="Arial"/>
          <w:sz w:val="22"/>
          <w:szCs w:val="22"/>
        </w:rPr>
      </w:pPr>
    </w:p>
    <w:p w:rsidR="0040142D" w:rsidRPr="00E042A4" w:rsidRDefault="00A022BF"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E</w:t>
      </w:r>
      <w:r w:rsidR="00AE332D" w:rsidRPr="00E042A4">
        <w:rPr>
          <w:rFonts w:ascii="Arial" w:hAnsi="Arial" w:cs="Arial"/>
          <w:sz w:val="22"/>
          <w:szCs w:val="22"/>
        </w:rPr>
        <w:t xml:space="preserve">l </w:t>
      </w:r>
      <w:r w:rsidRPr="00E042A4">
        <w:rPr>
          <w:rFonts w:ascii="Arial" w:hAnsi="Arial" w:cs="Arial"/>
          <w:sz w:val="22"/>
          <w:szCs w:val="22"/>
        </w:rPr>
        <w:t xml:space="preserve">alto </w:t>
      </w:r>
      <w:r w:rsidR="00AE332D" w:rsidRPr="00E042A4">
        <w:rPr>
          <w:rFonts w:ascii="Arial" w:hAnsi="Arial" w:cs="Arial"/>
          <w:sz w:val="22"/>
          <w:szCs w:val="22"/>
        </w:rPr>
        <w:t>T</w:t>
      </w:r>
      <w:r w:rsidRPr="00E042A4">
        <w:rPr>
          <w:rFonts w:ascii="Arial" w:hAnsi="Arial" w:cs="Arial"/>
          <w:sz w:val="22"/>
          <w:szCs w:val="22"/>
        </w:rPr>
        <w:t>ribunal</w:t>
      </w:r>
      <w:r w:rsidR="00AE332D" w:rsidRPr="00E042A4">
        <w:rPr>
          <w:rFonts w:ascii="Arial" w:hAnsi="Arial" w:cs="Arial"/>
          <w:sz w:val="22"/>
          <w:szCs w:val="22"/>
        </w:rPr>
        <w:t xml:space="preserve"> </w:t>
      </w:r>
      <w:r w:rsidRPr="00E042A4">
        <w:rPr>
          <w:rFonts w:ascii="Arial" w:hAnsi="Arial" w:cs="Arial"/>
          <w:sz w:val="22"/>
          <w:szCs w:val="22"/>
        </w:rPr>
        <w:t>fundamenta</w:t>
      </w:r>
      <w:r w:rsidR="00AE332D" w:rsidRPr="00E042A4">
        <w:rPr>
          <w:rFonts w:ascii="Arial" w:hAnsi="Arial" w:cs="Arial"/>
          <w:sz w:val="22"/>
          <w:szCs w:val="22"/>
        </w:rPr>
        <w:t xml:space="preserve">ba </w:t>
      </w:r>
      <w:r w:rsidRPr="00E042A4">
        <w:rPr>
          <w:rFonts w:ascii="Arial" w:hAnsi="Arial" w:cs="Arial"/>
          <w:sz w:val="22"/>
          <w:szCs w:val="22"/>
        </w:rPr>
        <w:t xml:space="preserve">su doctrina en </w:t>
      </w:r>
      <w:r w:rsidR="00F85EEE" w:rsidRPr="00E042A4">
        <w:rPr>
          <w:rFonts w:ascii="Arial" w:hAnsi="Arial" w:cs="Arial"/>
          <w:sz w:val="22"/>
          <w:szCs w:val="22"/>
        </w:rPr>
        <w:t xml:space="preserve">el hecho de </w:t>
      </w:r>
      <w:r w:rsidR="00AE332D" w:rsidRPr="00E042A4">
        <w:rPr>
          <w:rFonts w:ascii="Arial" w:hAnsi="Arial" w:cs="Arial"/>
          <w:sz w:val="22"/>
          <w:szCs w:val="22"/>
        </w:rPr>
        <w:t xml:space="preserve">que en la declaración resumen anual del IVA era obligatorio incluir las </w:t>
      </w:r>
      <w:r w:rsidR="00AE332D" w:rsidRPr="00E042A4">
        <w:rPr>
          <w:rStyle w:val="Textoennegrita"/>
          <w:rFonts w:ascii="Arial" w:hAnsi="Arial" w:cs="Arial"/>
          <w:b w:val="0"/>
          <w:sz w:val="22"/>
          <w:szCs w:val="22"/>
        </w:rPr>
        <w:t>autoliquidaciones</w:t>
      </w:r>
      <w:r w:rsidR="00AE332D" w:rsidRPr="00E042A4">
        <w:rPr>
          <w:rFonts w:ascii="Arial" w:hAnsi="Arial" w:cs="Arial"/>
          <w:sz w:val="22"/>
          <w:szCs w:val="22"/>
        </w:rPr>
        <w:t xml:space="preserve"> presentadas en todo el año. </w:t>
      </w:r>
    </w:p>
    <w:p w:rsidR="00B67166" w:rsidRPr="00E042A4" w:rsidRDefault="00B67166" w:rsidP="00E042A4">
      <w:pPr>
        <w:pStyle w:val="NormalWeb"/>
        <w:spacing w:before="0" w:beforeAutospacing="0" w:after="0" w:afterAutospacing="0" w:line="360" w:lineRule="auto"/>
        <w:jc w:val="both"/>
        <w:rPr>
          <w:rFonts w:ascii="Arial" w:hAnsi="Arial" w:cs="Arial"/>
          <w:sz w:val="22"/>
          <w:szCs w:val="22"/>
        </w:rPr>
      </w:pPr>
    </w:p>
    <w:p w:rsidR="003A4964" w:rsidRDefault="003A4964" w:rsidP="00E042A4">
      <w:pPr>
        <w:spacing w:after="0" w:line="360" w:lineRule="auto"/>
        <w:jc w:val="both"/>
        <w:rPr>
          <w:rFonts w:ascii="Arial" w:eastAsia="Times New Roman" w:hAnsi="Arial" w:cs="Arial"/>
          <w:u w:val="double"/>
          <w:lang w:eastAsia="es-ES"/>
        </w:rPr>
      </w:pPr>
      <w:r w:rsidRPr="003A4964">
        <w:rPr>
          <w:rFonts w:ascii="Arial" w:eastAsia="Times New Roman" w:hAnsi="Arial" w:cs="Arial"/>
          <w:u w:val="double"/>
          <w:lang w:eastAsia="es-ES"/>
        </w:rPr>
        <w:t>III</w:t>
      </w:r>
      <w:r w:rsidRPr="003A4964">
        <w:rPr>
          <w:rFonts w:ascii="Arial" w:eastAsia="Times New Roman" w:hAnsi="Arial" w:cs="Arial"/>
          <w:lang w:eastAsia="es-ES"/>
        </w:rPr>
        <w:t xml:space="preserve">. </w:t>
      </w:r>
      <w:r>
        <w:rPr>
          <w:rFonts w:ascii="Arial" w:eastAsia="Times New Roman" w:hAnsi="Arial" w:cs="Arial"/>
          <w:lang w:eastAsia="es-ES"/>
        </w:rPr>
        <w:t xml:space="preserve"> </w:t>
      </w:r>
      <w:r w:rsidRPr="003A4964">
        <w:rPr>
          <w:rFonts w:ascii="Arial" w:eastAsia="Times New Roman" w:hAnsi="Arial" w:cs="Arial"/>
          <w:u w:val="double"/>
          <w:lang w:eastAsia="es-ES"/>
        </w:rPr>
        <w:t xml:space="preserve">EL CRITERIO DEL TEAC EN SU RESOLUCIÓN DE 22 DE SEPTIEMBRE DE </w:t>
      </w:r>
      <w:r>
        <w:rPr>
          <w:rFonts w:ascii="Arial" w:eastAsia="Times New Roman" w:hAnsi="Arial" w:cs="Arial"/>
          <w:u w:val="double"/>
          <w:lang w:eastAsia="es-ES"/>
        </w:rPr>
        <w:t xml:space="preserve">   </w:t>
      </w:r>
    </w:p>
    <w:p w:rsidR="00B67166" w:rsidRPr="003A4964" w:rsidRDefault="003A4964" w:rsidP="00E042A4">
      <w:pPr>
        <w:spacing w:after="0" w:line="360" w:lineRule="auto"/>
        <w:jc w:val="both"/>
        <w:rPr>
          <w:rFonts w:ascii="Arial" w:eastAsia="Times New Roman" w:hAnsi="Arial" w:cs="Arial"/>
          <w:lang w:eastAsia="es-ES"/>
        </w:rPr>
      </w:pPr>
      <w:r w:rsidRPr="003A4964">
        <w:rPr>
          <w:rFonts w:ascii="Arial" w:eastAsia="Times New Roman" w:hAnsi="Arial" w:cs="Arial"/>
          <w:lang w:eastAsia="es-ES"/>
        </w:rPr>
        <w:t xml:space="preserve">     </w:t>
      </w:r>
      <w:r w:rsidRPr="003A4964">
        <w:rPr>
          <w:rFonts w:ascii="Arial" w:eastAsia="Times New Roman" w:hAnsi="Arial" w:cs="Arial"/>
          <w:u w:val="double"/>
          <w:lang w:eastAsia="es-ES"/>
        </w:rPr>
        <w:t>2016</w:t>
      </w:r>
      <w:r w:rsidRPr="003A4964">
        <w:rPr>
          <w:rFonts w:ascii="Arial" w:eastAsia="Times New Roman" w:hAnsi="Arial" w:cs="Arial"/>
          <w:lang w:eastAsia="es-ES"/>
        </w:rPr>
        <w:t>.</w:t>
      </w:r>
    </w:p>
    <w:p w:rsidR="00E84FA4" w:rsidRPr="00E042A4" w:rsidRDefault="007D6483" w:rsidP="00E042A4">
      <w:pPr>
        <w:pStyle w:val="NormalWeb"/>
        <w:tabs>
          <w:tab w:val="left" w:pos="5851"/>
        </w:tabs>
        <w:spacing w:before="0" w:beforeAutospacing="0" w:after="0" w:afterAutospacing="0" w:line="360" w:lineRule="auto"/>
        <w:jc w:val="both"/>
        <w:rPr>
          <w:rFonts w:ascii="Arial" w:hAnsi="Arial" w:cs="Arial"/>
          <w:sz w:val="22"/>
          <w:szCs w:val="22"/>
        </w:rPr>
      </w:pPr>
      <w:r w:rsidRPr="00E042A4">
        <w:rPr>
          <w:rFonts w:ascii="Arial" w:hAnsi="Arial" w:cs="Arial"/>
          <w:sz w:val="22"/>
          <w:szCs w:val="22"/>
        </w:rPr>
        <w:tab/>
      </w:r>
    </w:p>
    <w:p w:rsidR="00C20C55" w:rsidRPr="00E042A4" w:rsidRDefault="00A022BF"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Las críticas a la novedosa doctrina </w:t>
      </w:r>
      <w:r w:rsidR="004B4B93" w:rsidRPr="00E042A4">
        <w:rPr>
          <w:rFonts w:ascii="Arial" w:hAnsi="Arial" w:cs="Arial"/>
          <w:sz w:val="22"/>
          <w:szCs w:val="22"/>
        </w:rPr>
        <w:t xml:space="preserve">del </w:t>
      </w:r>
      <w:r w:rsidRPr="00E042A4">
        <w:rPr>
          <w:rFonts w:ascii="Arial" w:hAnsi="Arial" w:cs="Arial"/>
          <w:b/>
          <w:sz w:val="22"/>
          <w:szCs w:val="22"/>
        </w:rPr>
        <w:t>TS</w:t>
      </w:r>
      <w:r w:rsidR="004B4B93" w:rsidRPr="00E042A4">
        <w:rPr>
          <w:rFonts w:ascii="Arial" w:hAnsi="Arial" w:cs="Arial"/>
          <w:sz w:val="22"/>
          <w:szCs w:val="22"/>
        </w:rPr>
        <w:t xml:space="preserve"> </w:t>
      </w:r>
      <w:r w:rsidRPr="00E042A4">
        <w:rPr>
          <w:rFonts w:ascii="Arial" w:hAnsi="Arial" w:cs="Arial"/>
          <w:sz w:val="22"/>
          <w:szCs w:val="22"/>
        </w:rPr>
        <w:t>no se dejaron esperar. Así</w:t>
      </w:r>
      <w:r w:rsidR="004B4B93" w:rsidRPr="00E042A4">
        <w:rPr>
          <w:rFonts w:ascii="Arial" w:hAnsi="Arial" w:cs="Arial"/>
          <w:sz w:val="22"/>
          <w:szCs w:val="22"/>
        </w:rPr>
        <w:t xml:space="preserve">, </w:t>
      </w:r>
      <w:r w:rsidRPr="00E042A4">
        <w:rPr>
          <w:rFonts w:ascii="Arial" w:hAnsi="Arial" w:cs="Arial"/>
          <w:sz w:val="22"/>
          <w:szCs w:val="22"/>
        </w:rPr>
        <w:t xml:space="preserve">los profesionales de la </w:t>
      </w:r>
      <w:r w:rsidR="00C20C55" w:rsidRPr="00E042A4">
        <w:rPr>
          <w:rFonts w:ascii="Arial" w:hAnsi="Arial" w:cs="Arial"/>
          <w:sz w:val="22"/>
          <w:szCs w:val="22"/>
        </w:rPr>
        <w:t xml:space="preserve">tributación </w:t>
      </w:r>
      <w:r w:rsidRPr="00E042A4">
        <w:rPr>
          <w:rFonts w:ascii="Arial" w:hAnsi="Arial" w:cs="Arial"/>
          <w:sz w:val="22"/>
          <w:szCs w:val="22"/>
        </w:rPr>
        <w:t xml:space="preserve"> invocaron como argumento en contra </w:t>
      </w:r>
      <w:r w:rsidR="00B67166" w:rsidRPr="00E042A4">
        <w:rPr>
          <w:rFonts w:ascii="Arial" w:hAnsi="Arial" w:cs="Arial"/>
          <w:sz w:val="22"/>
          <w:szCs w:val="22"/>
        </w:rPr>
        <w:t xml:space="preserve">de la doctrina jurisprudencial </w:t>
      </w:r>
      <w:r w:rsidR="00C20C55" w:rsidRPr="00E042A4">
        <w:rPr>
          <w:rFonts w:ascii="Arial" w:hAnsi="Arial" w:cs="Arial"/>
          <w:sz w:val="22"/>
          <w:szCs w:val="22"/>
        </w:rPr>
        <w:t xml:space="preserve">que </w:t>
      </w:r>
      <w:r w:rsidR="004B4B93" w:rsidRPr="00E042A4">
        <w:rPr>
          <w:rFonts w:ascii="Arial" w:hAnsi="Arial" w:cs="Arial"/>
          <w:sz w:val="22"/>
          <w:szCs w:val="22"/>
        </w:rPr>
        <w:t xml:space="preserve">el </w:t>
      </w:r>
      <w:r w:rsidR="008E7223" w:rsidRPr="00E042A4">
        <w:rPr>
          <w:rFonts w:ascii="Arial" w:hAnsi="Arial" w:cs="Arial"/>
          <w:sz w:val="22"/>
          <w:szCs w:val="22"/>
        </w:rPr>
        <w:t>f</w:t>
      </w:r>
      <w:r w:rsidR="004B4B93" w:rsidRPr="00E042A4">
        <w:rPr>
          <w:rFonts w:ascii="Arial" w:hAnsi="Arial" w:cs="Arial"/>
          <w:sz w:val="22"/>
          <w:szCs w:val="22"/>
        </w:rPr>
        <w:t>o</w:t>
      </w:r>
      <w:r w:rsidR="008E7223" w:rsidRPr="00E042A4">
        <w:rPr>
          <w:rFonts w:ascii="Arial" w:hAnsi="Arial" w:cs="Arial"/>
          <w:sz w:val="22"/>
          <w:szCs w:val="22"/>
        </w:rPr>
        <w:t>rmu</w:t>
      </w:r>
      <w:r w:rsidR="004B4B93" w:rsidRPr="00E042A4">
        <w:rPr>
          <w:rFonts w:ascii="Arial" w:hAnsi="Arial" w:cs="Arial"/>
          <w:sz w:val="22"/>
          <w:szCs w:val="22"/>
        </w:rPr>
        <w:t>l</w:t>
      </w:r>
      <w:r w:rsidR="008E7223" w:rsidRPr="00E042A4">
        <w:rPr>
          <w:rFonts w:ascii="Arial" w:hAnsi="Arial" w:cs="Arial"/>
          <w:sz w:val="22"/>
          <w:szCs w:val="22"/>
        </w:rPr>
        <w:t>ari</w:t>
      </w:r>
      <w:r w:rsidR="004B4B93" w:rsidRPr="00E042A4">
        <w:rPr>
          <w:rFonts w:ascii="Arial" w:hAnsi="Arial" w:cs="Arial"/>
          <w:sz w:val="22"/>
          <w:szCs w:val="22"/>
        </w:rPr>
        <w:t>o 390 de resumen anual del IVA s</w:t>
      </w:r>
      <w:r w:rsidRPr="00E042A4">
        <w:rPr>
          <w:rFonts w:ascii="Arial" w:hAnsi="Arial" w:cs="Arial"/>
          <w:sz w:val="22"/>
          <w:szCs w:val="22"/>
        </w:rPr>
        <w:t>ólo es</w:t>
      </w:r>
      <w:r w:rsidR="004B4B93" w:rsidRPr="00E042A4">
        <w:rPr>
          <w:rFonts w:ascii="Arial" w:hAnsi="Arial" w:cs="Arial"/>
          <w:sz w:val="22"/>
          <w:szCs w:val="22"/>
        </w:rPr>
        <w:t xml:space="preserve"> una </w:t>
      </w:r>
      <w:r w:rsidR="004B4B93" w:rsidRPr="00E042A4">
        <w:rPr>
          <w:rFonts w:ascii="Arial" w:hAnsi="Arial" w:cs="Arial"/>
          <w:b/>
          <w:sz w:val="22"/>
          <w:szCs w:val="22"/>
        </w:rPr>
        <w:t xml:space="preserve">declaración </w:t>
      </w:r>
      <w:r w:rsidRPr="00E042A4">
        <w:rPr>
          <w:rFonts w:ascii="Arial" w:hAnsi="Arial" w:cs="Arial"/>
          <w:b/>
          <w:sz w:val="22"/>
          <w:szCs w:val="22"/>
        </w:rPr>
        <w:t xml:space="preserve">formal </w:t>
      </w:r>
      <w:r w:rsidRPr="00E042A4">
        <w:rPr>
          <w:rFonts w:ascii="Arial" w:hAnsi="Arial" w:cs="Arial"/>
          <w:sz w:val="22"/>
          <w:szCs w:val="22"/>
        </w:rPr>
        <w:t>de</w:t>
      </w:r>
      <w:r w:rsidRPr="00E042A4">
        <w:rPr>
          <w:rFonts w:ascii="Arial" w:hAnsi="Arial" w:cs="Arial"/>
          <w:b/>
          <w:sz w:val="22"/>
          <w:szCs w:val="22"/>
        </w:rPr>
        <w:t xml:space="preserve"> naturaleza meramente informativa</w:t>
      </w:r>
      <w:r w:rsidR="008E7223" w:rsidRPr="00E042A4">
        <w:rPr>
          <w:rFonts w:ascii="Arial" w:hAnsi="Arial" w:cs="Arial"/>
          <w:sz w:val="22"/>
          <w:szCs w:val="22"/>
        </w:rPr>
        <w:t xml:space="preserve">, reveladora para la Agencia Estatal de Admón. tributaria (AEAT) de la realidad económica de los </w:t>
      </w:r>
      <w:r w:rsidR="004A02B6" w:rsidRPr="00E042A4">
        <w:rPr>
          <w:rFonts w:ascii="Arial" w:hAnsi="Arial" w:cs="Arial"/>
          <w:sz w:val="22"/>
          <w:szCs w:val="22"/>
        </w:rPr>
        <w:t>obligad</w:t>
      </w:r>
      <w:r w:rsidR="008E7223" w:rsidRPr="00E042A4">
        <w:rPr>
          <w:rFonts w:ascii="Arial" w:hAnsi="Arial" w:cs="Arial"/>
          <w:sz w:val="22"/>
          <w:szCs w:val="22"/>
        </w:rPr>
        <w:t>os en el año anterior al que se refiere.</w:t>
      </w:r>
      <w:r w:rsidR="004B4B93" w:rsidRPr="00E042A4">
        <w:rPr>
          <w:rFonts w:ascii="Arial" w:hAnsi="Arial" w:cs="Arial"/>
          <w:sz w:val="22"/>
          <w:szCs w:val="22"/>
        </w:rPr>
        <w:t xml:space="preserve"> </w:t>
      </w:r>
    </w:p>
    <w:p w:rsidR="00C20C55" w:rsidRPr="00E042A4" w:rsidRDefault="00C20C55" w:rsidP="00E042A4">
      <w:pPr>
        <w:pStyle w:val="NormalWeb"/>
        <w:spacing w:before="0" w:beforeAutospacing="0" w:after="0" w:afterAutospacing="0" w:line="360" w:lineRule="auto"/>
        <w:jc w:val="both"/>
        <w:rPr>
          <w:rFonts w:ascii="Arial" w:hAnsi="Arial" w:cs="Arial"/>
          <w:sz w:val="22"/>
          <w:szCs w:val="22"/>
        </w:rPr>
      </w:pPr>
    </w:p>
    <w:p w:rsidR="00C20C55" w:rsidRPr="00E042A4" w:rsidRDefault="00CE0B92"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Esto es, </w:t>
      </w:r>
      <w:r w:rsidR="007D6483" w:rsidRPr="00E042A4">
        <w:rPr>
          <w:rFonts w:ascii="Arial" w:hAnsi="Arial" w:cs="Arial"/>
          <w:sz w:val="22"/>
          <w:szCs w:val="22"/>
        </w:rPr>
        <w:t>a diferencia de la obligación formal de presentación periódica de la declaración-liquidación mensual o trimestral del IVA que es un instrumento preciso para la observancia del deber material de pago de la deuda tributaria, en l</w:t>
      </w:r>
      <w:r w:rsidRPr="00E042A4">
        <w:rPr>
          <w:rFonts w:ascii="Arial" w:hAnsi="Arial" w:cs="Arial"/>
          <w:sz w:val="22"/>
          <w:szCs w:val="22"/>
        </w:rPr>
        <w:t xml:space="preserve">a declaración </w:t>
      </w:r>
      <w:r w:rsidR="007D6483" w:rsidRPr="00E042A4">
        <w:rPr>
          <w:rFonts w:ascii="Arial" w:hAnsi="Arial" w:cs="Arial"/>
          <w:sz w:val="22"/>
          <w:szCs w:val="22"/>
        </w:rPr>
        <w:t xml:space="preserve">resumen anual </w:t>
      </w:r>
      <w:r w:rsidRPr="00E042A4">
        <w:rPr>
          <w:rFonts w:ascii="Arial" w:hAnsi="Arial" w:cs="Arial"/>
          <w:sz w:val="22"/>
          <w:szCs w:val="22"/>
        </w:rPr>
        <w:t>los contribuyentes ni</w:t>
      </w:r>
      <w:r w:rsidR="004B4B93" w:rsidRPr="00E042A4">
        <w:rPr>
          <w:rFonts w:ascii="Arial" w:hAnsi="Arial" w:cs="Arial"/>
          <w:sz w:val="22"/>
          <w:szCs w:val="22"/>
        </w:rPr>
        <w:t xml:space="preserve"> </w:t>
      </w:r>
      <w:r w:rsidRPr="00E042A4">
        <w:rPr>
          <w:rFonts w:ascii="Arial" w:hAnsi="Arial" w:cs="Arial"/>
          <w:sz w:val="22"/>
          <w:szCs w:val="22"/>
        </w:rPr>
        <w:t>cuantifican la deuda tributaria</w:t>
      </w:r>
      <w:r w:rsidR="003B3377" w:rsidRPr="00E042A4">
        <w:rPr>
          <w:rFonts w:ascii="Arial" w:hAnsi="Arial" w:cs="Arial"/>
          <w:sz w:val="22"/>
          <w:szCs w:val="22"/>
        </w:rPr>
        <w:t>,</w:t>
      </w:r>
      <w:r w:rsidRPr="00E042A4">
        <w:rPr>
          <w:rFonts w:ascii="Arial" w:hAnsi="Arial" w:cs="Arial"/>
          <w:sz w:val="22"/>
          <w:szCs w:val="22"/>
        </w:rPr>
        <w:t xml:space="preserve"> ni efectúan ningún </w:t>
      </w:r>
      <w:r w:rsidR="003B3377" w:rsidRPr="00E042A4">
        <w:rPr>
          <w:rFonts w:ascii="Arial" w:hAnsi="Arial" w:cs="Arial"/>
          <w:sz w:val="22"/>
          <w:szCs w:val="22"/>
        </w:rPr>
        <w:t xml:space="preserve">ingreso, sólo </w:t>
      </w:r>
      <w:r w:rsidR="004B4B93" w:rsidRPr="00E042A4">
        <w:rPr>
          <w:rFonts w:ascii="Arial" w:hAnsi="Arial" w:cs="Arial"/>
          <w:sz w:val="22"/>
          <w:szCs w:val="22"/>
        </w:rPr>
        <w:t xml:space="preserve">informan a la </w:t>
      </w:r>
      <w:r w:rsidR="004B4B93" w:rsidRPr="00E042A4">
        <w:rPr>
          <w:rStyle w:val="Textoennegrita"/>
          <w:rFonts w:ascii="Arial" w:hAnsi="Arial" w:cs="Arial"/>
          <w:b w:val="0"/>
          <w:sz w:val="22"/>
          <w:szCs w:val="22"/>
        </w:rPr>
        <w:t>A</w:t>
      </w:r>
      <w:r w:rsidR="003B3377" w:rsidRPr="00E042A4">
        <w:rPr>
          <w:rStyle w:val="Textoennegrita"/>
          <w:rFonts w:ascii="Arial" w:hAnsi="Arial" w:cs="Arial"/>
          <w:b w:val="0"/>
          <w:sz w:val="22"/>
          <w:szCs w:val="22"/>
        </w:rPr>
        <w:t>dmón. tr</w:t>
      </w:r>
      <w:r w:rsidR="004B4B93" w:rsidRPr="00E042A4">
        <w:rPr>
          <w:rStyle w:val="Textoennegrita"/>
          <w:rFonts w:ascii="Arial" w:hAnsi="Arial" w:cs="Arial"/>
          <w:b w:val="0"/>
          <w:sz w:val="22"/>
          <w:szCs w:val="22"/>
        </w:rPr>
        <w:t>ibutaria</w:t>
      </w:r>
      <w:r w:rsidR="004B4B93" w:rsidRPr="00E042A4">
        <w:rPr>
          <w:rFonts w:ascii="Arial" w:hAnsi="Arial" w:cs="Arial"/>
          <w:sz w:val="22"/>
          <w:szCs w:val="22"/>
        </w:rPr>
        <w:t xml:space="preserve"> de </w:t>
      </w:r>
      <w:r w:rsidR="003B3377" w:rsidRPr="00E042A4">
        <w:rPr>
          <w:rFonts w:ascii="Arial" w:hAnsi="Arial" w:cs="Arial"/>
          <w:sz w:val="22"/>
          <w:szCs w:val="22"/>
        </w:rPr>
        <w:t>los datos de l</w:t>
      </w:r>
      <w:r w:rsidR="004B4B93" w:rsidRPr="00E042A4">
        <w:rPr>
          <w:rFonts w:ascii="Arial" w:hAnsi="Arial" w:cs="Arial"/>
          <w:sz w:val="22"/>
          <w:szCs w:val="22"/>
        </w:rPr>
        <w:t>a</w:t>
      </w:r>
      <w:r w:rsidR="003B3377" w:rsidRPr="00E042A4">
        <w:rPr>
          <w:rFonts w:ascii="Arial" w:hAnsi="Arial" w:cs="Arial"/>
          <w:sz w:val="22"/>
          <w:szCs w:val="22"/>
        </w:rPr>
        <w:t xml:space="preserve">s operaciones de liquidación correspondientes a la </w:t>
      </w:r>
      <w:r w:rsidR="004B4B93" w:rsidRPr="00E042A4">
        <w:rPr>
          <w:rFonts w:ascii="Arial" w:hAnsi="Arial" w:cs="Arial"/>
          <w:sz w:val="22"/>
          <w:szCs w:val="22"/>
        </w:rPr>
        <w:t>actividad</w:t>
      </w:r>
      <w:r w:rsidR="003B3377" w:rsidRPr="00E042A4">
        <w:rPr>
          <w:rFonts w:ascii="Arial" w:hAnsi="Arial" w:cs="Arial"/>
          <w:sz w:val="22"/>
          <w:szCs w:val="22"/>
        </w:rPr>
        <w:t xml:space="preserve"> económica (empresarial o profesional)</w:t>
      </w:r>
      <w:r w:rsidR="004B4B93" w:rsidRPr="00E042A4">
        <w:rPr>
          <w:rFonts w:ascii="Arial" w:hAnsi="Arial" w:cs="Arial"/>
          <w:sz w:val="22"/>
          <w:szCs w:val="22"/>
        </w:rPr>
        <w:t xml:space="preserve"> </w:t>
      </w:r>
      <w:r w:rsidR="003B3377" w:rsidRPr="00E042A4">
        <w:rPr>
          <w:rFonts w:ascii="Arial" w:hAnsi="Arial" w:cs="Arial"/>
          <w:sz w:val="22"/>
          <w:szCs w:val="22"/>
        </w:rPr>
        <w:t xml:space="preserve">desarrollada </w:t>
      </w:r>
      <w:r w:rsidR="004B4B93" w:rsidRPr="00E042A4">
        <w:rPr>
          <w:rFonts w:ascii="Arial" w:hAnsi="Arial" w:cs="Arial"/>
          <w:sz w:val="22"/>
          <w:szCs w:val="22"/>
        </w:rPr>
        <w:t xml:space="preserve">en el año </w:t>
      </w:r>
      <w:r w:rsidR="003B3377" w:rsidRPr="00E042A4">
        <w:rPr>
          <w:rFonts w:ascii="Arial" w:hAnsi="Arial" w:cs="Arial"/>
          <w:sz w:val="22"/>
          <w:szCs w:val="22"/>
        </w:rPr>
        <w:t>a</w:t>
      </w:r>
      <w:r w:rsidR="007D6483" w:rsidRPr="00E042A4">
        <w:rPr>
          <w:rFonts w:ascii="Arial" w:hAnsi="Arial" w:cs="Arial"/>
          <w:sz w:val="22"/>
          <w:szCs w:val="22"/>
        </w:rPr>
        <w:t>l que se refieren, sin que su finalidad sea el pago de cuota alguna</w:t>
      </w:r>
      <w:r w:rsidR="004B4B93" w:rsidRPr="00E042A4">
        <w:rPr>
          <w:rFonts w:ascii="Arial" w:hAnsi="Arial" w:cs="Arial"/>
          <w:sz w:val="22"/>
          <w:szCs w:val="22"/>
        </w:rPr>
        <w:t xml:space="preserve">. </w:t>
      </w:r>
      <w:r w:rsidR="00C20C55" w:rsidRPr="00E042A4">
        <w:rPr>
          <w:rFonts w:ascii="Arial" w:hAnsi="Arial" w:cs="Arial"/>
          <w:sz w:val="22"/>
          <w:szCs w:val="22"/>
        </w:rPr>
        <w:t xml:space="preserve">Sí es cierto que </w:t>
      </w:r>
      <w:r w:rsidR="00CF0927" w:rsidRPr="00E042A4">
        <w:rPr>
          <w:rFonts w:ascii="Arial" w:hAnsi="Arial" w:cs="Arial"/>
          <w:sz w:val="22"/>
          <w:szCs w:val="22"/>
        </w:rPr>
        <w:t>en el resumen anual del IVA se contiene una relación detallada de las cuotas devengadas y soportadas en base anual, así como otros contenidos de relevancia para la cuantificación del tributo, a saber</w:t>
      </w:r>
      <w:r w:rsidR="00DC0B52" w:rsidRPr="00E042A4">
        <w:rPr>
          <w:rFonts w:ascii="Arial" w:hAnsi="Arial" w:cs="Arial"/>
          <w:sz w:val="22"/>
          <w:szCs w:val="22"/>
        </w:rPr>
        <w:t>:</w:t>
      </w:r>
      <w:r w:rsidR="00CF0927" w:rsidRPr="00E042A4">
        <w:rPr>
          <w:rFonts w:ascii="Arial" w:hAnsi="Arial" w:cs="Arial"/>
          <w:sz w:val="22"/>
          <w:szCs w:val="22"/>
        </w:rPr>
        <w:t xml:space="preserve"> las actividades </w:t>
      </w:r>
      <w:r w:rsidR="00CF0927" w:rsidRPr="00E042A4">
        <w:rPr>
          <w:rFonts w:ascii="Arial" w:hAnsi="Arial" w:cs="Arial"/>
          <w:sz w:val="22"/>
          <w:szCs w:val="22"/>
        </w:rPr>
        <w:lastRenderedPageBreak/>
        <w:t xml:space="preserve">económicas realizadas, las prorratas o información </w:t>
      </w:r>
      <w:r w:rsidR="00DC0B52" w:rsidRPr="00E042A4">
        <w:rPr>
          <w:rFonts w:ascii="Arial" w:hAnsi="Arial" w:cs="Arial"/>
          <w:sz w:val="22"/>
          <w:szCs w:val="22"/>
        </w:rPr>
        <w:t xml:space="preserve">concreta acerca de operaciones </w:t>
      </w:r>
      <w:r w:rsidR="00CF0927" w:rsidRPr="00E042A4">
        <w:rPr>
          <w:rFonts w:ascii="Arial" w:hAnsi="Arial" w:cs="Arial"/>
          <w:sz w:val="22"/>
          <w:szCs w:val="22"/>
        </w:rPr>
        <w:t xml:space="preserve">no sujetas </w:t>
      </w:r>
      <w:r w:rsidR="00DC0B52" w:rsidRPr="00E042A4">
        <w:rPr>
          <w:rFonts w:ascii="Arial" w:hAnsi="Arial" w:cs="Arial"/>
          <w:sz w:val="22"/>
          <w:szCs w:val="22"/>
        </w:rPr>
        <w:t xml:space="preserve">o exentas </w:t>
      </w:r>
      <w:r w:rsidR="00CF0927" w:rsidRPr="00E042A4">
        <w:rPr>
          <w:rFonts w:ascii="Arial" w:hAnsi="Arial" w:cs="Arial"/>
          <w:sz w:val="22"/>
          <w:szCs w:val="22"/>
        </w:rPr>
        <w:t>e</w:t>
      </w:r>
      <w:r w:rsidR="00DC0B52" w:rsidRPr="00E042A4">
        <w:rPr>
          <w:rFonts w:ascii="Arial" w:hAnsi="Arial" w:cs="Arial"/>
          <w:sz w:val="22"/>
          <w:szCs w:val="22"/>
        </w:rPr>
        <w:t>fectu</w:t>
      </w:r>
      <w:r w:rsidR="00CF0927" w:rsidRPr="00E042A4">
        <w:rPr>
          <w:rFonts w:ascii="Arial" w:hAnsi="Arial" w:cs="Arial"/>
          <w:sz w:val="22"/>
          <w:szCs w:val="22"/>
        </w:rPr>
        <w:t xml:space="preserve">adas </w:t>
      </w:r>
      <w:r w:rsidR="00DC0B52" w:rsidRPr="00E042A4">
        <w:rPr>
          <w:rFonts w:ascii="Arial" w:hAnsi="Arial" w:cs="Arial"/>
          <w:sz w:val="22"/>
          <w:szCs w:val="22"/>
        </w:rPr>
        <w:t xml:space="preserve">por el obligado tributario </w:t>
      </w:r>
      <w:r w:rsidR="00CF0927" w:rsidRPr="00E042A4">
        <w:rPr>
          <w:rFonts w:ascii="Arial" w:hAnsi="Arial" w:cs="Arial"/>
          <w:sz w:val="22"/>
          <w:szCs w:val="22"/>
        </w:rPr>
        <w:t xml:space="preserve">y que no se </w:t>
      </w:r>
      <w:r w:rsidR="00DC0B52" w:rsidRPr="00E042A4">
        <w:rPr>
          <w:rFonts w:ascii="Arial" w:hAnsi="Arial" w:cs="Arial"/>
          <w:sz w:val="22"/>
          <w:szCs w:val="22"/>
        </w:rPr>
        <w:t>refl</w:t>
      </w:r>
      <w:r w:rsidR="00CF0927" w:rsidRPr="00E042A4">
        <w:rPr>
          <w:rFonts w:ascii="Arial" w:hAnsi="Arial" w:cs="Arial"/>
          <w:sz w:val="22"/>
          <w:szCs w:val="22"/>
        </w:rPr>
        <w:t>e</w:t>
      </w:r>
      <w:r w:rsidR="00DC0B52" w:rsidRPr="00E042A4">
        <w:rPr>
          <w:rFonts w:ascii="Arial" w:hAnsi="Arial" w:cs="Arial"/>
          <w:sz w:val="22"/>
          <w:szCs w:val="22"/>
        </w:rPr>
        <w:t>ja</w:t>
      </w:r>
      <w:r w:rsidR="00CF0927" w:rsidRPr="00E042A4">
        <w:rPr>
          <w:rFonts w:ascii="Arial" w:hAnsi="Arial" w:cs="Arial"/>
          <w:sz w:val="22"/>
          <w:szCs w:val="22"/>
        </w:rPr>
        <w:t>n en la autoliquidación.</w:t>
      </w:r>
    </w:p>
    <w:p w:rsidR="00C20C55" w:rsidRPr="00E042A4" w:rsidRDefault="00C20C55" w:rsidP="00E042A4">
      <w:pPr>
        <w:pStyle w:val="NormalWeb"/>
        <w:spacing w:before="0" w:beforeAutospacing="0" w:after="0" w:afterAutospacing="0" w:line="360" w:lineRule="auto"/>
        <w:jc w:val="both"/>
        <w:rPr>
          <w:rFonts w:ascii="Arial" w:hAnsi="Arial" w:cs="Arial"/>
          <w:sz w:val="22"/>
          <w:szCs w:val="22"/>
        </w:rPr>
      </w:pPr>
    </w:p>
    <w:p w:rsidR="004B4B93" w:rsidRPr="00E042A4" w:rsidRDefault="00DC0B52"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El </w:t>
      </w:r>
      <w:r w:rsidR="008E7223" w:rsidRPr="00E042A4">
        <w:rPr>
          <w:rFonts w:ascii="Arial" w:hAnsi="Arial" w:cs="Arial"/>
          <w:sz w:val="22"/>
          <w:szCs w:val="22"/>
        </w:rPr>
        <w:t xml:space="preserve">carácter </w:t>
      </w:r>
      <w:r w:rsidR="00C20C55" w:rsidRPr="00E042A4">
        <w:rPr>
          <w:rFonts w:ascii="Arial" w:hAnsi="Arial" w:cs="Arial"/>
          <w:sz w:val="22"/>
          <w:szCs w:val="22"/>
        </w:rPr>
        <w:t xml:space="preserve">exclusivamente </w:t>
      </w:r>
      <w:r w:rsidR="008E7223" w:rsidRPr="00E042A4">
        <w:rPr>
          <w:rFonts w:ascii="Arial" w:hAnsi="Arial" w:cs="Arial"/>
          <w:sz w:val="22"/>
          <w:szCs w:val="22"/>
        </w:rPr>
        <w:t xml:space="preserve">informativo </w:t>
      </w:r>
      <w:r w:rsidRPr="00E042A4">
        <w:rPr>
          <w:rFonts w:ascii="Arial" w:hAnsi="Arial" w:cs="Arial"/>
          <w:sz w:val="22"/>
          <w:szCs w:val="22"/>
        </w:rPr>
        <w:t>de</w:t>
      </w:r>
      <w:r w:rsidR="004C02AD" w:rsidRPr="00E042A4">
        <w:rPr>
          <w:rFonts w:ascii="Arial" w:hAnsi="Arial" w:cs="Arial"/>
          <w:sz w:val="22"/>
          <w:szCs w:val="22"/>
        </w:rPr>
        <w:t xml:space="preserve"> </w:t>
      </w:r>
      <w:r w:rsidRPr="00E042A4">
        <w:rPr>
          <w:rFonts w:ascii="Arial" w:hAnsi="Arial" w:cs="Arial"/>
          <w:sz w:val="22"/>
          <w:szCs w:val="22"/>
        </w:rPr>
        <w:t>l</w:t>
      </w:r>
      <w:r w:rsidR="004C02AD" w:rsidRPr="00E042A4">
        <w:rPr>
          <w:rFonts w:ascii="Arial" w:hAnsi="Arial" w:cs="Arial"/>
          <w:sz w:val="22"/>
          <w:szCs w:val="22"/>
        </w:rPr>
        <w:t xml:space="preserve">a declaración 390 </w:t>
      </w:r>
      <w:r w:rsidR="008E7223" w:rsidRPr="00E042A4">
        <w:rPr>
          <w:rFonts w:ascii="Arial" w:hAnsi="Arial" w:cs="Arial"/>
          <w:sz w:val="22"/>
          <w:szCs w:val="22"/>
        </w:rPr>
        <w:t xml:space="preserve">queda patente por el hecho de que </w:t>
      </w:r>
      <w:r w:rsidR="004B4B93" w:rsidRPr="00E042A4">
        <w:rPr>
          <w:rFonts w:ascii="Arial" w:hAnsi="Arial" w:cs="Arial"/>
          <w:sz w:val="22"/>
          <w:szCs w:val="22"/>
        </w:rPr>
        <w:t>si un</w:t>
      </w:r>
      <w:r w:rsidR="008E06B7" w:rsidRPr="00E042A4">
        <w:rPr>
          <w:rFonts w:ascii="Arial" w:hAnsi="Arial" w:cs="Arial"/>
          <w:sz w:val="22"/>
          <w:szCs w:val="22"/>
        </w:rPr>
        <w:t xml:space="preserve"> sujeto p</w:t>
      </w:r>
      <w:r w:rsidR="004B4B93" w:rsidRPr="00E042A4">
        <w:rPr>
          <w:rFonts w:ascii="Arial" w:hAnsi="Arial" w:cs="Arial"/>
          <w:sz w:val="22"/>
          <w:szCs w:val="22"/>
        </w:rPr>
        <w:t>a</w:t>
      </w:r>
      <w:r w:rsidR="008E06B7" w:rsidRPr="00E042A4">
        <w:rPr>
          <w:rFonts w:ascii="Arial" w:hAnsi="Arial" w:cs="Arial"/>
          <w:sz w:val="22"/>
          <w:szCs w:val="22"/>
        </w:rPr>
        <w:t xml:space="preserve">sivo se </w:t>
      </w:r>
      <w:r w:rsidR="004B4B93" w:rsidRPr="00E042A4">
        <w:rPr>
          <w:rFonts w:ascii="Arial" w:hAnsi="Arial" w:cs="Arial"/>
          <w:sz w:val="22"/>
          <w:szCs w:val="22"/>
        </w:rPr>
        <w:t>e</w:t>
      </w:r>
      <w:r w:rsidR="008E06B7" w:rsidRPr="00E042A4">
        <w:rPr>
          <w:rFonts w:ascii="Arial" w:hAnsi="Arial" w:cs="Arial"/>
          <w:sz w:val="22"/>
          <w:szCs w:val="22"/>
        </w:rPr>
        <w:t>quivocó</w:t>
      </w:r>
      <w:r w:rsidR="004B4B93" w:rsidRPr="00E042A4">
        <w:rPr>
          <w:rFonts w:ascii="Arial" w:hAnsi="Arial" w:cs="Arial"/>
          <w:sz w:val="22"/>
          <w:szCs w:val="22"/>
        </w:rPr>
        <w:t xml:space="preserve"> </w:t>
      </w:r>
      <w:r w:rsidR="008E06B7" w:rsidRPr="00E042A4">
        <w:rPr>
          <w:rFonts w:ascii="Arial" w:hAnsi="Arial" w:cs="Arial"/>
          <w:sz w:val="22"/>
          <w:szCs w:val="22"/>
        </w:rPr>
        <w:t xml:space="preserve">al cumplimentar alguna de </w:t>
      </w:r>
      <w:r w:rsidR="004B4B93" w:rsidRPr="00E042A4">
        <w:rPr>
          <w:rFonts w:ascii="Arial" w:hAnsi="Arial" w:cs="Arial"/>
          <w:sz w:val="22"/>
          <w:szCs w:val="22"/>
        </w:rPr>
        <w:t>la</w:t>
      </w:r>
      <w:r w:rsidR="008E06B7" w:rsidRPr="00E042A4">
        <w:rPr>
          <w:rFonts w:ascii="Arial" w:hAnsi="Arial" w:cs="Arial"/>
          <w:sz w:val="22"/>
          <w:szCs w:val="22"/>
        </w:rPr>
        <w:t>s declaracio</w:t>
      </w:r>
      <w:r w:rsidR="004B4B93" w:rsidRPr="00E042A4">
        <w:rPr>
          <w:rFonts w:ascii="Arial" w:hAnsi="Arial" w:cs="Arial"/>
          <w:sz w:val="22"/>
          <w:szCs w:val="22"/>
        </w:rPr>
        <w:t>n</w:t>
      </w:r>
      <w:r w:rsidR="008E06B7" w:rsidRPr="00E042A4">
        <w:rPr>
          <w:rFonts w:ascii="Arial" w:hAnsi="Arial" w:cs="Arial"/>
          <w:sz w:val="22"/>
          <w:szCs w:val="22"/>
        </w:rPr>
        <w:t>es</w:t>
      </w:r>
      <w:r w:rsidR="004B4B93" w:rsidRPr="00E042A4">
        <w:rPr>
          <w:rFonts w:ascii="Arial" w:hAnsi="Arial" w:cs="Arial"/>
          <w:sz w:val="22"/>
          <w:szCs w:val="22"/>
        </w:rPr>
        <w:t xml:space="preserve"> mensual</w:t>
      </w:r>
      <w:r w:rsidR="008E06B7" w:rsidRPr="00E042A4">
        <w:rPr>
          <w:rFonts w:ascii="Arial" w:hAnsi="Arial" w:cs="Arial"/>
          <w:sz w:val="22"/>
          <w:szCs w:val="22"/>
        </w:rPr>
        <w:t>es</w:t>
      </w:r>
      <w:r w:rsidR="004B4B93" w:rsidRPr="00E042A4">
        <w:rPr>
          <w:rFonts w:ascii="Arial" w:hAnsi="Arial" w:cs="Arial"/>
          <w:sz w:val="22"/>
          <w:szCs w:val="22"/>
        </w:rPr>
        <w:t xml:space="preserve"> o trimestral</w:t>
      </w:r>
      <w:r w:rsidR="008E06B7" w:rsidRPr="00E042A4">
        <w:rPr>
          <w:rFonts w:ascii="Arial" w:hAnsi="Arial" w:cs="Arial"/>
          <w:sz w:val="22"/>
          <w:szCs w:val="22"/>
        </w:rPr>
        <w:t>es y lo advierte posteriormente</w:t>
      </w:r>
      <w:r w:rsidR="004B4B93" w:rsidRPr="00E042A4">
        <w:rPr>
          <w:rFonts w:ascii="Arial" w:hAnsi="Arial" w:cs="Arial"/>
          <w:sz w:val="22"/>
          <w:szCs w:val="22"/>
        </w:rPr>
        <w:t xml:space="preserve">, no puede </w:t>
      </w:r>
      <w:r w:rsidR="008E06B7" w:rsidRPr="00E042A4">
        <w:rPr>
          <w:rFonts w:ascii="Arial" w:hAnsi="Arial" w:cs="Arial"/>
          <w:sz w:val="22"/>
          <w:szCs w:val="22"/>
        </w:rPr>
        <w:t>corregi</w:t>
      </w:r>
      <w:r w:rsidR="004B4B93" w:rsidRPr="00E042A4">
        <w:rPr>
          <w:rFonts w:ascii="Arial" w:hAnsi="Arial" w:cs="Arial"/>
          <w:sz w:val="22"/>
          <w:szCs w:val="22"/>
        </w:rPr>
        <w:t xml:space="preserve">r </w:t>
      </w:r>
      <w:r w:rsidR="008E06B7" w:rsidRPr="00E042A4">
        <w:rPr>
          <w:rFonts w:ascii="Arial" w:hAnsi="Arial" w:cs="Arial"/>
          <w:sz w:val="22"/>
          <w:szCs w:val="22"/>
        </w:rPr>
        <w:t xml:space="preserve">el error incurrido </w:t>
      </w:r>
      <w:r w:rsidR="004B4B93" w:rsidRPr="00E042A4">
        <w:rPr>
          <w:rFonts w:ascii="Arial" w:hAnsi="Arial" w:cs="Arial"/>
          <w:sz w:val="22"/>
          <w:szCs w:val="22"/>
        </w:rPr>
        <w:t xml:space="preserve">al presentar el </w:t>
      </w:r>
      <w:r w:rsidR="008E7223" w:rsidRPr="00E042A4">
        <w:rPr>
          <w:rFonts w:ascii="Arial" w:hAnsi="Arial" w:cs="Arial"/>
          <w:sz w:val="22"/>
          <w:szCs w:val="22"/>
        </w:rPr>
        <w:t xml:space="preserve">modelo </w:t>
      </w:r>
      <w:r w:rsidR="004B4B93" w:rsidRPr="00E042A4">
        <w:rPr>
          <w:rFonts w:ascii="Arial" w:hAnsi="Arial" w:cs="Arial"/>
          <w:sz w:val="22"/>
          <w:szCs w:val="22"/>
        </w:rPr>
        <w:t>de resumen anual.</w:t>
      </w:r>
    </w:p>
    <w:p w:rsidR="0040142D" w:rsidRPr="00E042A4" w:rsidRDefault="0040142D" w:rsidP="00E042A4">
      <w:pPr>
        <w:pStyle w:val="NormalWeb"/>
        <w:spacing w:before="0" w:beforeAutospacing="0" w:after="0" w:afterAutospacing="0" w:line="360" w:lineRule="auto"/>
        <w:jc w:val="both"/>
        <w:rPr>
          <w:rFonts w:ascii="Arial" w:hAnsi="Arial" w:cs="Arial"/>
          <w:sz w:val="22"/>
          <w:szCs w:val="22"/>
        </w:rPr>
      </w:pPr>
    </w:p>
    <w:p w:rsidR="00631684" w:rsidRPr="00E042A4" w:rsidRDefault="00777464" w:rsidP="00E042A4">
      <w:pPr>
        <w:spacing w:after="0" w:line="360" w:lineRule="auto"/>
        <w:jc w:val="both"/>
        <w:rPr>
          <w:rFonts w:ascii="Arial" w:eastAsia="Times New Roman" w:hAnsi="Arial" w:cs="Arial"/>
          <w:lang w:eastAsia="es-ES"/>
        </w:rPr>
      </w:pPr>
      <w:r w:rsidRPr="00E042A4">
        <w:rPr>
          <w:rFonts w:ascii="Arial" w:hAnsi="Arial" w:cs="Arial"/>
        </w:rPr>
        <w:t xml:space="preserve">Así las cosas, en </w:t>
      </w:r>
      <w:r w:rsidR="00631684" w:rsidRPr="00E042A4">
        <w:rPr>
          <w:rFonts w:ascii="Arial" w:hAnsi="Arial" w:cs="Arial"/>
        </w:rPr>
        <w:t>su</w:t>
      </w:r>
      <w:r w:rsidRPr="00E042A4">
        <w:rPr>
          <w:rFonts w:ascii="Arial" w:hAnsi="Arial" w:cs="Arial"/>
        </w:rPr>
        <w:t xml:space="preserve"> </w:t>
      </w:r>
      <w:r w:rsidRPr="00E042A4">
        <w:rPr>
          <w:rFonts w:ascii="Arial" w:hAnsi="Arial" w:cs="Arial"/>
          <w:b/>
        </w:rPr>
        <w:t>Resolución</w:t>
      </w:r>
      <w:r w:rsidRPr="00E042A4">
        <w:rPr>
          <w:rFonts w:ascii="Arial" w:hAnsi="Arial" w:cs="Arial"/>
        </w:rPr>
        <w:t xml:space="preserve"> de </w:t>
      </w:r>
      <w:r w:rsidRPr="00E042A4">
        <w:rPr>
          <w:rFonts w:ascii="Arial" w:hAnsi="Arial" w:cs="Arial"/>
          <w:b/>
        </w:rPr>
        <w:t>22 de septiembre</w:t>
      </w:r>
      <w:r w:rsidRPr="00E042A4">
        <w:rPr>
          <w:rFonts w:ascii="Arial" w:hAnsi="Arial" w:cs="Arial"/>
        </w:rPr>
        <w:t xml:space="preserve"> de </w:t>
      </w:r>
      <w:r w:rsidRPr="00E042A4">
        <w:rPr>
          <w:rFonts w:ascii="Arial" w:hAnsi="Arial" w:cs="Arial"/>
          <w:b/>
        </w:rPr>
        <w:t>2016</w:t>
      </w:r>
      <w:r w:rsidR="00631684" w:rsidRPr="00E042A4">
        <w:rPr>
          <w:rFonts w:ascii="Arial" w:hAnsi="Arial" w:cs="Arial"/>
        </w:rPr>
        <w:t xml:space="preserve"> el </w:t>
      </w:r>
      <w:r w:rsidR="00631684" w:rsidRPr="00E042A4">
        <w:rPr>
          <w:rFonts w:ascii="Arial" w:hAnsi="Arial" w:cs="Arial"/>
          <w:b/>
        </w:rPr>
        <w:t>TEAC</w:t>
      </w:r>
      <w:r w:rsidR="002D2AB4" w:rsidRPr="00E042A4">
        <w:rPr>
          <w:rFonts w:ascii="Arial" w:hAnsi="Arial" w:cs="Arial"/>
        </w:rPr>
        <w:t>,</w:t>
      </w:r>
      <w:r w:rsidR="00631684" w:rsidRPr="00E042A4">
        <w:rPr>
          <w:rFonts w:ascii="Arial" w:hAnsi="Arial" w:cs="Arial"/>
        </w:rPr>
        <w:t xml:space="preserve"> </w:t>
      </w:r>
      <w:r w:rsidR="00DF2024" w:rsidRPr="00E042A4">
        <w:rPr>
          <w:rFonts w:ascii="Arial" w:hAnsi="Arial" w:cs="Arial"/>
        </w:rPr>
        <w:t xml:space="preserve">conocedor de la doctrina jurisprudencial </w:t>
      </w:r>
      <w:r w:rsidR="002D2AB4" w:rsidRPr="00E042A4">
        <w:rPr>
          <w:rFonts w:ascii="Arial" w:hAnsi="Arial" w:cs="Arial"/>
        </w:rPr>
        <w:t xml:space="preserve">citada </w:t>
      </w:r>
      <w:r w:rsidR="00DF2024" w:rsidRPr="00E042A4">
        <w:rPr>
          <w:rFonts w:ascii="Arial" w:hAnsi="Arial" w:cs="Arial"/>
        </w:rPr>
        <w:t xml:space="preserve">del </w:t>
      </w:r>
      <w:r w:rsidR="00DF2024" w:rsidRPr="00E042A4">
        <w:rPr>
          <w:rFonts w:ascii="Arial" w:hAnsi="Arial" w:cs="Arial"/>
          <w:b/>
        </w:rPr>
        <w:t>TS</w:t>
      </w:r>
      <w:r w:rsidR="002D2AB4" w:rsidRPr="00E042A4">
        <w:rPr>
          <w:rFonts w:ascii="Arial" w:hAnsi="Arial" w:cs="Arial"/>
        </w:rPr>
        <w:t>,</w:t>
      </w:r>
      <w:r w:rsidR="00DF2024" w:rsidRPr="00E042A4">
        <w:rPr>
          <w:rFonts w:ascii="Arial" w:hAnsi="Arial" w:cs="Arial"/>
        </w:rPr>
        <w:t xml:space="preserve"> </w:t>
      </w:r>
      <w:r w:rsidR="00631684" w:rsidRPr="00E042A4">
        <w:rPr>
          <w:rFonts w:ascii="Arial" w:hAnsi="Arial" w:cs="Arial"/>
        </w:rPr>
        <w:t xml:space="preserve">analiza </w:t>
      </w:r>
      <w:r w:rsidR="002D2AB4" w:rsidRPr="00E042A4">
        <w:rPr>
          <w:rFonts w:ascii="Arial" w:hAnsi="Arial" w:cs="Arial"/>
        </w:rPr>
        <w:t>la relev</w:t>
      </w:r>
      <w:r w:rsidR="00631684" w:rsidRPr="00E042A4">
        <w:rPr>
          <w:rFonts w:ascii="Arial" w:hAnsi="Arial" w:cs="Arial"/>
        </w:rPr>
        <w:t>a</w:t>
      </w:r>
      <w:r w:rsidR="002D2AB4" w:rsidRPr="00E042A4">
        <w:rPr>
          <w:rFonts w:ascii="Arial" w:hAnsi="Arial" w:cs="Arial"/>
        </w:rPr>
        <w:t xml:space="preserve">nte cuestión acerca de desde </w:t>
      </w:r>
      <w:r w:rsidR="00631684" w:rsidRPr="00E042A4">
        <w:rPr>
          <w:rFonts w:ascii="Arial" w:eastAsia="Times New Roman" w:hAnsi="Arial" w:cs="Arial"/>
          <w:lang w:eastAsia="es-ES"/>
        </w:rPr>
        <w:t>qué fecha co</w:t>
      </w:r>
      <w:r w:rsidR="00DF2024" w:rsidRPr="00E042A4">
        <w:rPr>
          <w:rFonts w:ascii="Arial" w:eastAsia="Times New Roman" w:hAnsi="Arial" w:cs="Arial"/>
          <w:lang w:eastAsia="es-ES"/>
        </w:rPr>
        <w:t>mienza</w:t>
      </w:r>
      <w:r w:rsidR="00631684" w:rsidRPr="00E042A4">
        <w:rPr>
          <w:rFonts w:ascii="Arial" w:eastAsia="Times New Roman" w:hAnsi="Arial" w:cs="Arial"/>
          <w:lang w:eastAsia="es-ES"/>
        </w:rPr>
        <w:t xml:space="preserve"> el cómputo del plazo de prescripción del IVA</w:t>
      </w:r>
      <w:r w:rsidR="002D2AB4" w:rsidRPr="00E042A4">
        <w:rPr>
          <w:rFonts w:ascii="Arial" w:eastAsia="Times New Roman" w:hAnsi="Arial" w:cs="Arial"/>
          <w:lang w:eastAsia="es-ES"/>
        </w:rPr>
        <w:t>. Y</w:t>
      </w:r>
      <w:r w:rsidR="00631684" w:rsidRPr="00E042A4">
        <w:rPr>
          <w:rFonts w:ascii="Arial" w:eastAsia="Times New Roman" w:hAnsi="Arial" w:cs="Arial"/>
          <w:lang w:eastAsia="es-ES"/>
        </w:rPr>
        <w:t>, en concreto, si con la simple presentación de la declaración resumen anual se interrumpe o no la prescripción de todos los periodos impositivos del año cuya información contiene aquella</w:t>
      </w:r>
      <w:r w:rsidR="002D2AB4" w:rsidRPr="00E042A4">
        <w:rPr>
          <w:rFonts w:ascii="Arial" w:eastAsia="Times New Roman" w:hAnsi="Arial" w:cs="Arial"/>
          <w:lang w:eastAsia="es-ES"/>
        </w:rPr>
        <w:t xml:space="preserve"> (a raíz de una liquidación de IVA correspondiente a los períodos impositivos 2003 y 2004, dictada en un procedimiento de inspección</w:t>
      </w:r>
      <w:r w:rsidR="00F843F0" w:rsidRPr="00E042A4">
        <w:rPr>
          <w:rFonts w:ascii="Arial" w:eastAsia="Times New Roman" w:hAnsi="Arial" w:cs="Arial"/>
          <w:lang w:eastAsia="es-ES"/>
        </w:rPr>
        <w:t xml:space="preserve"> al efecto</w:t>
      </w:r>
      <w:r w:rsidR="002D2AB4" w:rsidRPr="00E042A4">
        <w:rPr>
          <w:rFonts w:ascii="Arial" w:eastAsia="Times New Roman" w:hAnsi="Arial" w:cs="Arial"/>
          <w:lang w:eastAsia="es-ES"/>
        </w:rPr>
        <w:t>)</w:t>
      </w:r>
      <w:r w:rsidR="00631684" w:rsidRPr="00E042A4">
        <w:rPr>
          <w:rFonts w:ascii="Arial" w:eastAsia="Times New Roman" w:hAnsi="Arial" w:cs="Arial"/>
          <w:lang w:eastAsia="es-ES"/>
        </w:rPr>
        <w:t xml:space="preserve">. </w:t>
      </w:r>
    </w:p>
    <w:p w:rsidR="00631684" w:rsidRPr="00E042A4" w:rsidRDefault="00631684" w:rsidP="00E042A4">
      <w:pPr>
        <w:spacing w:after="0" w:line="360" w:lineRule="auto"/>
        <w:jc w:val="both"/>
        <w:rPr>
          <w:rFonts w:ascii="Arial" w:eastAsia="Times New Roman" w:hAnsi="Arial" w:cs="Arial"/>
          <w:lang w:eastAsia="es-ES"/>
        </w:rPr>
      </w:pPr>
    </w:p>
    <w:p w:rsidR="002C7EFD" w:rsidRPr="00E042A4" w:rsidRDefault="00631684"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Al respecto, el </w:t>
      </w:r>
      <w:r w:rsidRPr="00E042A4">
        <w:rPr>
          <w:rFonts w:ascii="Arial" w:hAnsi="Arial" w:cs="Arial"/>
          <w:b/>
          <w:sz w:val="22"/>
          <w:szCs w:val="22"/>
        </w:rPr>
        <w:t>TEAC</w:t>
      </w:r>
      <w:r w:rsidRPr="00E042A4">
        <w:rPr>
          <w:rFonts w:ascii="Arial" w:hAnsi="Arial" w:cs="Arial"/>
          <w:sz w:val="22"/>
          <w:szCs w:val="22"/>
        </w:rPr>
        <w:t xml:space="preserve"> sostiene e</w:t>
      </w:r>
      <w:r w:rsidR="002C7EFD" w:rsidRPr="00E042A4">
        <w:rPr>
          <w:rFonts w:ascii="Arial" w:hAnsi="Arial" w:cs="Arial"/>
          <w:sz w:val="22"/>
          <w:szCs w:val="22"/>
        </w:rPr>
        <w:t>n su fundamento jurídico octavo</w:t>
      </w:r>
      <w:r w:rsidRPr="00E042A4">
        <w:rPr>
          <w:rFonts w:ascii="Arial" w:hAnsi="Arial" w:cs="Arial"/>
          <w:sz w:val="22"/>
          <w:szCs w:val="22"/>
        </w:rPr>
        <w:t xml:space="preserve"> lo siguiente</w:t>
      </w:r>
      <w:r w:rsidR="002C7EFD" w:rsidRPr="00E042A4">
        <w:rPr>
          <w:rFonts w:ascii="Arial" w:hAnsi="Arial" w:cs="Arial"/>
          <w:sz w:val="22"/>
          <w:szCs w:val="22"/>
        </w:rPr>
        <w:t>:</w:t>
      </w:r>
    </w:p>
    <w:p w:rsidR="002C7EFD" w:rsidRPr="00E042A4" w:rsidRDefault="002C7EFD" w:rsidP="00E042A4">
      <w:pPr>
        <w:pStyle w:val="NormalWeb"/>
        <w:spacing w:before="0" w:beforeAutospacing="0" w:after="0" w:afterAutospacing="0" w:line="360" w:lineRule="auto"/>
        <w:jc w:val="both"/>
        <w:rPr>
          <w:rFonts w:ascii="Arial" w:hAnsi="Arial" w:cs="Arial"/>
          <w:sz w:val="22"/>
          <w:szCs w:val="22"/>
        </w:rPr>
      </w:pPr>
    </w:p>
    <w:p w:rsidR="002C7EFD" w:rsidRPr="003A4964" w:rsidRDefault="002C7EFD" w:rsidP="003A4964">
      <w:pPr>
        <w:pStyle w:val="NormalWeb"/>
        <w:spacing w:before="0" w:beforeAutospacing="0" w:after="0" w:afterAutospacing="0"/>
        <w:ind w:left="567" w:right="567"/>
        <w:jc w:val="both"/>
        <w:rPr>
          <w:rFonts w:ascii="Arial" w:hAnsi="Arial" w:cs="Arial"/>
          <w:i/>
          <w:sz w:val="20"/>
          <w:szCs w:val="20"/>
        </w:rPr>
      </w:pPr>
      <w:r w:rsidRPr="003A4964">
        <w:rPr>
          <w:rFonts w:ascii="Arial" w:hAnsi="Arial" w:cs="Arial"/>
          <w:i/>
          <w:sz w:val="20"/>
          <w:szCs w:val="20"/>
        </w:rPr>
        <w:t>“Es criterio de este TEAC que no pueden equipararse las declaraciones-liquidaciones mensuales o trimestrales y la declaración informativa-resumen anual, pues mientras que la presentación de la declaración-liquidación periódica mensual o trimestral es una obligación formal que constituye un instrumento necesario para el cumplimiento de la obligación material del pago de la deuda tributaria, la presentación de la declaración-resumen anual supone el cumplimiento de una obligación que facilita la gestión del Impuesto sobre el Valor Añadido, pero cuyo objetivo inmediato no es el pago de la deuda que resulta en cada período de liquidación. De esta forma, al no ser una actuación fehaciente del obligado tributario conducente a la liquidación o autoliquidación de la deuda tributaria, ya que en el resumen anual no se produce liquidación alguna, su presentación no tiene virtualidad interruptiva del plazo de prescripción del derecho de la Administración para determinar la deuda tributaria. De acuerdo con este criterio, cada periodo de declaración prescribiría por el transcurso de cuatro años desde la finalización del plazo de presentación de la declaración-liquidación correspondiente al mismo”.</w:t>
      </w:r>
    </w:p>
    <w:p w:rsidR="00F85EEE" w:rsidRPr="00E042A4" w:rsidRDefault="00F85EEE" w:rsidP="00E042A4">
      <w:pPr>
        <w:pStyle w:val="NormalWeb"/>
        <w:spacing w:before="0" w:beforeAutospacing="0" w:after="0" w:afterAutospacing="0" w:line="360" w:lineRule="auto"/>
        <w:jc w:val="both"/>
        <w:rPr>
          <w:rFonts w:ascii="Arial" w:hAnsi="Arial" w:cs="Arial"/>
          <w:sz w:val="22"/>
          <w:szCs w:val="22"/>
        </w:rPr>
      </w:pPr>
    </w:p>
    <w:p w:rsidR="00157BA1" w:rsidRPr="00E042A4" w:rsidRDefault="00157BA1"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A mayor abundamiento, el deber de adjuntar a la declaración resumen anual las autoliquidaciones presentadas a lo largo del año fue eliminado por el </w:t>
      </w:r>
      <w:r w:rsidRPr="00E042A4">
        <w:rPr>
          <w:rFonts w:ascii="Arial" w:hAnsi="Arial" w:cs="Arial"/>
          <w:b/>
          <w:sz w:val="22"/>
          <w:szCs w:val="22"/>
        </w:rPr>
        <w:t>Real Decreto 3422/2000</w:t>
      </w:r>
      <w:r w:rsidRPr="00E042A4">
        <w:rPr>
          <w:rFonts w:ascii="Arial" w:hAnsi="Arial" w:cs="Arial"/>
          <w:sz w:val="22"/>
          <w:szCs w:val="22"/>
        </w:rPr>
        <w:t xml:space="preserve"> </w:t>
      </w:r>
      <w:r w:rsidR="00974F43" w:rsidRPr="00E042A4">
        <w:rPr>
          <w:rFonts w:ascii="Arial" w:hAnsi="Arial" w:cs="Arial"/>
          <w:sz w:val="22"/>
          <w:szCs w:val="22"/>
        </w:rPr>
        <w:t>(cuyo desarroll</w:t>
      </w:r>
      <w:r w:rsidRPr="00E042A4">
        <w:rPr>
          <w:rFonts w:ascii="Arial" w:hAnsi="Arial" w:cs="Arial"/>
          <w:sz w:val="22"/>
          <w:szCs w:val="22"/>
        </w:rPr>
        <w:t xml:space="preserve">o </w:t>
      </w:r>
      <w:r w:rsidR="00974F43" w:rsidRPr="00E042A4">
        <w:rPr>
          <w:rFonts w:ascii="Arial" w:hAnsi="Arial" w:cs="Arial"/>
          <w:sz w:val="22"/>
          <w:szCs w:val="22"/>
        </w:rPr>
        <w:t xml:space="preserve">se </w:t>
      </w:r>
      <w:r w:rsidRPr="00E042A4">
        <w:rPr>
          <w:rFonts w:ascii="Arial" w:hAnsi="Arial" w:cs="Arial"/>
          <w:sz w:val="22"/>
          <w:szCs w:val="22"/>
        </w:rPr>
        <w:t>r</w:t>
      </w:r>
      <w:r w:rsidR="00974F43" w:rsidRPr="00E042A4">
        <w:rPr>
          <w:rFonts w:ascii="Arial" w:hAnsi="Arial" w:cs="Arial"/>
          <w:sz w:val="22"/>
          <w:szCs w:val="22"/>
        </w:rPr>
        <w:t>ealizó por</w:t>
      </w:r>
      <w:r w:rsidRPr="00E042A4">
        <w:rPr>
          <w:rFonts w:ascii="Arial" w:hAnsi="Arial" w:cs="Arial"/>
          <w:sz w:val="22"/>
          <w:szCs w:val="22"/>
        </w:rPr>
        <w:t xml:space="preserve"> la </w:t>
      </w:r>
      <w:r w:rsidRPr="00E042A4">
        <w:rPr>
          <w:rFonts w:ascii="Arial" w:hAnsi="Arial" w:cs="Arial"/>
          <w:b/>
          <w:sz w:val="22"/>
          <w:szCs w:val="22"/>
        </w:rPr>
        <w:t>Orden</w:t>
      </w:r>
      <w:r w:rsidRPr="00E042A4">
        <w:rPr>
          <w:rFonts w:ascii="Arial" w:hAnsi="Arial" w:cs="Arial"/>
          <w:sz w:val="22"/>
          <w:szCs w:val="22"/>
        </w:rPr>
        <w:t xml:space="preserve"> del </w:t>
      </w:r>
      <w:r w:rsidRPr="00E042A4">
        <w:rPr>
          <w:rFonts w:ascii="Arial" w:hAnsi="Arial" w:cs="Arial"/>
          <w:b/>
          <w:sz w:val="22"/>
          <w:szCs w:val="22"/>
        </w:rPr>
        <w:t>Ministro de Hacienda</w:t>
      </w:r>
      <w:r w:rsidRPr="00E042A4">
        <w:rPr>
          <w:rFonts w:ascii="Arial" w:hAnsi="Arial" w:cs="Arial"/>
          <w:sz w:val="22"/>
          <w:szCs w:val="22"/>
        </w:rPr>
        <w:t xml:space="preserve"> de </w:t>
      </w:r>
      <w:r w:rsidRPr="00E042A4">
        <w:rPr>
          <w:rFonts w:ascii="Arial" w:hAnsi="Arial" w:cs="Arial"/>
          <w:b/>
          <w:sz w:val="22"/>
          <w:szCs w:val="22"/>
        </w:rPr>
        <w:t>27 de diciembre</w:t>
      </w:r>
      <w:r w:rsidRPr="00E042A4">
        <w:rPr>
          <w:rFonts w:ascii="Arial" w:hAnsi="Arial" w:cs="Arial"/>
          <w:sz w:val="22"/>
          <w:szCs w:val="22"/>
        </w:rPr>
        <w:t xml:space="preserve"> de </w:t>
      </w:r>
      <w:r w:rsidRPr="00E042A4">
        <w:rPr>
          <w:rFonts w:ascii="Arial" w:hAnsi="Arial" w:cs="Arial"/>
          <w:b/>
          <w:sz w:val="22"/>
          <w:szCs w:val="22"/>
        </w:rPr>
        <w:t>2000</w:t>
      </w:r>
      <w:r w:rsidR="00974F43" w:rsidRPr="00E042A4">
        <w:rPr>
          <w:rFonts w:ascii="Arial" w:hAnsi="Arial" w:cs="Arial"/>
          <w:sz w:val="22"/>
          <w:szCs w:val="22"/>
        </w:rPr>
        <w:t>)</w:t>
      </w:r>
      <w:r w:rsidRPr="00E042A4">
        <w:rPr>
          <w:rFonts w:ascii="Arial" w:hAnsi="Arial" w:cs="Arial"/>
          <w:sz w:val="22"/>
          <w:szCs w:val="22"/>
        </w:rPr>
        <w:t xml:space="preserve"> de manera que desde el 2000 no se exige ya que se acompañen las declaraciones-liquidaciones al resumen anual.</w:t>
      </w:r>
    </w:p>
    <w:p w:rsidR="00157BA1" w:rsidRPr="00E042A4" w:rsidRDefault="00157BA1" w:rsidP="00E042A4">
      <w:pPr>
        <w:pStyle w:val="NormalWeb"/>
        <w:spacing w:before="0" w:beforeAutospacing="0" w:after="0" w:afterAutospacing="0" w:line="360" w:lineRule="auto"/>
        <w:jc w:val="both"/>
        <w:rPr>
          <w:rFonts w:ascii="Arial" w:hAnsi="Arial" w:cs="Arial"/>
          <w:sz w:val="22"/>
          <w:szCs w:val="22"/>
        </w:rPr>
      </w:pPr>
    </w:p>
    <w:p w:rsidR="00157BA1" w:rsidRPr="00E042A4" w:rsidRDefault="00157BA1"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Por tanto, no siendo en la actualidad exigible la obligación de incluir en la declaración del modelo 390 todas las autoliquidaciones presentadas durante el año, se consolida el criterio mantenido por el TEAC en la Resolución antedicha</w:t>
      </w:r>
      <w:r w:rsidR="00D74276" w:rsidRPr="00E042A4">
        <w:rPr>
          <w:rFonts w:ascii="Arial" w:hAnsi="Arial" w:cs="Arial"/>
          <w:sz w:val="22"/>
          <w:szCs w:val="22"/>
        </w:rPr>
        <w:t xml:space="preserve"> según el cual no son </w:t>
      </w:r>
      <w:r w:rsidR="00D74276" w:rsidRPr="00E042A4">
        <w:rPr>
          <w:rFonts w:ascii="Arial" w:hAnsi="Arial" w:cs="Arial"/>
          <w:sz w:val="22"/>
          <w:szCs w:val="22"/>
        </w:rPr>
        <w:lastRenderedPageBreak/>
        <w:t>equiparables ni en su naturaleza ni en sus efectos las autoliquidaciones –mensuales o trimestrales- de IVA y la declaración resumen anual</w:t>
      </w:r>
      <w:r w:rsidRPr="00E042A4">
        <w:rPr>
          <w:rFonts w:ascii="Arial" w:hAnsi="Arial" w:cs="Arial"/>
          <w:sz w:val="22"/>
          <w:szCs w:val="22"/>
        </w:rPr>
        <w:t>.</w:t>
      </w:r>
    </w:p>
    <w:p w:rsidR="00157BA1" w:rsidRPr="00E042A4" w:rsidRDefault="00157BA1" w:rsidP="00E042A4">
      <w:pPr>
        <w:pStyle w:val="NormalWeb"/>
        <w:spacing w:before="0" w:beforeAutospacing="0" w:after="0" w:afterAutospacing="0" w:line="360" w:lineRule="auto"/>
        <w:jc w:val="both"/>
        <w:rPr>
          <w:rFonts w:ascii="Arial" w:hAnsi="Arial" w:cs="Arial"/>
          <w:sz w:val="22"/>
          <w:szCs w:val="22"/>
        </w:rPr>
      </w:pPr>
    </w:p>
    <w:p w:rsidR="00974F43" w:rsidRPr="00E042A4" w:rsidRDefault="00974F43" w:rsidP="00E042A4">
      <w:pPr>
        <w:spacing w:after="0" w:line="360" w:lineRule="auto"/>
        <w:jc w:val="both"/>
        <w:rPr>
          <w:rFonts w:ascii="Arial" w:eastAsia="Times New Roman" w:hAnsi="Arial" w:cs="Arial"/>
          <w:lang w:eastAsia="es-ES"/>
        </w:rPr>
      </w:pPr>
      <w:r w:rsidRPr="00E042A4">
        <w:rPr>
          <w:rFonts w:ascii="Arial" w:hAnsi="Arial" w:cs="Arial"/>
        </w:rPr>
        <w:t>Además, el máximo órgano económico-admvo. d</w:t>
      </w:r>
      <w:r w:rsidRPr="00E042A4">
        <w:rPr>
          <w:rFonts w:ascii="Arial" w:eastAsia="Times New Roman" w:hAnsi="Arial" w:cs="Arial"/>
          <w:lang w:eastAsia="es-ES"/>
        </w:rPr>
        <w:t xml:space="preserve">escarta que la jurisprudencia del </w:t>
      </w:r>
      <w:r w:rsidRPr="00E042A4">
        <w:rPr>
          <w:rFonts w:ascii="Arial" w:eastAsia="Times New Roman" w:hAnsi="Arial" w:cs="Arial"/>
          <w:b/>
          <w:lang w:eastAsia="es-ES"/>
        </w:rPr>
        <w:t>TS</w:t>
      </w:r>
      <w:r w:rsidRPr="00E042A4">
        <w:rPr>
          <w:rFonts w:ascii="Arial" w:eastAsia="Times New Roman" w:hAnsi="Arial" w:cs="Arial"/>
          <w:lang w:eastAsia="es-ES"/>
        </w:rPr>
        <w:t xml:space="preserve"> meritada resulte contraria a su doctrina admva., puesto que si bien la declaración-resumen anual no suponía una liquidación en sí misma, sí podía entenderse que su contenido iba más allá del informativo, en tanto que el sujeto pasivo ratificaba expresamente lo declarado en ellas, lo que no se produce actualmente.</w:t>
      </w:r>
    </w:p>
    <w:p w:rsidR="00F137E6" w:rsidRPr="00E042A4" w:rsidRDefault="00F137E6" w:rsidP="00E042A4">
      <w:pPr>
        <w:spacing w:after="0" w:line="360" w:lineRule="auto"/>
        <w:jc w:val="both"/>
        <w:rPr>
          <w:rFonts w:ascii="Arial" w:eastAsia="Times New Roman" w:hAnsi="Arial" w:cs="Arial"/>
          <w:lang w:eastAsia="es-ES"/>
        </w:rPr>
      </w:pPr>
    </w:p>
    <w:p w:rsidR="00550623" w:rsidRPr="00E042A4" w:rsidRDefault="00F137E6" w:rsidP="00E042A4">
      <w:pPr>
        <w:spacing w:after="0" w:line="360" w:lineRule="auto"/>
        <w:jc w:val="both"/>
        <w:rPr>
          <w:rFonts w:ascii="Arial" w:eastAsia="Times New Roman" w:hAnsi="Arial" w:cs="Arial"/>
          <w:lang w:eastAsia="es-ES"/>
        </w:rPr>
      </w:pPr>
      <w:r w:rsidRPr="00E042A4">
        <w:rPr>
          <w:rFonts w:ascii="Arial" w:eastAsia="Times New Roman" w:hAnsi="Arial" w:cs="Arial"/>
          <w:lang w:eastAsia="es-ES"/>
        </w:rPr>
        <w:t xml:space="preserve">En resumen, </w:t>
      </w:r>
      <w:r w:rsidR="00550623" w:rsidRPr="00E042A4">
        <w:rPr>
          <w:rFonts w:ascii="Arial" w:eastAsia="Times New Roman" w:hAnsi="Arial" w:cs="Arial"/>
          <w:lang w:eastAsia="es-ES"/>
        </w:rPr>
        <w:t>los razonamient</w:t>
      </w:r>
      <w:r w:rsidRPr="00E042A4">
        <w:rPr>
          <w:rFonts w:ascii="Arial" w:eastAsia="Times New Roman" w:hAnsi="Arial" w:cs="Arial"/>
          <w:lang w:eastAsia="es-ES"/>
        </w:rPr>
        <w:t xml:space="preserve">os </w:t>
      </w:r>
      <w:r w:rsidR="00550623" w:rsidRPr="00E042A4">
        <w:rPr>
          <w:rFonts w:ascii="Arial" w:eastAsia="Times New Roman" w:hAnsi="Arial" w:cs="Arial"/>
          <w:lang w:eastAsia="es-ES"/>
        </w:rPr>
        <w:t xml:space="preserve">invocados por el </w:t>
      </w:r>
      <w:r w:rsidR="00550623" w:rsidRPr="00E042A4">
        <w:rPr>
          <w:rFonts w:ascii="Arial" w:eastAsia="Times New Roman" w:hAnsi="Arial" w:cs="Arial"/>
          <w:b/>
          <w:lang w:eastAsia="es-ES"/>
        </w:rPr>
        <w:t>TEAC</w:t>
      </w:r>
      <w:r w:rsidR="00550623" w:rsidRPr="00E042A4">
        <w:rPr>
          <w:rFonts w:ascii="Arial" w:eastAsia="Times New Roman" w:hAnsi="Arial" w:cs="Arial"/>
          <w:lang w:eastAsia="es-ES"/>
        </w:rPr>
        <w:t xml:space="preserve"> para rechazar la doctrina del </w:t>
      </w:r>
      <w:r w:rsidR="00550623" w:rsidRPr="00E042A4">
        <w:rPr>
          <w:rFonts w:ascii="Arial" w:eastAsia="Times New Roman" w:hAnsi="Arial" w:cs="Arial"/>
          <w:b/>
          <w:lang w:eastAsia="es-ES"/>
        </w:rPr>
        <w:t>TS</w:t>
      </w:r>
      <w:r w:rsidR="00550623" w:rsidRPr="00E042A4">
        <w:rPr>
          <w:rFonts w:ascii="Arial" w:eastAsia="Times New Roman" w:hAnsi="Arial" w:cs="Arial"/>
          <w:lang w:eastAsia="es-ES"/>
        </w:rPr>
        <w:t xml:space="preserve"> son dos, a saber:</w:t>
      </w:r>
    </w:p>
    <w:p w:rsidR="00550623" w:rsidRPr="00E042A4" w:rsidRDefault="00550623" w:rsidP="00E042A4">
      <w:pPr>
        <w:spacing w:after="0" w:line="360" w:lineRule="auto"/>
        <w:jc w:val="both"/>
        <w:rPr>
          <w:rFonts w:ascii="Arial" w:eastAsia="Times New Roman" w:hAnsi="Arial" w:cs="Arial"/>
          <w:lang w:eastAsia="es-ES"/>
        </w:rPr>
      </w:pPr>
    </w:p>
    <w:p w:rsidR="00550623" w:rsidRPr="00E042A4" w:rsidRDefault="00550623" w:rsidP="00E042A4">
      <w:pPr>
        <w:spacing w:after="0" w:line="360" w:lineRule="auto"/>
        <w:jc w:val="both"/>
        <w:rPr>
          <w:rFonts w:ascii="Arial" w:eastAsia="Times New Roman" w:hAnsi="Arial" w:cs="Arial"/>
          <w:lang w:eastAsia="es-ES"/>
        </w:rPr>
      </w:pPr>
      <w:r w:rsidRPr="00E042A4">
        <w:rPr>
          <w:rFonts w:ascii="Arial" w:eastAsia="Times New Roman" w:hAnsi="Arial" w:cs="Arial"/>
          <w:lang w:eastAsia="es-ES"/>
        </w:rPr>
        <w:t>1ª La declaración resumen anual carece de contenido liquidatorio. Muy por el contrario, su objeto es principalmente informativo.</w:t>
      </w:r>
    </w:p>
    <w:p w:rsidR="00550623" w:rsidRPr="00E042A4" w:rsidRDefault="00550623" w:rsidP="00E042A4">
      <w:pPr>
        <w:spacing w:after="0" w:line="360" w:lineRule="auto"/>
        <w:jc w:val="both"/>
        <w:rPr>
          <w:rFonts w:ascii="Arial" w:eastAsia="Times New Roman" w:hAnsi="Arial" w:cs="Arial"/>
          <w:lang w:eastAsia="es-ES"/>
        </w:rPr>
      </w:pPr>
    </w:p>
    <w:p w:rsidR="00550623" w:rsidRPr="00E042A4" w:rsidRDefault="00550623" w:rsidP="00E042A4">
      <w:pPr>
        <w:spacing w:after="0" w:line="360" w:lineRule="auto"/>
        <w:jc w:val="both"/>
        <w:rPr>
          <w:rFonts w:ascii="Arial" w:eastAsia="Times New Roman" w:hAnsi="Arial" w:cs="Arial"/>
          <w:lang w:eastAsia="es-ES"/>
        </w:rPr>
      </w:pPr>
      <w:r w:rsidRPr="00E042A4">
        <w:rPr>
          <w:rFonts w:ascii="Arial" w:eastAsia="Times New Roman" w:hAnsi="Arial" w:cs="Arial"/>
          <w:lang w:eastAsia="es-ES"/>
        </w:rPr>
        <w:t xml:space="preserve">2ª La doctrina del </w:t>
      </w:r>
      <w:r w:rsidRPr="00E042A4">
        <w:rPr>
          <w:rFonts w:ascii="Arial" w:eastAsia="Times New Roman" w:hAnsi="Arial" w:cs="Arial"/>
          <w:b/>
          <w:lang w:eastAsia="es-ES"/>
        </w:rPr>
        <w:t>TS</w:t>
      </w:r>
      <w:r w:rsidRPr="00E042A4">
        <w:rPr>
          <w:rFonts w:ascii="Arial" w:eastAsia="Times New Roman" w:hAnsi="Arial" w:cs="Arial"/>
          <w:lang w:eastAsia="es-ES"/>
        </w:rPr>
        <w:t xml:space="preserve"> se dictó estando vigente una normativa derogada y distinta a la aplicable por el máximo órgano económico-admvo. en la Resolución comentada. En </w:t>
      </w:r>
      <w:r w:rsidR="004F3CE0" w:rsidRPr="00E042A4">
        <w:rPr>
          <w:rFonts w:ascii="Arial" w:eastAsia="Times New Roman" w:hAnsi="Arial" w:cs="Arial"/>
          <w:lang w:eastAsia="es-ES"/>
        </w:rPr>
        <w:t>la revisión casacional</w:t>
      </w:r>
      <w:r w:rsidRPr="00E042A4">
        <w:rPr>
          <w:rFonts w:ascii="Arial" w:eastAsia="Times New Roman" w:hAnsi="Arial" w:cs="Arial"/>
          <w:lang w:eastAsia="es-ES"/>
        </w:rPr>
        <w:t xml:space="preserve">, </w:t>
      </w:r>
      <w:r w:rsidR="004F3CE0" w:rsidRPr="00E042A4">
        <w:rPr>
          <w:rFonts w:ascii="Arial" w:eastAsia="Times New Roman" w:hAnsi="Arial" w:cs="Arial"/>
          <w:lang w:eastAsia="es-ES"/>
        </w:rPr>
        <w:t xml:space="preserve">la normativa exigía </w:t>
      </w:r>
      <w:r w:rsidRPr="00E042A4">
        <w:rPr>
          <w:rFonts w:ascii="Arial" w:eastAsia="Times New Roman" w:hAnsi="Arial" w:cs="Arial"/>
          <w:lang w:eastAsia="es-ES"/>
        </w:rPr>
        <w:t xml:space="preserve">que al resumen anual se adjuntara copia de todas y cada una de las autoliquidaciones periódicas presentadas a lo largo del año, lo que podía entenderse como </w:t>
      </w:r>
      <w:r w:rsidR="006A5786" w:rsidRPr="00E042A4">
        <w:rPr>
          <w:rFonts w:ascii="Arial" w:eastAsia="Times New Roman" w:hAnsi="Arial" w:cs="Arial"/>
          <w:lang w:eastAsia="es-ES"/>
        </w:rPr>
        <w:t>s</w:t>
      </w:r>
      <w:r w:rsidRPr="00E042A4">
        <w:rPr>
          <w:rFonts w:ascii="Arial" w:eastAsia="Times New Roman" w:hAnsi="Arial" w:cs="Arial"/>
          <w:lang w:eastAsia="es-ES"/>
        </w:rPr>
        <w:t xml:space="preserve">u </w:t>
      </w:r>
      <w:r w:rsidR="006A5786" w:rsidRPr="00E042A4">
        <w:rPr>
          <w:rFonts w:ascii="Arial" w:eastAsia="Times New Roman" w:hAnsi="Arial" w:cs="Arial"/>
          <w:lang w:eastAsia="es-ES"/>
        </w:rPr>
        <w:t>confirmación</w:t>
      </w:r>
      <w:r w:rsidRPr="00E042A4">
        <w:rPr>
          <w:rFonts w:ascii="Arial" w:eastAsia="Times New Roman" w:hAnsi="Arial" w:cs="Arial"/>
          <w:lang w:eastAsia="es-ES"/>
        </w:rPr>
        <w:t xml:space="preserve">, por </w:t>
      </w:r>
      <w:r w:rsidR="004F3CE0" w:rsidRPr="00E042A4">
        <w:rPr>
          <w:rFonts w:ascii="Arial" w:eastAsia="Times New Roman" w:hAnsi="Arial" w:cs="Arial"/>
          <w:lang w:eastAsia="es-ES"/>
        </w:rPr>
        <w:t>lo cual sí que pod</w:t>
      </w:r>
      <w:r w:rsidRPr="00E042A4">
        <w:rPr>
          <w:rFonts w:ascii="Arial" w:eastAsia="Times New Roman" w:hAnsi="Arial" w:cs="Arial"/>
          <w:lang w:eastAsia="es-ES"/>
        </w:rPr>
        <w:t>ía</w:t>
      </w:r>
      <w:r w:rsidR="004F3CE0" w:rsidRPr="00E042A4">
        <w:rPr>
          <w:rFonts w:ascii="Arial" w:eastAsia="Times New Roman" w:hAnsi="Arial" w:cs="Arial"/>
          <w:lang w:eastAsia="es-ES"/>
        </w:rPr>
        <w:t xml:space="preserve"> admitirse </w:t>
      </w:r>
      <w:r w:rsidRPr="00E042A4">
        <w:rPr>
          <w:rFonts w:ascii="Arial" w:eastAsia="Times New Roman" w:hAnsi="Arial" w:cs="Arial"/>
          <w:lang w:eastAsia="es-ES"/>
        </w:rPr>
        <w:t>el "contenido liquidatorio"</w:t>
      </w:r>
      <w:r w:rsidR="004F3CE0" w:rsidRPr="00E042A4">
        <w:rPr>
          <w:rFonts w:ascii="Arial" w:eastAsia="Times New Roman" w:hAnsi="Arial" w:cs="Arial"/>
          <w:lang w:eastAsia="es-ES"/>
        </w:rPr>
        <w:t xml:space="preserve"> referido del resumen anual</w:t>
      </w:r>
      <w:r w:rsidRPr="00E042A4">
        <w:rPr>
          <w:rFonts w:ascii="Arial" w:eastAsia="Times New Roman" w:hAnsi="Arial" w:cs="Arial"/>
          <w:lang w:eastAsia="es-ES"/>
        </w:rPr>
        <w:t>.</w:t>
      </w:r>
    </w:p>
    <w:p w:rsidR="00F137E6" w:rsidRPr="00E042A4" w:rsidRDefault="00F137E6" w:rsidP="00E042A4">
      <w:pPr>
        <w:spacing w:after="0" w:line="360" w:lineRule="auto"/>
        <w:jc w:val="both"/>
        <w:rPr>
          <w:rFonts w:ascii="Arial" w:eastAsia="Times New Roman" w:hAnsi="Arial" w:cs="Arial"/>
          <w:lang w:eastAsia="es-ES"/>
        </w:rPr>
      </w:pPr>
      <w:r w:rsidRPr="00E042A4">
        <w:rPr>
          <w:rFonts w:ascii="Arial" w:eastAsia="Times New Roman" w:hAnsi="Arial" w:cs="Arial"/>
          <w:lang w:eastAsia="es-ES"/>
        </w:rPr>
        <w:t xml:space="preserve"> </w:t>
      </w:r>
    </w:p>
    <w:p w:rsidR="004A02B6" w:rsidRPr="008F6BC7" w:rsidRDefault="008F6BC7" w:rsidP="00E042A4">
      <w:pPr>
        <w:spacing w:after="0" w:line="360" w:lineRule="auto"/>
        <w:jc w:val="both"/>
        <w:rPr>
          <w:rFonts w:ascii="Arial" w:eastAsia="Times New Roman" w:hAnsi="Arial" w:cs="Arial"/>
          <w:lang w:eastAsia="es-ES"/>
        </w:rPr>
      </w:pPr>
      <w:r w:rsidRPr="008F6BC7">
        <w:rPr>
          <w:rFonts w:ascii="Arial" w:eastAsia="Times New Roman" w:hAnsi="Arial" w:cs="Arial"/>
          <w:u w:val="double"/>
          <w:lang w:eastAsia="es-ES"/>
        </w:rPr>
        <w:t>IV</w:t>
      </w:r>
      <w:r w:rsidRPr="008F6BC7">
        <w:rPr>
          <w:rFonts w:ascii="Arial" w:eastAsia="Times New Roman" w:hAnsi="Arial" w:cs="Arial"/>
          <w:lang w:eastAsia="es-ES"/>
        </w:rPr>
        <w:t xml:space="preserve">. </w:t>
      </w:r>
      <w:r w:rsidRPr="008F6BC7">
        <w:rPr>
          <w:rFonts w:ascii="Arial" w:eastAsia="Times New Roman" w:hAnsi="Arial" w:cs="Arial"/>
          <w:u w:val="double"/>
          <w:lang w:eastAsia="es-ES"/>
        </w:rPr>
        <w:t>CONCLUSIÓN</w:t>
      </w:r>
      <w:r w:rsidRPr="008F6BC7">
        <w:rPr>
          <w:rFonts w:ascii="Arial" w:eastAsia="Times New Roman" w:hAnsi="Arial" w:cs="Arial"/>
          <w:lang w:eastAsia="es-ES"/>
        </w:rPr>
        <w:t>.</w:t>
      </w:r>
    </w:p>
    <w:p w:rsidR="004A02B6" w:rsidRPr="00E042A4" w:rsidRDefault="004A02B6" w:rsidP="00E042A4">
      <w:pPr>
        <w:pStyle w:val="NormalWeb"/>
        <w:spacing w:before="0" w:beforeAutospacing="0" w:after="0" w:afterAutospacing="0" w:line="360" w:lineRule="auto"/>
        <w:jc w:val="both"/>
        <w:rPr>
          <w:rFonts w:ascii="Arial" w:hAnsi="Arial" w:cs="Arial"/>
          <w:sz w:val="22"/>
          <w:szCs w:val="22"/>
        </w:rPr>
      </w:pPr>
    </w:p>
    <w:p w:rsidR="00643E0C" w:rsidRPr="00E042A4" w:rsidRDefault="0083279B"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En la </w:t>
      </w:r>
      <w:r w:rsidR="00F85EEE" w:rsidRPr="00E042A4">
        <w:rPr>
          <w:rFonts w:ascii="Arial" w:hAnsi="Arial" w:cs="Arial"/>
          <w:sz w:val="22"/>
          <w:szCs w:val="22"/>
        </w:rPr>
        <w:t>decis</w:t>
      </w:r>
      <w:r w:rsidRPr="00E042A4">
        <w:rPr>
          <w:rFonts w:ascii="Arial" w:hAnsi="Arial" w:cs="Arial"/>
          <w:sz w:val="22"/>
          <w:szCs w:val="22"/>
        </w:rPr>
        <w:t>ión analizada</w:t>
      </w:r>
      <w:r w:rsidR="008F6BC7">
        <w:rPr>
          <w:rFonts w:ascii="Arial" w:hAnsi="Arial" w:cs="Arial"/>
          <w:sz w:val="22"/>
          <w:szCs w:val="22"/>
        </w:rPr>
        <w:t>,</w:t>
      </w:r>
      <w:r w:rsidRPr="00E042A4">
        <w:rPr>
          <w:rFonts w:ascii="Arial" w:hAnsi="Arial" w:cs="Arial"/>
          <w:sz w:val="22"/>
          <w:szCs w:val="22"/>
        </w:rPr>
        <w:t xml:space="preserve"> el </w:t>
      </w:r>
      <w:r w:rsidR="004B4B93" w:rsidRPr="00E042A4">
        <w:rPr>
          <w:rFonts w:ascii="Arial" w:hAnsi="Arial" w:cs="Arial"/>
          <w:b/>
          <w:sz w:val="22"/>
          <w:szCs w:val="22"/>
        </w:rPr>
        <w:t>TEAC</w:t>
      </w:r>
      <w:r w:rsidR="00AC2AAB" w:rsidRPr="00E042A4">
        <w:rPr>
          <w:rFonts w:ascii="Arial" w:hAnsi="Arial" w:cs="Arial"/>
          <w:sz w:val="22"/>
          <w:szCs w:val="22"/>
        </w:rPr>
        <w:t xml:space="preserve"> se opone al criterio </w:t>
      </w:r>
      <w:r w:rsidR="00AC2AAB" w:rsidRPr="00E042A4">
        <w:rPr>
          <w:rFonts w:ascii="Arial" w:hAnsi="Arial" w:cs="Arial"/>
          <w:b/>
          <w:sz w:val="22"/>
          <w:szCs w:val="22"/>
        </w:rPr>
        <w:t>TS</w:t>
      </w:r>
      <w:r w:rsidR="00AC2AAB" w:rsidRPr="00E042A4">
        <w:rPr>
          <w:rFonts w:ascii="Arial" w:hAnsi="Arial" w:cs="Arial"/>
          <w:sz w:val="22"/>
          <w:szCs w:val="22"/>
        </w:rPr>
        <w:t xml:space="preserve"> expuesto, </w:t>
      </w:r>
      <w:r w:rsidR="00FB79BA" w:rsidRPr="00E042A4">
        <w:rPr>
          <w:rFonts w:ascii="Arial" w:hAnsi="Arial" w:cs="Arial"/>
          <w:sz w:val="22"/>
          <w:szCs w:val="22"/>
        </w:rPr>
        <w:t xml:space="preserve">consolidando su propio criterio mantenido en otras ocasiones y </w:t>
      </w:r>
      <w:r w:rsidR="00AC2AAB" w:rsidRPr="00E042A4">
        <w:rPr>
          <w:rFonts w:ascii="Arial" w:hAnsi="Arial" w:cs="Arial"/>
          <w:sz w:val="22"/>
          <w:szCs w:val="22"/>
        </w:rPr>
        <w:t>respaldando la</w:t>
      </w:r>
      <w:r w:rsidR="004B4B93" w:rsidRPr="00E042A4">
        <w:rPr>
          <w:rFonts w:ascii="Arial" w:hAnsi="Arial" w:cs="Arial"/>
          <w:sz w:val="22"/>
          <w:szCs w:val="22"/>
        </w:rPr>
        <w:t xml:space="preserve"> </w:t>
      </w:r>
      <w:r w:rsidR="00643E0C" w:rsidRPr="00E042A4">
        <w:rPr>
          <w:rFonts w:ascii="Arial" w:hAnsi="Arial" w:cs="Arial"/>
          <w:sz w:val="22"/>
          <w:szCs w:val="22"/>
        </w:rPr>
        <w:t>opinión</w:t>
      </w:r>
      <w:r w:rsidR="004B4B93" w:rsidRPr="00E042A4">
        <w:rPr>
          <w:rFonts w:ascii="Arial" w:hAnsi="Arial" w:cs="Arial"/>
          <w:sz w:val="22"/>
          <w:szCs w:val="22"/>
        </w:rPr>
        <w:t xml:space="preserve"> </w:t>
      </w:r>
      <w:r w:rsidR="00486766" w:rsidRPr="00E042A4">
        <w:rPr>
          <w:rFonts w:ascii="Arial" w:hAnsi="Arial" w:cs="Arial"/>
          <w:sz w:val="22"/>
          <w:szCs w:val="22"/>
        </w:rPr>
        <w:t>sosten</w:t>
      </w:r>
      <w:r w:rsidR="00AC2AAB" w:rsidRPr="00E042A4">
        <w:rPr>
          <w:rFonts w:ascii="Arial" w:hAnsi="Arial" w:cs="Arial"/>
          <w:sz w:val="22"/>
          <w:szCs w:val="22"/>
        </w:rPr>
        <w:t>ida por</w:t>
      </w:r>
      <w:r w:rsidR="004B4B93" w:rsidRPr="00E042A4">
        <w:rPr>
          <w:rFonts w:ascii="Arial" w:hAnsi="Arial" w:cs="Arial"/>
          <w:sz w:val="22"/>
          <w:szCs w:val="22"/>
        </w:rPr>
        <w:t xml:space="preserve"> los profesionales tributarios, </w:t>
      </w:r>
      <w:r w:rsidR="00AC2AAB" w:rsidRPr="00E042A4">
        <w:rPr>
          <w:rFonts w:ascii="Arial" w:hAnsi="Arial" w:cs="Arial"/>
          <w:sz w:val="22"/>
          <w:szCs w:val="22"/>
        </w:rPr>
        <w:t>al defend</w:t>
      </w:r>
      <w:r w:rsidR="004B4B93" w:rsidRPr="00E042A4">
        <w:rPr>
          <w:rFonts w:ascii="Arial" w:hAnsi="Arial" w:cs="Arial"/>
          <w:sz w:val="22"/>
          <w:szCs w:val="22"/>
        </w:rPr>
        <w:t>e</w:t>
      </w:r>
      <w:r w:rsidR="00AC2AAB" w:rsidRPr="00E042A4">
        <w:rPr>
          <w:rFonts w:ascii="Arial" w:hAnsi="Arial" w:cs="Arial"/>
          <w:sz w:val="22"/>
          <w:szCs w:val="22"/>
        </w:rPr>
        <w:t>r</w:t>
      </w:r>
      <w:r w:rsidR="004B4B93" w:rsidRPr="00E042A4">
        <w:rPr>
          <w:rFonts w:ascii="Arial" w:hAnsi="Arial" w:cs="Arial"/>
          <w:sz w:val="22"/>
          <w:szCs w:val="22"/>
        </w:rPr>
        <w:t xml:space="preserve"> que la </w:t>
      </w:r>
      <w:r w:rsidR="009D1197" w:rsidRPr="00E042A4">
        <w:rPr>
          <w:rFonts w:ascii="Arial" w:hAnsi="Arial" w:cs="Arial"/>
          <w:sz w:val="22"/>
          <w:szCs w:val="22"/>
        </w:rPr>
        <w:t>m</w:t>
      </w:r>
      <w:r w:rsidR="00AC2AAB" w:rsidRPr="00E042A4">
        <w:rPr>
          <w:rFonts w:ascii="Arial" w:hAnsi="Arial" w:cs="Arial"/>
          <w:sz w:val="22"/>
          <w:szCs w:val="22"/>
        </w:rPr>
        <w:t>e</w:t>
      </w:r>
      <w:r w:rsidR="009D1197" w:rsidRPr="00E042A4">
        <w:rPr>
          <w:rFonts w:ascii="Arial" w:hAnsi="Arial" w:cs="Arial"/>
          <w:sz w:val="22"/>
          <w:szCs w:val="22"/>
        </w:rPr>
        <w:t>ra</w:t>
      </w:r>
      <w:r w:rsidR="00AC2AAB" w:rsidRPr="00E042A4">
        <w:rPr>
          <w:rFonts w:ascii="Arial" w:hAnsi="Arial" w:cs="Arial"/>
          <w:sz w:val="22"/>
          <w:szCs w:val="22"/>
        </w:rPr>
        <w:t xml:space="preserve"> presentación de la </w:t>
      </w:r>
      <w:r w:rsidR="004B4B93" w:rsidRPr="00E042A4">
        <w:rPr>
          <w:rFonts w:ascii="Arial" w:hAnsi="Arial" w:cs="Arial"/>
          <w:sz w:val="22"/>
          <w:szCs w:val="22"/>
        </w:rPr>
        <w:t xml:space="preserve">declaración de resumen anual del IVA </w:t>
      </w:r>
      <w:r w:rsidR="00697224" w:rsidRPr="00E042A4">
        <w:rPr>
          <w:rFonts w:ascii="Arial" w:hAnsi="Arial" w:cs="Arial"/>
          <w:sz w:val="22"/>
          <w:szCs w:val="22"/>
        </w:rPr>
        <w:t xml:space="preserve">carece por sí misma de virtualidad para </w:t>
      </w:r>
      <w:r w:rsidR="00697224" w:rsidRPr="00E042A4">
        <w:rPr>
          <w:rStyle w:val="Textoennegrita"/>
          <w:rFonts w:ascii="Arial" w:hAnsi="Arial" w:cs="Arial"/>
          <w:b w:val="0"/>
          <w:sz w:val="22"/>
          <w:szCs w:val="22"/>
        </w:rPr>
        <w:t>interrumpir</w:t>
      </w:r>
      <w:r w:rsidR="004B4B93" w:rsidRPr="00E042A4">
        <w:rPr>
          <w:rStyle w:val="Textoennegrita"/>
          <w:rFonts w:ascii="Arial" w:hAnsi="Arial" w:cs="Arial"/>
          <w:b w:val="0"/>
          <w:sz w:val="22"/>
          <w:szCs w:val="22"/>
        </w:rPr>
        <w:t xml:space="preserve"> </w:t>
      </w:r>
      <w:r w:rsidR="00697224" w:rsidRPr="00E042A4">
        <w:rPr>
          <w:rStyle w:val="Textoennegrita"/>
          <w:rFonts w:ascii="Arial" w:hAnsi="Arial" w:cs="Arial"/>
          <w:b w:val="0"/>
          <w:sz w:val="22"/>
          <w:szCs w:val="22"/>
        </w:rPr>
        <w:t>el transcurso de</w:t>
      </w:r>
      <w:r w:rsidR="004B4B93" w:rsidRPr="00E042A4">
        <w:rPr>
          <w:rStyle w:val="Textoennegrita"/>
          <w:rFonts w:ascii="Arial" w:hAnsi="Arial" w:cs="Arial"/>
          <w:b w:val="0"/>
          <w:sz w:val="22"/>
          <w:szCs w:val="22"/>
        </w:rPr>
        <w:t>l</w:t>
      </w:r>
      <w:r w:rsidR="00697224" w:rsidRPr="00E042A4">
        <w:rPr>
          <w:rStyle w:val="Textoennegrita"/>
          <w:rFonts w:ascii="Arial" w:hAnsi="Arial" w:cs="Arial"/>
          <w:b w:val="0"/>
          <w:sz w:val="22"/>
          <w:szCs w:val="22"/>
        </w:rPr>
        <w:t xml:space="preserve"> pl</w:t>
      </w:r>
      <w:r w:rsidR="004B4B93" w:rsidRPr="00E042A4">
        <w:rPr>
          <w:rStyle w:val="Textoennegrita"/>
          <w:rFonts w:ascii="Arial" w:hAnsi="Arial" w:cs="Arial"/>
          <w:b w:val="0"/>
          <w:sz w:val="22"/>
          <w:szCs w:val="22"/>
        </w:rPr>
        <w:t>a</w:t>
      </w:r>
      <w:r w:rsidR="00697224" w:rsidRPr="00E042A4">
        <w:rPr>
          <w:rStyle w:val="Textoennegrita"/>
          <w:rFonts w:ascii="Arial" w:hAnsi="Arial" w:cs="Arial"/>
          <w:b w:val="0"/>
          <w:sz w:val="22"/>
          <w:szCs w:val="22"/>
        </w:rPr>
        <w:t>zo de cuatro años de</w:t>
      </w:r>
      <w:r w:rsidR="004B4B93" w:rsidRPr="00E042A4">
        <w:rPr>
          <w:rStyle w:val="Textoennegrita"/>
          <w:rFonts w:ascii="Arial" w:hAnsi="Arial" w:cs="Arial"/>
          <w:b w:val="0"/>
          <w:sz w:val="22"/>
          <w:szCs w:val="22"/>
        </w:rPr>
        <w:t xml:space="preserve"> prescripción</w:t>
      </w:r>
      <w:r w:rsidR="00697224" w:rsidRPr="00E042A4">
        <w:rPr>
          <w:rStyle w:val="Textoennegrita"/>
          <w:rFonts w:ascii="Arial" w:hAnsi="Arial" w:cs="Arial"/>
          <w:b w:val="0"/>
          <w:sz w:val="22"/>
          <w:szCs w:val="22"/>
        </w:rPr>
        <w:t xml:space="preserve"> extintiva del derecho de la Admón. para determinar la deuda tributaria por este impuesto</w:t>
      </w:r>
      <w:r w:rsidR="004B4B93" w:rsidRPr="00E042A4">
        <w:rPr>
          <w:rFonts w:ascii="Arial" w:hAnsi="Arial" w:cs="Arial"/>
          <w:sz w:val="22"/>
          <w:szCs w:val="22"/>
        </w:rPr>
        <w:t>.</w:t>
      </w:r>
    </w:p>
    <w:p w:rsidR="00643E0C" w:rsidRPr="00E042A4" w:rsidRDefault="00643E0C" w:rsidP="00E042A4">
      <w:pPr>
        <w:pStyle w:val="NormalWeb"/>
        <w:spacing w:before="0" w:beforeAutospacing="0" w:after="0" w:afterAutospacing="0" w:line="360" w:lineRule="auto"/>
        <w:jc w:val="both"/>
        <w:rPr>
          <w:rFonts w:ascii="Arial" w:hAnsi="Arial" w:cs="Arial"/>
          <w:sz w:val="22"/>
          <w:szCs w:val="22"/>
        </w:rPr>
      </w:pPr>
    </w:p>
    <w:p w:rsidR="00AC6ACC" w:rsidRPr="00E042A4" w:rsidRDefault="0045589F"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L</w:t>
      </w:r>
      <w:r w:rsidR="004B4B93" w:rsidRPr="00E042A4">
        <w:rPr>
          <w:rFonts w:ascii="Arial" w:hAnsi="Arial" w:cs="Arial"/>
          <w:sz w:val="22"/>
          <w:szCs w:val="22"/>
        </w:rPr>
        <w:t>a A</w:t>
      </w:r>
      <w:r w:rsidR="00F85EEE" w:rsidRPr="00E042A4">
        <w:rPr>
          <w:rFonts w:ascii="Arial" w:hAnsi="Arial" w:cs="Arial"/>
          <w:sz w:val="22"/>
          <w:szCs w:val="22"/>
        </w:rPr>
        <w:t>EA</w:t>
      </w:r>
      <w:r w:rsidR="004B4B93" w:rsidRPr="00E042A4">
        <w:rPr>
          <w:rFonts w:ascii="Arial" w:hAnsi="Arial" w:cs="Arial"/>
          <w:sz w:val="22"/>
          <w:szCs w:val="22"/>
        </w:rPr>
        <w:t xml:space="preserve">T no </w:t>
      </w:r>
      <w:r w:rsidR="00F85EEE" w:rsidRPr="00E042A4">
        <w:rPr>
          <w:rFonts w:ascii="Arial" w:hAnsi="Arial" w:cs="Arial"/>
          <w:sz w:val="22"/>
          <w:szCs w:val="22"/>
        </w:rPr>
        <w:t xml:space="preserve">dispone ya –como sucedía hasta ahora- de </w:t>
      </w:r>
      <w:r w:rsidR="004B4B93" w:rsidRPr="00E042A4">
        <w:rPr>
          <w:rFonts w:ascii="Arial" w:hAnsi="Arial" w:cs="Arial"/>
          <w:sz w:val="22"/>
          <w:szCs w:val="22"/>
        </w:rPr>
        <w:t>un</w:t>
      </w:r>
      <w:r w:rsidR="00F85EEE" w:rsidRPr="00E042A4">
        <w:rPr>
          <w:rFonts w:ascii="Arial" w:hAnsi="Arial" w:cs="Arial"/>
          <w:sz w:val="22"/>
          <w:szCs w:val="22"/>
        </w:rPr>
        <w:t>a</w:t>
      </w:r>
      <w:r w:rsidR="004B4B93" w:rsidRPr="00E042A4">
        <w:rPr>
          <w:rFonts w:ascii="Arial" w:hAnsi="Arial" w:cs="Arial"/>
          <w:sz w:val="22"/>
          <w:szCs w:val="22"/>
        </w:rPr>
        <w:t xml:space="preserve"> </w:t>
      </w:r>
      <w:r w:rsidR="00F85EEE" w:rsidRPr="00E042A4">
        <w:rPr>
          <w:rFonts w:ascii="Arial" w:hAnsi="Arial" w:cs="Arial"/>
          <w:sz w:val="22"/>
          <w:szCs w:val="22"/>
        </w:rPr>
        <w:t xml:space="preserve">prolongación artificial y forzada del </w:t>
      </w:r>
      <w:r w:rsidR="004B4B93" w:rsidRPr="00E042A4">
        <w:rPr>
          <w:rFonts w:ascii="Arial" w:hAnsi="Arial" w:cs="Arial"/>
          <w:sz w:val="22"/>
          <w:szCs w:val="22"/>
        </w:rPr>
        <w:t>plazo para comprobar, investigar o sancionar</w:t>
      </w:r>
      <w:r w:rsidR="00F85EEE" w:rsidRPr="00E042A4">
        <w:rPr>
          <w:rFonts w:ascii="Arial" w:hAnsi="Arial" w:cs="Arial"/>
          <w:sz w:val="22"/>
          <w:szCs w:val="22"/>
        </w:rPr>
        <w:t xml:space="preserve"> a los sujetos pasivos del IVA. </w:t>
      </w:r>
      <w:r w:rsidR="00AC6ACC" w:rsidRPr="00E042A4">
        <w:rPr>
          <w:rFonts w:ascii="Arial" w:hAnsi="Arial" w:cs="Arial"/>
          <w:sz w:val="22"/>
          <w:szCs w:val="22"/>
        </w:rPr>
        <w:t xml:space="preserve">No obstante, para que este criterio resulte vinculante para la Admón. tributaria es necesario </w:t>
      </w:r>
      <w:r w:rsidR="003A1EC8" w:rsidRPr="00E042A4">
        <w:rPr>
          <w:rFonts w:ascii="Arial" w:hAnsi="Arial" w:cs="Arial"/>
          <w:sz w:val="22"/>
          <w:szCs w:val="22"/>
        </w:rPr>
        <w:t xml:space="preserve">(tal y como se exige en el </w:t>
      </w:r>
      <w:r w:rsidR="003A1EC8" w:rsidRPr="00E042A4">
        <w:rPr>
          <w:rFonts w:ascii="Arial" w:hAnsi="Arial" w:cs="Arial"/>
          <w:b/>
          <w:sz w:val="22"/>
          <w:szCs w:val="22"/>
        </w:rPr>
        <w:t>art. 239.8 LGT</w:t>
      </w:r>
      <w:r w:rsidR="003A1EC8" w:rsidRPr="00E042A4">
        <w:rPr>
          <w:rFonts w:ascii="Arial" w:hAnsi="Arial" w:cs="Arial"/>
          <w:sz w:val="22"/>
          <w:szCs w:val="22"/>
        </w:rPr>
        <w:t xml:space="preserve">) </w:t>
      </w:r>
      <w:r w:rsidR="00AC6ACC" w:rsidRPr="00E042A4">
        <w:rPr>
          <w:rFonts w:ascii="Arial" w:hAnsi="Arial" w:cs="Arial"/>
          <w:sz w:val="22"/>
          <w:szCs w:val="22"/>
        </w:rPr>
        <w:t>que exista una doctrina reiterada a favor de la no interrupción del plazo de prescripción para liquidar el IVA por la presentación del modelo 390.</w:t>
      </w:r>
    </w:p>
    <w:p w:rsidR="00AC6ACC" w:rsidRPr="00E042A4" w:rsidRDefault="00AC6ACC" w:rsidP="00E042A4">
      <w:pPr>
        <w:pStyle w:val="NormalWeb"/>
        <w:spacing w:before="0" w:beforeAutospacing="0" w:after="0" w:afterAutospacing="0" w:line="360" w:lineRule="auto"/>
        <w:jc w:val="both"/>
        <w:rPr>
          <w:rFonts w:ascii="Arial" w:hAnsi="Arial" w:cs="Arial"/>
          <w:sz w:val="22"/>
          <w:szCs w:val="22"/>
        </w:rPr>
      </w:pPr>
    </w:p>
    <w:p w:rsidR="00F85EEE" w:rsidRPr="00E042A4" w:rsidRDefault="003A1EC8"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lastRenderedPageBreak/>
        <w:t>Esto es,</w:t>
      </w:r>
      <w:r w:rsidR="00AC6ACC" w:rsidRPr="00E042A4">
        <w:rPr>
          <w:rFonts w:ascii="Arial" w:hAnsi="Arial" w:cs="Arial"/>
          <w:sz w:val="22"/>
          <w:szCs w:val="22"/>
        </w:rPr>
        <w:t xml:space="preserve"> sería necesario que este criterio admvo. </w:t>
      </w:r>
      <w:r w:rsidR="001C56A3" w:rsidRPr="00E042A4">
        <w:rPr>
          <w:rFonts w:ascii="Arial" w:hAnsi="Arial" w:cs="Arial"/>
          <w:sz w:val="22"/>
          <w:szCs w:val="22"/>
        </w:rPr>
        <w:t xml:space="preserve">amparado por el </w:t>
      </w:r>
      <w:r w:rsidR="001C56A3" w:rsidRPr="00E042A4">
        <w:rPr>
          <w:rFonts w:ascii="Arial" w:hAnsi="Arial" w:cs="Arial"/>
          <w:b/>
          <w:sz w:val="22"/>
          <w:szCs w:val="22"/>
        </w:rPr>
        <w:t>TEAC</w:t>
      </w:r>
      <w:r w:rsidR="001C56A3" w:rsidRPr="00E042A4">
        <w:rPr>
          <w:rFonts w:ascii="Arial" w:hAnsi="Arial" w:cs="Arial"/>
          <w:sz w:val="22"/>
          <w:szCs w:val="22"/>
        </w:rPr>
        <w:t xml:space="preserve"> </w:t>
      </w:r>
      <w:r w:rsidR="00AC6ACC" w:rsidRPr="00E042A4">
        <w:rPr>
          <w:rFonts w:ascii="Arial" w:hAnsi="Arial" w:cs="Arial"/>
          <w:sz w:val="22"/>
          <w:szCs w:val="22"/>
        </w:rPr>
        <w:t>se consolide reiterándose por otras Resoluciones económico-admvas. en la</w:t>
      </w:r>
      <w:r w:rsidR="001C56A3" w:rsidRPr="00E042A4">
        <w:rPr>
          <w:rFonts w:ascii="Arial" w:hAnsi="Arial" w:cs="Arial"/>
          <w:sz w:val="22"/>
          <w:szCs w:val="22"/>
        </w:rPr>
        <w:t>s</w:t>
      </w:r>
      <w:r w:rsidR="00AC6ACC" w:rsidRPr="00E042A4">
        <w:rPr>
          <w:rFonts w:ascii="Arial" w:hAnsi="Arial" w:cs="Arial"/>
          <w:sz w:val="22"/>
          <w:szCs w:val="22"/>
        </w:rPr>
        <w:t xml:space="preserve"> que </w:t>
      </w:r>
      <w:r w:rsidR="001C56A3" w:rsidRPr="00E042A4">
        <w:rPr>
          <w:rFonts w:ascii="Arial" w:hAnsi="Arial" w:cs="Arial"/>
          <w:sz w:val="22"/>
          <w:szCs w:val="22"/>
        </w:rPr>
        <w:t>se mantenga</w:t>
      </w:r>
      <w:r w:rsidR="00AC6ACC" w:rsidRPr="00E042A4">
        <w:rPr>
          <w:rFonts w:ascii="Arial" w:hAnsi="Arial" w:cs="Arial"/>
          <w:sz w:val="22"/>
          <w:szCs w:val="22"/>
        </w:rPr>
        <w:t xml:space="preserve"> el mismo </w:t>
      </w:r>
      <w:r w:rsidRPr="00E042A4">
        <w:rPr>
          <w:rFonts w:ascii="Arial" w:hAnsi="Arial" w:cs="Arial"/>
          <w:sz w:val="22"/>
          <w:szCs w:val="22"/>
        </w:rPr>
        <w:t>sent</w:t>
      </w:r>
      <w:r w:rsidR="00AC6ACC" w:rsidRPr="00E042A4">
        <w:rPr>
          <w:rFonts w:ascii="Arial" w:hAnsi="Arial" w:cs="Arial"/>
          <w:sz w:val="22"/>
          <w:szCs w:val="22"/>
        </w:rPr>
        <w:t>ir</w:t>
      </w:r>
      <w:r w:rsidR="00F85EEE" w:rsidRPr="00E042A4">
        <w:rPr>
          <w:rFonts w:ascii="Arial" w:hAnsi="Arial" w:cs="Arial"/>
          <w:sz w:val="22"/>
          <w:szCs w:val="22"/>
        </w:rPr>
        <w:t>.</w:t>
      </w:r>
      <w:r w:rsidR="004B4B93" w:rsidRPr="00E042A4">
        <w:rPr>
          <w:rFonts w:ascii="Arial" w:hAnsi="Arial" w:cs="Arial"/>
          <w:sz w:val="22"/>
          <w:szCs w:val="22"/>
        </w:rPr>
        <w:t xml:space="preserve"> </w:t>
      </w:r>
    </w:p>
    <w:p w:rsidR="003B1250" w:rsidRPr="00E042A4" w:rsidRDefault="003B1250" w:rsidP="00E042A4">
      <w:pPr>
        <w:pStyle w:val="NormalWeb"/>
        <w:spacing w:before="0" w:beforeAutospacing="0" w:after="0" w:afterAutospacing="0" w:line="360" w:lineRule="auto"/>
        <w:jc w:val="both"/>
        <w:rPr>
          <w:rFonts w:ascii="Arial" w:hAnsi="Arial" w:cs="Arial"/>
          <w:sz w:val="22"/>
          <w:szCs w:val="22"/>
        </w:rPr>
      </w:pPr>
    </w:p>
    <w:p w:rsidR="003B1250" w:rsidRPr="00E042A4" w:rsidRDefault="003B1250"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Además, esta doctrina administrativa del </w:t>
      </w:r>
      <w:r w:rsidR="003A4964">
        <w:rPr>
          <w:rFonts w:ascii="Arial" w:hAnsi="Arial" w:cs="Arial"/>
          <w:sz w:val="22"/>
          <w:szCs w:val="22"/>
        </w:rPr>
        <w:t>máximo órgano económico-admvo.</w:t>
      </w:r>
      <w:r w:rsidRPr="00E042A4">
        <w:rPr>
          <w:rFonts w:ascii="Arial" w:hAnsi="Arial" w:cs="Arial"/>
          <w:sz w:val="22"/>
          <w:szCs w:val="22"/>
        </w:rPr>
        <w:t xml:space="preserve"> podría ser invocada en casos semejantes relativos a otras declaraciones anuales informativas, verbigracia, el modelo 190 de retenciones e ingresos a cuenta del Impuesto sobre la Renta de las Personas Físicas. </w:t>
      </w:r>
    </w:p>
    <w:p w:rsidR="003B1250" w:rsidRPr="00E042A4" w:rsidRDefault="003B1250" w:rsidP="00E042A4">
      <w:pPr>
        <w:pStyle w:val="NormalWeb"/>
        <w:spacing w:before="0" w:beforeAutospacing="0" w:after="0" w:afterAutospacing="0" w:line="360" w:lineRule="auto"/>
        <w:jc w:val="both"/>
        <w:rPr>
          <w:rFonts w:ascii="Arial" w:hAnsi="Arial" w:cs="Arial"/>
          <w:sz w:val="22"/>
          <w:szCs w:val="22"/>
        </w:rPr>
      </w:pPr>
    </w:p>
    <w:p w:rsidR="004B4B93" w:rsidRPr="00E042A4" w:rsidRDefault="003A1EC8"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Sea como fuere, a partir de ahora, los obligados tributarios podrán e</w:t>
      </w:r>
      <w:r w:rsidR="00F85EEE" w:rsidRPr="00E042A4">
        <w:rPr>
          <w:rFonts w:ascii="Arial" w:hAnsi="Arial" w:cs="Arial"/>
          <w:sz w:val="22"/>
          <w:szCs w:val="22"/>
        </w:rPr>
        <w:t xml:space="preserve">n sus recursos o reclamaciones, argumentar el criterio contenido en la Resolución </w:t>
      </w:r>
      <w:r w:rsidR="00C360DC" w:rsidRPr="00E042A4">
        <w:rPr>
          <w:rFonts w:ascii="Arial" w:hAnsi="Arial" w:cs="Arial"/>
          <w:sz w:val="22"/>
          <w:szCs w:val="22"/>
        </w:rPr>
        <w:t xml:space="preserve">examinada </w:t>
      </w:r>
      <w:r w:rsidR="00F85EEE" w:rsidRPr="00E042A4">
        <w:rPr>
          <w:rFonts w:ascii="Arial" w:hAnsi="Arial" w:cs="Arial"/>
          <w:sz w:val="22"/>
          <w:szCs w:val="22"/>
        </w:rPr>
        <w:t>del alto órgano económico-admvo.</w:t>
      </w:r>
      <w:r w:rsidR="00C360DC" w:rsidRPr="00E042A4">
        <w:rPr>
          <w:rFonts w:ascii="Arial" w:hAnsi="Arial" w:cs="Arial"/>
          <w:sz w:val="22"/>
          <w:szCs w:val="22"/>
        </w:rPr>
        <w:t>,</w:t>
      </w:r>
      <w:r w:rsidR="00F85EEE" w:rsidRPr="00E042A4">
        <w:rPr>
          <w:rFonts w:ascii="Arial" w:hAnsi="Arial" w:cs="Arial"/>
          <w:sz w:val="22"/>
          <w:szCs w:val="22"/>
        </w:rPr>
        <w:t xml:space="preserve"> </w:t>
      </w:r>
      <w:r w:rsidR="00C360DC" w:rsidRPr="00E042A4">
        <w:rPr>
          <w:rFonts w:ascii="Arial" w:hAnsi="Arial" w:cs="Arial"/>
          <w:sz w:val="22"/>
          <w:szCs w:val="22"/>
        </w:rPr>
        <w:t>invoca</w:t>
      </w:r>
      <w:r w:rsidR="00F85EEE" w:rsidRPr="00E042A4">
        <w:rPr>
          <w:rFonts w:ascii="Arial" w:hAnsi="Arial" w:cs="Arial"/>
          <w:sz w:val="22"/>
          <w:szCs w:val="22"/>
        </w:rPr>
        <w:t xml:space="preserve">ndo </w:t>
      </w:r>
      <w:r w:rsidR="004B4B93" w:rsidRPr="00E042A4">
        <w:rPr>
          <w:rFonts w:ascii="Arial" w:hAnsi="Arial" w:cs="Arial"/>
          <w:sz w:val="22"/>
          <w:szCs w:val="22"/>
        </w:rPr>
        <w:t xml:space="preserve">la prescripción de las comprobaciones </w:t>
      </w:r>
      <w:r w:rsidR="00C360DC" w:rsidRPr="00E042A4">
        <w:rPr>
          <w:rFonts w:ascii="Arial" w:hAnsi="Arial" w:cs="Arial"/>
          <w:sz w:val="22"/>
          <w:szCs w:val="22"/>
        </w:rPr>
        <w:t>efectuadas por la Admón. tributaria gracia</w:t>
      </w:r>
      <w:r w:rsidR="004B4B93" w:rsidRPr="00E042A4">
        <w:rPr>
          <w:rFonts w:ascii="Arial" w:hAnsi="Arial" w:cs="Arial"/>
          <w:sz w:val="22"/>
          <w:szCs w:val="22"/>
        </w:rPr>
        <w:t xml:space="preserve">s </w:t>
      </w:r>
      <w:r w:rsidR="00C360DC" w:rsidRPr="00E042A4">
        <w:rPr>
          <w:rFonts w:ascii="Arial" w:hAnsi="Arial" w:cs="Arial"/>
          <w:sz w:val="22"/>
          <w:szCs w:val="22"/>
        </w:rPr>
        <w:t xml:space="preserve">al </w:t>
      </w:r>
      <w:r w:rsidR="00DF2024" w:rsidRPr="00E042A4">
        <w:rPr>
          <w:rFonts w:ascii="Arial" w:hAnsi="Arial" w:cs="Arial"/>
          <w:sz w:val="22"/>
          <w:szCs w:val="22"/>
        </w:rPr>
        <w:t>-</w:t>
      </w:r>
      <w:r w:rsidR="00966443" w:rsidRPr="00E042A4">
        <w:rPr>
          <w:rFonts w:ascii="Arial" w:hAnsi="Arial" w:cs="Arial"/>
          <w:sz w:val="22"/>
          <w:szCs w:val="22"/>
        </w:rPr>
        <w:t xml:space="preserve">inexistente ya- </w:t>
      </w:r>
      <w:r w:rsidR="00C360DC" w:rsidRPr="00E042A4">
        <w:rPr>
          <w:rFonts w:ascii="Arial" w:hAnsi="Arial" w:cs="Arial"/>
          <w:sz w:val="22"/>
          <w:szCs w:val="22"/>
        </w:rPr>
        <w:t xml:space="preserve">plazo adicional </w:t>
      </w:r>
      <w:r w:rsidR="004B4B93" w:rsidRPr="00E042A4">
        <w:rPr>
          <w:rFonts w:ascii="Arial" w:hAnsi="Arial" w:cs="Arial"/>
          <w:sz w:val="22"/>
          <w:szCs w:val="22"/>
        </w:rPr>
        <w:t>o</w:t>
      </w:r>
      <w:r w:rsidR="00C360DC" w:rsidRPr="00E042A4">
        <w:rPr>
          <w:rFonts w:ascii="Arial" w:hAnsi="Arial" w:cs="Arial"/>
          <w:sz w:val="22"/>
          <w:szCs w:val="22"/>
        </w:rPr>
        <w:t xml:space="preserve">torgado </w:t>
      </w:r>
      <w:r w:rsidR="004B4B93" w:rsidRPr="00E042A4">
        <w:rPr>
          <w:rFonts w:ascii="Arial" w:hAnsi="Arial" w:cs="Arial"/>
          <w:sz w:val="22"/>
          <w:szCs w:val="22"/>
        </w:rPr>
        <w:t>por el</w:t>
      </w:r>
      <w:r w:rsidR="00C360DC" w:rsidRPr="00E042A4">
        <w:rPr>
          <w:rFonts w:ascii="Arial" w:hAnsi="Arial" w:cs="Arial"/>
          <w:sz w:val="22"/>
          <w:szCs w:val="22"/>
        </w:rPr>
        <w:t xml:space="preserve"> </w:t>
      </w:r>
      <w:r w:rsidR="00C360DC" w:rsidRPr="003A4964">
        <w:rPr>
          <w:rFonts w:ascii="Arial" w:hAnsi="Arial" w:cs="Arial"/>
          <w:b/>
          <w:sz w:val="22"/>
          <w:szCs w:val="22"/>
        </w:rPr>
        <w:t>TS</w:t>
      </w:r>
      <w:r w:rsidR="00C360DC" w:rsidRPr="00E042A4">
        <w:rPr>
          <w:rFonts w:ascii="Arial" w:hAnsi="Arial" w:cs="Arial"/>
          <w:sz w:val="22"/>
          <w:szCs w:val="22"/>
        </w:rPr>
        <w:t xml:space="preserve"> en su polémica doctrina.</w:t>
      </w:r>
    </w:p>
    <w:p w:rsidR="00E84FA4" w:rsidRPr="00E042A4" w:rsidRDefault="00E84FA4" w:rsidP="00E042A4">
      <w:pPr>
        <w:pStyle w:val="NormalWeb"/>
        <w:spacing w:before="0" w:beforeAutospacing="0" w:after="0" w:afterAutospacing="0" w:line="360" w:lineRule="auto"/>
        <w:jc w:val="both"/>
        <w:rPr>
          <w:rFonts w:ascii="Arial" w:hAnsi="Arial" w:cs="Arial"/>
          <w:sz w:val="22"/>
          <w:szCs w:val="22"/>
        </w:rPr>
      </w:pPr>
    </w:p>
    <w:p w:rsidR="00AC2AAB" w:rsidRPr="00E042A4" w:rsidRDefault="00C360DC" w:rsidP="00E042A4">
      <w:pPr>
        <w:pStyle w:val="NormalWeb"/>
        <w:spacing w:before="0" w:beforeAutospacing="0" w:after="0" w:afterAutospacing="0" w:line="360" w:lineRule="auto"/>
        <w:jc w:val="both"/>
        <w:rPr>
          <w:rFonts w:ascii="Arial" w:hAnsi="Arial" w:cs="Arial"/>
          <w:sz w:val="22"/>
          <w:szCs w:val="22"/>
        </w:rPr>
      </w:pPr>
      <w:r w:rsidRPr="00E042A4">
        <w:rPr>
          <w:rFonts w:ascii="Arial" w:hAnsi="Arial" w:cs="Arial"/>
          <w:sz w:val="22"/>
          <w:szCs w:val="22"/>
        </w:rPr>
        <w:t xml:space="preserve">En definitiva: </w:t>
      </w:r>
      <w:r w:rsidR="00AC2AAB" w:rsidRPr="00E042A4">
        <w:rPr>
          <w:rFonts w:ascii="Arial" w:hAnsi="Arial" w:cs="Arial"/>
          <w:sz w:val="22"/>
          <w:szCs w:val="22"/>
        </w:rPr>
        <w:t xml:space="preserve">el criterio del </w:t>
      </w:r>
      <w:r w:rsidR="00AC2AAB" w:rsidRPr="00E042A4">
        <w:rPr>
          <w:rFonts w:ascii="Arial" w:hAnsi="Arial" w:cs="Arial"/>
          <w:b/>
          <w:sz w:val="22"/>
          <w:szCs w:val="22"/>
        </w:rPr>
        <w:t>TEAC</w:t>
      </w:r>
      <w:r w:rsidR="00AC2AAB" w:rsidRPr="00E042A4">
        <w:rPr>
          <w:rFonts w:ascii="Arial" w:hAnsi="Arial" w:cs="Arial"/>
          <w:sz w:val="22"/>
          <w:szCs w:val="22"/>
        </w:rPr>
        <w:t xml:space="preserve"> </w:t>
      </w:r>
      <w:r w:rsidR="00492DBC" w:rsidRPr="00E042A4">
        <w:rPr>
          <w:rFonts w:ascii="Arial" w:hAnsi="Arial" w:cs="Arial"/>
          <w:sz w:val="22"/>
          <w:szCs w:val="22"/>
        </w:rPr>
        <w:t xml:space="preserve">implica </w:t>
      </w:r>
      <w:r w:rsidR="001C56A3" w:rsidRPr="00E042A4">
        <w:rPr>
          <w:rFonts w:ascii="Arial" w:hAnsi="Arial" w:cs="Arial"/>
          <w:sz w:val="22"/>
          <w:szCs w:val="22"/>
        </w:rPr>
        <w:t xml:space="preserve">el inicio del regreso </w:t>
      </w:r>
      <w:r w:rsidR="00492DBC" w:rsidRPr="00E042A4">
        <w:rPr>
          <w:rFonts w:ascii="Arial" w:hAnsi="Arial" w:cs="Arial"/>
          <w:sz w:val="22"/>
          <w:szCs w:val="22"/>
        </w:rPr>
        <w:t>a la sensatez</w:t>
      </w:r>
      <w:r w:rsidR="002324FE" w:rsidRPr="00E042A4">
        <w:rPr>
          <w:rFonts w:ascii="Arial" w:hAnsi="Arial" w:cs="Arial"/>
          <w:sz w:val="22"/>
          <w:szCs w:val="22"/>
        </w:rPr>
        <w:t>. A</w:t>
      </w:r>
      <w:r w:rsidR="00492DBC" w:rsidRPr="00E042A4">
        <w:rPr>
          <w:rFonts w:ascii="Arial" w:hAnsi="Arial" w:cs="Arial"/>
          <w:sz w:val="22"/>
          <w:szCs w:val="22"/>
        </w:rPr>
        <w:t xml:space="preserve">l menos hasta que la </w:t>
      </w:r>
      <w:r w:rsidR="001C56A3" w:rsidRPr="00E042A4">
        <w:rPr>
          <w:rFonts w:ascii="Arial" w:hAnsi="Arial" w:cs="Arial"/>
          <w:sz w:val="22"/>
          <w:szCs w:val="22"/>
        </w:rPr>
        <w:t>Sala de lo contencioso-admvo</w:t>
      </w:r>
      <w:r w:rsidR="002324FE" w:rsidRPr="00E042A4">
        <w:rPr>
          <w:rFonts w:ascii="Arial" w:hAnsi="Arial" w:cs="Arial"/>
          <w:sz w:val="22"/>
          <w:szCs w:val="22"/>
        </w:rPr>
        <w:t xml:space="preserve">. </w:t>
      </w:r>
      <w:r w:rsidR="001C56A3" w:rsidRPr="00E042A4">
        <w:rPr>
          <w:rFonts w:ascii="Arial" w:hAnsi="Arial" w:cs="Arial"/>
          <w:sz w:val="22"/>
          <w:szCs w:val="22"/>
        </w:rPr>
        <w:t xml:space="preserve">del </w:t>
      </w:r>
      <w:r w:rsidR="001C56A3" w:rsidRPr="00E042A4">
        <w:rPr>
          <w:rFonts w:ascii="Arial" w:hAnsi="Arial" w:cs="Arial"/>
          <w:b/>
          <w:sz w:val="22"/>
          <w:szCs w:val="22"/>
        </w:rPr>
        <w:t>TS</w:t>
      </w:r>
      <w:r w:rsidR="001C56A3" w:rsidRPr="00E042A4">
        <w:rPr>
          <w:rFonts w:ascii="Arial" w:hAnsi="Arial" w:cs="Arial"/>
          <w:sz w:val="22"/>
          <w:szCs w:val="22"/>
        </w:rPr>
        <w:t xml:space="preserve"> </w:t>
      </w:r>
      <w:r w:rsidR="002324FE" w:rsidRPr="00E042A4">
        <w:rPr>
          <w:rFonts w:ascii="Arial" w:hAnsi="Arial" w:cs="Arial"/>
          <w:sz w:val="22"/>
          <w:szCs w:val="22"/>
        </w:rPr>
        <w:t xml:space="preserve">no </w:t>
      </w:r>
      <w:r w:rsidR="008065EB" w:rsidRPr="00E042A4">
        <w:rPr>
          <w:rFonts w:ascii="Arial" w:hAnsi="Arial" w:cs="Arial"/>
          <w:sz w:val="22"/>
          <w:szCs w:val="22"/>
        </w:rPr>
        <w:t xml:space="preserve">vuelva a </w:t>
      </w:r>
      <w:r w:rsidR="002324FE" w:rsidRPr="00E042A4">
        <w:rPr>
          <w:rFonts w:ascii="Arial" w:hAnsi="Arial" w:cs="Arial"/>
          <w:sz w:val="22"/>
          <w:szCs w:val="22"/>
        </w:rPr>
        <w:t>d</w:t>
      </w:r>
      <w:r w:rsidR="008065EB" w:rsidRPr="00E042A4">
        <w:rPr>
          <w:rFonts w:ascii="Arial" w:hAnsi="Arial" w:cs="Arial"/>
          <w:sz w:val="22"/>
          <w:szCs w:val="22"/>
        </w:rPr>
        <w:t>ec</w:t>
      </w:r>
      <w:r w:rsidR="002324FE" w:rsidRPr="00E042A4">
        <w:rPr>
          <w:rFonts w:ascii="Arial" w:hAnsi="Arial" w:cs="Arial"/>
          <w:sz w:val="22"/>
          <w:szCs w:val="22"/>
        </w:rPr>
        <w:t>i</w:t>
      </w:r>
      <w:r w:rsidR="008065EB" w:rsidRPr="00E042A4">
        <w:rPr>
          <w:rFonts w:ascii="Arial" w:hAnsi="Arial" w:cs="Arial"/>
          <w:sz w:val="22"/>
          <w:szCs w:val="22"/>
        </w:rPr>
        <w:t>r</w:t>
      </w:r>
      <w:r w:rsidR="002324FE" w:rsidRPr="00E042A4">
        <w:rPr>
          <w:rFonts w:ascii="Arial" w:hAnsi="Arial" w:cs="Arial"/>
          <w:sz w:val="22"/>
          <w:szCs w:val="22"/>
        </w:rPr>
        <w:t xml:space="preserve"> otra cosa</w:t>
      </w:r>
      <w:r w:rsidR="00492DBC" w:rsidRPr="00E042A4">
        <w:rPr>
          <w:rFonts w:ascii="Arial" w:hAnsi="Arial" w:cs="Arial"/>
          <w:sz w:val="22"/>
          <w:szCs w:val="22"/>
        </w:rPr>
        <w:t>.</w:t>
      </w:r>
    </w:p>
    <w:sectPr w:rsidR="00AC2AAB" w:rsidRPr="00E042A4" w:rsidSect="009B7062">
      <w:headerReference w:type="default" r:id="rId12"/>
      <w:footerReference w:type="default" r:id="rId13"/>
      <w:pgSz w:w="11906" w:h="16838"/>
      <w:pgMar w:top="851"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93A" w:rsidRDefault="001D793A" w:rsidP="00511DB8">
      <w:pPr>
        <w:spacing w:after="0" w:line="240" w:lineRule="auto"/>
      </w:pPr>
      <w:r>
        <w:separator/>
      </w:r>
    </w:p>
  </w:endnote>
  <w:endnote w:type="continuationSeparator" w:id="0">
    <w:p w:rsidR="001D793A" w:rsidRDefault="001D793A" w:rsidP="00511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88F" w:rsidRDefault="007B488F">
    <w:pPr>
      <w:pStyle w:val="Piedepgina"/>
      <w:jc w:val="right"/>
    </w:pPr>
    <w:r>
      <w:fldChar w:fldCharType="begin"/>
    </w:r>
    <w:r>
      <w:instrText>PAGE   \* MERGEFORMAT</w:instrText>
    </w:r>
    <w:r>
      <w:fldChar w:fldCharType="separate"/>
    </w:r>
    <w:r w:rsidR="00DD66E0">
      <w:rPr>
        <w:noProof/>
      </w:rPr>
      <w:t>3</w:t>
    </w:r>
    <w:r>
      <w:fldChar w:fldCharType="end"/>
    </w:r>
  </w:p>
  <w:p w:rsidR="004A3E7B" w:rsidRDefault="004A3E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93A" w:rsidRDefault="001D793A" w:rsidP="00511DB8">
      <w:pPr>
        <w:spacing w:after="0" w:line="240" w:lineRule="auto"/>
      </w:pPr>
      <w:r>
        <w:separator/>
      </w:r>
    </w:p>
  </w:footnote>
  <w:footnote w:type="continuationSeparator" w:id="0">
    <w:p w:rsidR="001D793A" w:rsidRDefault="001D793A" w:rsidP="00511D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E7B" w:rsidRDefault="004A3E7B" w:rsidP="00D862C2">
    <w:pPr>
      <w:pStyle w:val="Encabezado"/>
      <w:tabs>
        <w:tab w:val="clear" w:pos="4252"/>
        <w:tab w:val="clear" w:pos="8504"/>
        <w:tab w:val="left" w:pos="3660"/>
        <w:tab w:val="left" w:pos="6675"/>
        <w:tab w:val="left" w:pos="7614"/>
      </w:tabs>
    </w:pPr>
    <w:r>
      <w:tab/>
    </w:r>
    <w:r>
      <w:tab/>
    </w:r>
    <w:r w:rsidR="00D862C2">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C1BE4"/>
    <w:multiLevelType w:val="multilevel"/>
    <w:tmpl w:val="5F16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F2912"/>
    <w:multiLevelType w:val="multilevel"/>
    <w:tmpl w:val="BDD87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3A3691"/>
    <w:multiLevelType w:val="hybridMultilevel"/>
    <w:tmpl w:val="4BAA4D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DD964D0"/>
    <w:multiLevelType w:val="multilevel"/>
    <w:tmpl w:val="8EFC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16D46"/>
    <w:multiLevelType w:val="multilevel"/>
    <w:tmpl w:val="CC0EA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D25ED4"/>
    <w:multiLevelType w:val="multilevel"/>
    <w:tmpl w:val="5286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DE1E9A"/>
    <w:multiLevelType w:val="multilevel"/>
    <w:tmpl w:val="622CB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36568B"/>
    <w:multiLevelType w:val="multilevel"/>
    <w:tmpl w:val="C7E2B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0145881"/>
    <w:multiLevelType w:val="multilevel"/>
    <w:tmpl w:val="47E8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8E26C2"/>
    <w:multiLevelType w:val="multilevel"/>
    <w:tmpl w:val="2B5E0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F146CC"/>
    <w:multiLevelType w:val="multilevel"/>
    <w:tmpl w:val="65A4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4B553B"/>
    <w:multiLevelType w:val="multilevel"/>
    <w:tmpl w:val="FA24D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F2F9B"/>
    <w:multiLevelType w:val="multilevel"/>
    <w:tmpl w:val="00B4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76C3D"/>
    <w:multiLevelType w:val="multilevel"/>
    <w:tmpl w:val="6D4C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4A55D5"/>
    <w:multiLevelType w:val="multilevel"/>
    <w:tmpl w:val="1AAA50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C5C53CD"/>
    <w:multiLevelType w:val="multilevel"/>
    <w:tmpl w:val="716E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A82956"/>
    <w:multiLevelType w:val="multilevel"/>
    <w:tmpl w:val="1F568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505696"/>
    <w:multiLevelType w:val="multilevel"/>
    <w:tmpl w:val="06321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EA9176F"/>
    <w:multiLevelType w:val="multilevel"/>
    <w:tmpl w:val="55E0D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C21ABE"/>
    <w:multiLevelType w:val="multilevel"/>
    <w:tmpl w:val="383C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B82C96"/>
    <w:multiLevelType w:val="multilevel"/>
    <w:tmpl w:val="4A68D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140AAA"/>
    <w:multiLevelType w:val="multilevel"/>
    <w:tmpl w:val="B0D8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274099"/>
    <w:multiLevelType w:val="multilevel"/>
    <w:tmpl w:val="CED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884347"/>
    <w:multiLevelType w:val="multilevel"/>
    <w:tmpl w:val="81E6C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235738"/>
    <w:multiLevelType w:val="multilevel"/>
    <w:tmpl w:val="83EA0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BA2DFC"/>
    <w:multiLevelType w:val="multilevel"/>
    <w:tmpl w:val="BDD4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937D3C"/>
    <w:multiLevelType w:val="multilevel"/>
    <w:tmpl w:val="6CA46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8511BF"/>
    <w:multiLevelType w:val="multilevel"/>
    <w:tmpl w:val="0EB6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E75E4B"/>
    <w:multiLevelType w:val="multilevel"/>
    <w:tmpl w:val="457AB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50B35"/>
    <w:multiLevelType w:val="multilevel"/>
    <w:tmpl w:val="2B7C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0AF4153"/>
    <w:multiLevelType w:val="multilevel"/>
    <w:tmpl w:val="872047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D86153"/>
    <w:multiLevelType w:val="multilevel"/>
    <w:tmpl w:val="E08ABF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B123805"/>
    <w:multiLevelType w:val="multilevel"/>
    <w:tmpl w:val="C5F4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FEE1D2B"/>
    <w:multiLevelType w:val="multilevel"/>
    <w:tmpl w:val="49E6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1"/>
  </w:num>
  <w:num w:numId="4">
    <w:abstractNumId w:val="20"/>
  </w:num>
  <w:num w:numId="5">
    <w:abstractNumId w:val="4"/>
  </w:num>
  <w:num w:numId="6">
    <w:abstractNumId w:val="18"/>
  </w:num>
  <w:num w:numId="7">
    <w:abstractNumId w:val="23"/>
  </w:num>
  <w:num w:numId="8">
    <w:abstractNumId w:val="0"/>
  </w:num>
  <w:num w:numId="9">
    <w:abstractNumId w:val="1"/>
  </w:num>
  <w:num w:numId="10">
    <w:abstractNumId w:val="3"/>
  </w:num>
  <w:num w:numId="11">
    <w:abstractNumId w:val="26"/>
  </w:num>
  <w:num w:numId="12">
    <w:abstractNumId w:val="15"/>
  </w:num>
  <w:num w:numId="13">
    <w:abstractNumId w:val="27"/>
  </w:num>
  <w:num w:numId="14">
    <w:abstractNumId w:val="22"/>
  </w:num>
  <w:num w:numId="15">
    <w:abstractNumId w:val="28"/>
  </w:num>
  <w:num w:numId="16">
    <w:abstractNumId w:val="33"/>
  </w:num>
  <w:num w:numId="17">
    <w:abstractNumId w:val="6"/>
  </w:num>
  <w:num w:numId="18">
    <w:abstractNumId w:val="24"/>
  </w:num>
  <w:num w:numId="19">
    <w:abstractNumId w:val="21"/>
  </w:num>
  <w:num w:numId="20">
    <w:abstractNumId w:val="25"/>
  </w:num>
  <w:num w:numId="21">
    <w:abstractNumId w:val="30"/>
  </w:num>
  <w:num w:numId="22">
    <w:abstractNumId w:val="32"/>
  </w:num>
  <w:num w:numId="23">
    <w:abstractNumId w:val="29"/>
  </w:num>
  <w:num w:numId="24">
    <w:abstractNumId w:val="16"/>
  </w:num>
  <w:num w:numId="25">
    <w:abstractNumId w:val="12"/>
  </w:num>
  <w:num w:numId="26">
    <w:abstractNumId w:val="2"/>
  </w:num>
  <w:num w:numId="27">
    <w:abstractNumId w:val="13"/>
  </w:num>
  <w:num w:numId="28">
    <w:abstractNumId w:val="17"/>
  </w:num>
  <w:num w:numId="29">
    <w:abstractNumId w:val="14"/>
  </w:num>
  <w:num w:numId="30">
    <w:abstractNumId w:val="31"/>
  </w:num>
  <w:num w:numId="31">
    <w:abstractNumId w:val="10"/>
  </w:num>
  <w:num w:numId="32">
    <w:abstractNumId w:val="7"/>
  </w:num>
  <w:num w:numId="33">
    <w:abstractNumId w:val="5"/>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134E"/>
    <w:rsid w:val="00003CA1"/>
    <w:rsid w:val="00004F99"/>
    <w:rsid w:val="00005438"/>
    <w:rsid w:val="000062B8"/>
    <w:rsid w:val="000125F1"/>
    <w:rsid w:val="00013894"/>
    <w:rsid w:val="0001495D"/>
    <w:rsid w:val="00015F8E"/>
    <w:rsid w:val="00016D57"/>
    <w:rsid w:val="00025F1F"/>
    <w:rsid w:val="00030013"/>
    <w:rsid w:val="000316CF"/>
    <w:rsid w:val="00033402"/>
    <w:rsid w:val="00035870"/>
    <w:rsid w:val="00035BF5"/>
    <w:rsid w:val="00037D52"/>
    <w:rsid w:val="00037D9E"/>
    <w:rsid w:val="00043ADB"/>
    <w:rsid w:val="000510A6"/>
    <w:rsid w:val="00054E73"/>
    <w:rsid w:val="000567EF"/>
    <w:rsid w:val="000572C2"/>
    <w:rsid w:val="000663B1"/>
    <w:rsid w:val="000666FF"/>
    <w:rsid w:val="00067811"/>
    <w:rsid w:val="00067A91"/>
    <w:rsid w:val="00073AFB"/>
    <w:rsid w:val="00075D19"/>
    <w:rsid w:val="00075DA6"/>
    <w:rsid w:val="00081027"/>
    <w:rsid w:val="00091BC6"/>
    <w:rsid w:val="00093337"/>
    <w:rsid w:val="00096467"/>
    <w:rsid w:val="0009744B"/>
    <w:rsid w:val="00097C30"/>
    <w:rsid w:val="000A02A0"/>
    <w:rsid w:val="000A08D3"/>
    <w:rsid w:val="000A6039"/>
    <w:rsid w:val="000A683E"/>
    <w:rsid w:val="000A713D"/>
    <w:rsid w:val="000B02C4"/>
    <w:rsid w:val="000B134E"/>
    <w:rsid w:val="000B1F61"/>
    <w:rsid w:val="000B2137"/>
    <w:rsid w:val="000B48C6"/>
    <w:rsid w:val="000B562D"/>
    <w:rsid w:val="000B7873"/>
    <w:rsid w:val="000C0B71"/>
    <w:rsid w:val="000D09EC"/>
    <w:rsid w:val="000D1DC9"/>
    <w:rsid w:val="000D5781"/>
    <w:rsid w:val="000E1EC9"/>
    <w:rsid w:val="000E31E4"/>
    <w:rsid w:val="000E3A8A"/>
    <w:rsid w:val="000E56CB"/>
    <w:rsid w:val="000E5CDA"/>
    <w:rsid w:val="000F17AA"/>
    <w:rsid w:val="000F27FA"/>
    <w:rsid w:val="000F5D2F"/>
    <w:rsid w:val="000F7400"/>
    <w:rsid w:val="00100525"/>
    <w:rsid w:val="0010501A"/>
    <w:rsid w:val="00106C48"/>
    <w:rsid w:val="001105E2"/>
    <w:rsid w:val="0011307D"/>
    <w:rsid w:val="00115289"/>
    <w:rsid w:val="00117BD9"/>
    <w:rsid w:val="00120441"/>
    <w:rsid w:val="00121C14"/>
    <w:rsid w:val="00125412"/>
    <w:rsid w:val="00133937"/>
    <w:rsid w:val="00137177"/>
    <w:rsid w:val="00137462"/>
    <w:rsid w:val="00137651"/>
    <w:rsid w:val="0014036E"/>
    <w:rsid w:val="00140F12"/>
    <w:rsid w:val="00144174"/>
    <w:rsid w:val="00144B43"/>
    <w:rsid w:val="00145A56"/>
    <w:rsid w:val="00145F49"/>
    <w:rsid w:val="00150946"/>
    <w:rsid w:val="00152D58"/>
    <w:rsid w:val="0015382D"/>
    <w:rsid w:val="001563BE"/>
    <w:rsid w:val="00157BA1"/>
    <w:rsid w:val="0016378E"/>
    <w:rsid w:val="00164094"/>
    <w:rsid w:val="00170EA7"/>
    <w:rsid w:val="00172633"/>
    <w:rsid w:val="00172902"/>
    <w:rsid w:val="00175C3E"/>
    <w:rsid w:val="0018047B"/>
    <w:rsid w:val="001826C3"/>
    <w:rsid w:val="00184787"/>
    <w:rsid w:val="001868AA"/>
    <w:rsid w:val="00192611"/>
    <w:rsid w:val="001930C5"/>
    <w:rsid w:val="0019553E"/>
    <w:rsid w:val="001B4C34"/>
    <w:rsid w:val="001B645F"/>
    <w:rsid w:val="001C1303"/>
    <w:rsid w:val="001C3A4D"/>
    <w:rsid w:val="001C56A3"/>
    <w:rsid w:val="001C6502"/>
    <w:rsid w:val="001D2241"/>
    <w:rsid w:val="001D47D6"/>
    <w:rsid w:val="001D4B9B"/>
    <w:rsid w:val="001D62EC"/>
    <w:rsid w:val="001D793A"/>
    <w:rsid w:val="001E2539"/>
    <w:rsid w:val="001E623C"/>
    <w:rsid w:val="001F2064"/>
    <w:rsid w:val="001F6423"/>
    <w:rsid w:val="0020033F"/>
    <w:rsid w:val="00202E9F"/>
    <w:rsid w:val="00210310"/>
    <w:rsid w:val="00211949"/>
    <w:rsid w:val="0021238D"/>
    <w:rsid w:val="002149FC"/>
    <w:rsid w:val="00222801"/>
    <w:rsid w:val="0022440F"/>
    <w:rsid w:val="002267EB"/>
    <w:rsid w:val="00226FB2"/>
    <w:rsid w:val="002277A1"/>
    <w:rsid w:val="002324FE"/>
    <w:rsid w:val="002326C8"/>
    <w:rsid w:val="002332CF"/>
    <w:rsid w:val="00234B9D"/>
    <w:rsid w:val="00234C1E"/>
    <w:rsid w:val="00246393"/>
    <w:rsid w:val="00253055"/>
    <w:rsid w:val="0025394C"/>
    <w:rsid w:val="00254C97"/>
    <w:rsid w:val="00261900"/>
    <w:rsid w:val="00261CED"/>
    <w:rsid w:val="002638D9"/>
    <w:rsid w:val="0026754D"/>
    <w:rsid w:val="00267EF7"/>
    <w:rsid w:val="00271A83"/>
    <w:rsid w:val="00272101"/>
    <w:rsid w:val="00283D84"/>
    <w:rsid w:val="00286BE4"/>
    <w:rsid w:val="002923BF"/>
    <w:rsid w:val="00293C4D"/>
    <w:rsid w:val="00293CC9"/>
    <w:rsid w:val="002960EF"/>
    <w:rsid w:val="00297EB3"/>
    <w:rsid w:val="002A1DC2"/>
    <w:rsid w:val="002A3EB1"/>
    <w:rsid w:val="002A6486"/>
    <w:rsid w:val="002B134E"/>
    <w:rsid w:val="002B25A6"/>
    <w:rsid w:val="002B2E5F"/>
    <w:rsid w:val="002B4A5C"/>
    <w:rsid w:val="002B6084"/>
    <w:rsid w:val="002B77CA"/>
    <w:rsid w:val="002C22D7"/>
    <w:rsid w:val="002C3288"/>
    <w:rsid w:val="002C374D"/>
    <w:rsid w:val="002C512E"/>
    <w:rsid w:val="002C5E45"/>
    <w:rsid w:val="002C64E5"/>
    <w:rsid w:val="002C7EFD"/>
    <w:rsid w:val="002D120A"/>
    <w:rsid w:val="002D1AE7"/>
    <w:rsid w:val="002D2197"/>
    <w:rsid w:val="002D2AB4"/>
    <w:rsid w:val="002D2FE1"/>
    <w:rsid w:val="002E08BB"/>
    <w:rsid w:val="002E5531"/>
    <w:rsid w:val="002E60E4"/>
    <w:rsid w:val="002F1EB3"/>
    <w:rsid w:val="0030297D"/>
    <w:rsid w:val="003167BD"/>
    <w:rsid w:val="00320749"/>
    <w:rsid w:val="0032179A"/>
    <w:rsid w:val="0032339D"/>
    <w:rsid w:val="0032413E"/>
    <w:rsid w:val="00325F2F"/>
    <w:rsid w:val="0032765F"/>
    <w:rsid w:val="00332C8D"/>
    <w:rsid w:val="00334E46"/>
    <w:rsid w:val="003360B8"/>
    <w:rsid w:val="003412DA"/>
    <w:rsid w:val="0034282C"/>
    <w:rsid w:val="00346FC8"/>
    <w:rsid w:val="00351B72"/>
    <w:rsid w:val="003530E1"/>
    <w:rsid w:val="00353762"/>
    <w:rsid w:val="00355141"/>
    <w:rsid w:val="00355446"/>
    <w:rsid w:val="00356781"/>
    <w:rsid w:val="00360666"/>
    <w:rsid w:val="003628EE"/>
    <w:rsid w:val="00371CE1"/>
    <w:rsid w:val="00374960"/>
    <w:rsid w:val="00374E01"/>
    <w:rsid w:val="00381496"/>
    <w:rsid w:val="00384827"/>
    <w:rsid w:val="00384A08"/>
    <w:rsid w:val="00385E34"/>
    <w:rsid w:val="003917B0"/>
    <w:rsid w:val="003A0AA6"/>
    <w:rsid w:val="003A18D5"/>
    <w:rsid w:val="003A1EC8"/>
    <w:rsid w:val="003A29FC"/>
    <w:rsid w:val="003A37A5"/>
    <w:rsid w:val="003A4964"/>
    <w:rsid w:val="003B03DD"/>
    <w:rsid w:val="003B1250"/>
    <w:rsid w:val="003B3377"/>
    <w:rsid w:val="003B6A85"/>
    <w:rsid w:val="003C0CEC"/>
    <w:rsid w:val="003C0D9C"/>
    <w:rsid w:val="003C12A2"/>
    <w:rsid w:val="003C205F"/>
    <w:rsid w:val="003C4CE5"/>
    <w:rsid w:val="003C55D3"/>
    <w:rsid w:val="003C7355"/>
    <w:rsid w:val="003C7C94"/>
    <w:rsid w:val="003D4192"/>
    <w:rsid w:val="003D6ACC"/>
    <w:rsid w:val="003D74D0"/>
    <w:rsid w:val="003D7532"/>
    <w:rsid w:val="003E02C6"/>
    <w:rsid w:val="003E1F62"/>
    <w:rsid w:val="003F0960"/>
    <w:rsid w:val="003F2DE6"/>
    <w:rsid w:val="003F3678"/>
    <w:rsid w:val="004001A4"/>
    <w:rsid w:val="00400DF5"/>
    <w:rsid w:val="0040142D"/>
    <w:rsid w:val="00404A8F"/>
    <w:rsid w:val="00404B3A"/>
    <w:rsid w:val="004064B5"/>
    <w:rsid w:val="004067D5"/>
    <w:rsid w:val="004129AC"/>
    <w:rsid w:val="004150AF"/>
    <w:rsid w:val="00415B19"/>
    <w:rsid w:val="00415C35"/>
    <w:rsid w:val="00417275"/>
    <w:rsid w:val="00417B08"/>
    <w:rsid w:val="00422FA1"/>
    <w:rsid w:val="004235E9"/>
    <w:rsid w:val="00423A0F"/>
    <w:rsid w:val="00424DC7"/>
    <w:rsid w:val="00425718"/>
    <w:rsid w:val="004267B7"/>
    <w:rsid w:val="00430353"/>
    <w:rsid w:val="00432165"/>
    <w:rsid w:val="00434420"/>
    <w:rsid w:val="00434AD4"/>
    <w:rsid w:val="0043679A"/>
    <w:rsid w:val="00436C4B"/>
    <w:rsid w:val="00442F03"/>
    <w:rsid w:val="00444F16"/>
    <w:rsid w:val="0044644E"/>
    <w:rsid w:val="00446C6F"/>
    <w:rsid w:val="004478C6"/>
    <w:rsid w:val="00451723"/>
    <w:rsid w:val="00453F54"/>
    <w:rsid w:val="00453F7B"/>
    <w:rsid w:val="0045589F"/>
    <w:rsid w:val="00460112"/>
    <w:rsid w:val="0046168E"/>
    <w:rsid w:val="0046273F"/>
    <w:rsid w:val="0046402B"/>
    <w:rsid w:val="0047648D"/>
    <w:rsid w:val="00477713"/>
    <w:rsid w:val="00477EFB"/>
    <w:rsid w:val="00481E96"/>
    <w:rsid w:val="00484EFA"/>
    <w:rsid w:val="00485284"/>
    <w:rsid w:val="00486766"/>
    <w:rsid w:val="00492DBC"/>
    <w:rsid w:val="00495473"/>
    <w:rsid w:val="004A02B6"/>
    <w:rsid w:val="004A03F3"/>
    <w:rsid w:val="004A3E7B"/>
    <w:rsid w:val="004A6DE2"/>
    <w:rsid w:val="004B01D1"/>
    <w:rsid w:val="004B0705"/>
    <w:rsid w:val="004B2247"/>
    <w:rsid w:val="004B2E07"/>
    <w:rsid w:val="004B4B93"/>
    <w:rsid w:val="004C02AD"/>
    <w:rsid w:val="004C03F2"/>
    <w:rsid w:val="004C34C7"/>
    <w:rsid w:val="004C4319"/>
    <w:rsid w:val="004C5070"/>
    <w:rsid w:val="004C64D5"/>
    <w:rsid w:val="004C785F"/>
    <w:rsid w:val="004D09B7"/>
    <w:rsid w:val="004D2763"/>
    <w:rsid w:val="004D4296"/>
    <w:rsid w:val="004D4B43"/>
    <w:rsid w:val="004D4FD8"/>
    <w:rsid w:val="004D7F4E"/>
    <w:rsid w:val="004E4BFD"/>
    <w:rsid w:val="004E5245"/>
    <w:rsid w:val="004E529A"/>
    <w:rsid w:val="004E68B8"/>
    <w:rsid w:val="004E712F"/>
    <w:rsid w:val="004E7383"/>
    <w:rsid w:val="004F1B4E"/>
    <w:rsid w:val="004F3CE0"/>
    <w:rsid w:val="00500FD0"/>
    <w:rsid w:val="00501E71"/>
    <w:rsid w:val="005027AB"/>
    <w:rsid w:val="00502A1E"/>
    <w:rsid w:val="00511DB8"/>
    <w:rsid w:val="00513420"/>
    <w:rsid w:val="00514652"/>
    <w:rsid w:val="00514C2D"/>
    <w:rsid w:val="00517B9F"/>
    <w:rsid w:val="00520D56"/>
    <w:rsid w:val="00521696"/>
    <w:rsid w:val="005225FA"/>
    <w:rsid w:val="00526A65"/>
    <w:rsid w:val="00531036"/>
    <w:rsid w:val="00531977"/>
    <w:rsid w:val="00533916"/>
    <w:rsid w:val="00535BC1"/>
    <w:rsid w:val="00537235"/>
    <w:rsid w:val="00537D16"/>
    <w:rsid w:val="0054091E"/>
    <w:rsid w:val="00540B59"/>
    <w:rsid w:val="00541BE9"/>
    <w:rsid w:val="005445E2"/>
    <w:rsid w:val="00550623"/>
    <w:rsid w:val="00550916"/>
    <w:rsid w:val="005518E6"/>
    <w:rsid w:val="00551ADB"/>
    <w:rsid w:val="00554E6F"/>
    <w:rsid w:val="005567D2"/>
    <w:rsid w:val="00556F27"/>
    <w:rsid w:val="0055741F"/>
    <w:rsid w:val="00557CA1"/>
    <w:rsid w:val="00561C85"/>
    <w:rsid w:val="00562C7C"/>
    <w:rsid w:val="00564975"/>
    <w:rsid w:val="00565F3F"/>
    <w:rsid w:val="0056648C"/>
    <w:rsid w:val="0057110A"/>
    <w:rsid w:val="00572CEE"/>
    <w:rsid w:val="00580BDA"/>
    <w:rsid w:val="0058203C"/>
    <w:rsid w:val="00584DA6"/>
    <w:rsid w:val="00585E8E"/>
    <w:rsid w:val="00592DDE"/>
    <w:rsid w:val="005A2692"/>
    <w:rsid w:val="005A2B4E"/>
    <w:rsid w:val="005A7EBF"/>
    <w:rsid w:val="005A7F95"/>
    <w:rsid w:val="005B1AE6"/>
    <w:rsid w:val="005B7DBC"/>
    <w:rsid w:val="005C071C"/>
    <w:rsid w:val="005C1BD1"/>
    <w:rsid w:val="005C49BC"/>
    <w:rsid w:val="005C4DBD"/>
    <w:rsid w:val="005C5564"/>
    <w:rsid w:val="005C5B37"/>
    <w:rsid w:val="005D1479"/>
    <w:rsid w:val="005D579A"/>
    <w:rsid w:val="005D6A43"/>
    <w:rsid w:val="005D7C6E"/>
    <w:rsid w:val="005E11E5"/>
    <w:rsid w:val="005E2ED0"/>
    <w:rsid w:val="005E3A4A"/>
    <w:rsid w:val="005E4E3C"/>
    <w:rsid w:val="005E5DED"/>
    <w:rsid w:val="005F1A84"/>
    <w:rsid w:val="005F5CD8"/>
    <w:rsid w:val="005F5E57"/>
    <w:rsid w:val="005F67BD"/>
    <w:rsid w:val="006007AF"/>
    <w:rsid w:val="006007D5"/>
    <w:rsid w:val="006039E3"/>
    <w:rsid w:val="006073B0"/>
    <w:rsid w:val="00610701"/>
    <w:rsid w:val="00616E7A"/>
    <w:rsid w:val="00620FDF"/>
    <w:rsid w:val="00623799"/>
    <w:rsid w:val="00631684"/>
    <w:rsid w:val="00632438"/>
    <w:rsid w:val="00635B13"/>
    <w:rsid w:val="00640A21"/>
    <w:rsid w:val="00641598"/>
    <w:rsid w:val="00643E0C"/>
    <w:rsid w:val="00644C1C"/>
    <w:rsid w:val="00646F54"/>
    <w:rsid w:val="00647CE5"/>
    <w:rsid w:val="00651C5E"/>
    <w:rsid w:val="00652A64"/>
    <w:rsid w:val="00652E6A"/>
    <w:rsid w:val="00652F3A"/>
    <w:rsid w:val="00654B18"/>
    <w:rsid w:val="00655C82"/>
    <w:rsid w:val="006579C0"/>
    <w:rsid w:val="00665696"/>
    <w:rsid w:val="0067442C"/>
    <w:rsid w:val="006774A6"/>
    <w:rsid w:val="00690279"/>
    <w:rsid w:val="00691F37"/>
    <w:rsid w:val="00697224"/>
    <w:rsid w:val="00697D35"/>
    <w:rsid w:val="006A0987"/>
    <w:rsid w:val="006A0DDD"/>
    <w:rsid w:val="006A293D"/>
    <w:rsid w:val="006A2D1F"/>
    <w:rsid w:val="006A3A21"/>
    <w:rsid w:val="006A5786"/>
    <w:rsid w:val="006A6A8E"/>
    <w:rsid w:val="006A7CC3"/>
    <w:rsid w:val="006B673A"/>
    <w:rsid w:val="006C1260"/>
    <w:rsid w:val="006C151D"/>
    <w:rsid w:val="006C3D48"/>
    <w:rsid w:val="006D0779"/>
    <w:rsid w:val="006E1B7E"/>
    <w:rsid w:val="006E5E19"/>
    <w:rsid w:val="006E6CAB"/>
    <w:rsid w:val="006E78CD"/>
    <w:rsid w:val="006F05EA"/>
    <w:rsid w:val="006F0B5A"/>
    <w:rsid w:val="006F159C"/>
    <w:rsid w:val="006F1601"/>
    <w:rsid w:val="006F2002"/>
    <w:rsid w:val="006F55E9"/>
    <w:rsid w:val="0070197D"/>
    <w:rsid w:val="00701D0E"/>
    <w:rsid w:val="00704FF8"/>
    <w:rsid w:val="00706D8F"/>
    <w:rsid w:val="00707145"/>
    <w:rsid w:val="00707BE3"/>
    <w:rsid w:val="00714730"/>
    <w:rsid w:val="007218DC"/>
    <w:rsid w:val="00726773"/>
    <w:rsid w:val="007306C9"/>
    <w:rsid w:val="00730974"/>
    <w:rsid w:val="00732AE8"/>
    <w:rsid w:val="00733C06"/>
    <w:rsid w:val="0073434C"/>
    <w:rsid w:val="00734B30"/>
    <w:rsid w:val="00736B15"/>
    <w:rsid w:val="0073712F"/>
    <w:rsid w:val="0073722B"/>
    <w:rsid w:val="0074548D"/>
    <w:rsid w:val="00745782"/>
    <w:rsid w:val="00753E65"/>
    <w:rsid w:val="00755D54"/>
    <w:rsid w:val="00757325"/>
    <w:rsid w:val="00760C38"/>
    <w:rsid w:val="007660A6"/>
    <w:rsid w:val="00767B2A"/>
    <w:rsid w:val="007718B0"/>
    <w:rsid w:val="00771969"/>
    <w:rsid w:val="00771B20"/>
    <w:rsid w:val="00771C4E"/>
    <w:rsid w:val="0077598A"/>
    <w:rsid w:val="00776416"/>
    <w:rsid w:val="00777464"/>
    <w:rsid w:val="007824A3"/>
    <w:rsid w:val="00785963"/>
    <w:rsid w:val="007861C7"/>
    <w:rsid w:val="00793EC3"/>
    <w:rsid w:val="007A0718"/>
    <w:rsid w:val="007A6E5F"/>
    <w:rsid w:val="007A7B6B"/>
    <w:rsid w:val="007B008C"/>
    <w:rsid w:val="007B0B81"/>
    <w:rsid w:val="007B0E86"/>
    <w:rsid w:val="007B1208"/>
    <w:rsid w:val="007B31BB"/>
    <w:rsid w:val="007B3705"/>
    <w:rsid w:val="007B3EEA"/>
    <w:rsid w:val="007B488F"/>
    <w:rsid w:val="007B5565"/>
    <w:rsid w:val="007B6F97"/>
    <w:rsid w:val="007B7365"/>
    <w:rsid w:val="007C4C5C"/>
    <w:rsid w:val="007C4CC0"/>
    <w:rsid w:val="007D14DC"/>
    <w:rsid w:val="007D6483"/>
    <w:rsid w:val="007D692B"/>
    <w:rsid w:val="007E2E32"/>
    <w:rsid w:val="007E774A"/>
    <w:rsid w:val="007F331B"/>
    <w:rsid w:val="007F3642"/>
    <w:rsid w:val="007F4483"/>
    <w:rsid w:val="007F7E38"/>
    <w:rsid w:val="00800C51"/>
    <w:rsid w:val="0080119D"/>
    <w:rsid w:val="008018E9"/>
    <w:rsid w:val="00802753"/>
    <w:rsid w:val="008031F1"/>
    <w:rsid w:val="00803366"/>
    <w:rsid w:val="00803AA5"/>
    <w:rsid w:val="008049C3"/>
    <w:rsid w:val="008058C8"/>
    <w:rsid w:val="008065EB"/>
    <w:rsid w:val="00806A3B"/>
    <w:rsid w:val="00811BA6"/>
    <w:rsid w:val="00814B91"/>
    <w:rsid w:val="008153D5"/>
    <w:rsid w:val="00822A0D"/>
    <w:rsid w:val="0082534F"/>
    <w:rsid w:val="00826110"/>
    <w:rsid w:val="008319FA"/>
    <w:rsid w:val="00832146"/>
    <w:rsid w:val="0083269B"/>
    <w:rsid w:val="0083279B"/>
    <w:rsid w:val="00840976"/>
    <w:rsid w:val="00840C6F"/>
    <w:rsid w:val="00841CDE"/>
    <w:rsid w:val="00841EEB"/>
    <w:rsid w:val="00843ECB"/>
    <w:rsid w:val="0085278C"/>
    <w:rsid w:val="00853B54"/>
    <w:rsid w:val="00861011"/>
    <w:rsid w:val="008649C5"/>
    <w:rsid w:val="00864A65"/>
    <w:rsid w:val="008660D1"/>
    <w:rsid w:val="008671FD"/>
    <w:rsid w:val="00873465"/>
    <w:rsid w:val="00874C96"/>
    <w:rsid w:val="0087609D"/>
    <w:rsid w:val="0088413C"/>
    <w:rsid w:val="00884EB7"/>
    <w:rsid w:val="008928EF"/>
    <w:rsid w:val="0089395B"/>
    <w:rsid w:val="008939BF"/>
    <w:rsid w:val="00895B76"/>
    <w:rsid w:val="00895F6A"/>
    <w:rsid w:val="008962AF"/>
    <w:rsid w:val="00897834"/>
    <w:rsid w:val="008B34CB"/>
    <w:rsid w:val="008B4D72"/>
    <w:rsid w:val="008B71E2"/>
    <w:rsid w:val="008B771C"/>
    <w:rsid w:val="008C02A1"/>
    <w:rsid w:val="008C08CB"/>
    <w:rsid w:val="008C0FAE"/>
    <w:rsid w:val="008C2A68"/>
    <w:rsid w:val="008C55D8"/>
    <w:rsid w:val="008D1AC6"/>
    <w:rsid w:val="008D26F9"/>
    <w:rsid w:val="008D2DAE"/>
    <w:rsid w:val="008D342E"/>
    <w:rsid w:val="008D54F8"/>
    <w:rsid w:val="008D7BAE"/>
    <w:rsid w:val="008E06B7"/>
    <w:rsid w:val="008E2322"/>
    <w:rsid w:val="008E40A2"/>
    <w:rsid w:val="008E5DD8"/>
    <w:rsid w:val="008E7223"/>
    <w:rsid w:val="008E7DCD"/>
    <w:rsid w:val="008F5304"/>
    <w:rsid w:val="008F6BC7"/>
    <w:rsid w:val="009030D0"/>
    <w:rsid w:val="00903BED"/>
    <w:rsid w:val="00904AEF"/>
    <w:rsid w:val="00904C77"/>
    <w:rsid w:val="00905C48"/>
    <w:rsid w:val="0090647A"/>
    <w:rsid w:val="00912EC8"/>
    <w:rsid w:val="00915BAC"/>
    <w:rsid w:val="0091715B"/>
    <w:rsid w:val="00920026"/>
    <w:rsid w:val="00924A3E"/>
    <w:rsid w:val="009252F3"/>
    <w:rsid w:val="009270A2"/>
    <w:rsid w:val="00934BFA"/>
    <w:rsid w:val="00934C9A"/>
    <w:rsid w:val="0094299C"/>
    <w:rsid w:val="00946845"/>
    <w:rsid w:val="0094703D"/>
    <w:rsid w:val="00953D5D"/>
    <w:rsid w:val="0095464A"/>
    <w:rsid w:val="0095770A"/>
    <w:rsid w:val="00960CF2"/>
    <w:rsid w:val="0096154A"/>
    <w:rsid w:val="009616AE"/>
    <w:rsid w:val="009628BA"/>
    <w:rsid w:val="00964BA6"/>
    <w:rsid w:val="00966443"/>
    <w:rsid w:val="00971EE8"/>
    <w:rsid w:val="0097221A"/>
    <w:rsid w:val="00974729"/>
    <w:rsid w:val="00974F43"/>
    <w:rsid w:val="00976D56"/>
    <w:rsid w:val="00984E1F"/>
    <w:rsid w:val="00986C39"/>
    <w:rsid w:val="009900FB"/>
    <w:rsid w:val="00990AAA"/>
    <w:rsid w:val="009974F3"/>
    <w:rsid w:val="009A43C4"/>
    <w:rsid w:val="009A56E9"/>
    <w:rsid w:val="009B19CA"/>
    <w:rsid w:val="009B1CEF"/>
    <w:rsid w:val="009B7062"/>
    <w:rsid w:val="009C0BEF"/>
    <w:rsid w:val="009C0C02"/>
    <w:rsid w:val="009C1977"/>
    <w:rsid w:val="009C1EE9"/>
    <w:rsid w:val="009C2AAD"/>
    <w:rsid w:val="009C5041"/>
    <w:rsid w:val="009C632A"/>
    <w:rsid w:val="009C77AF"/>
    <w:rsid w:val="009D1197"/>
    <w:rsid w:val="009D3440"/>
    <w:rsid w:val="009D3D15"/>
    <w:rsid w:val="009D5B94"/>
    <w:rsid w:val="009E1560"/>
    <w:rsid w:val="009E1ABC"/>
    <w:rsid w:val="009E55F8"/>
    <w:rsid w:val="009F153B"/>
    <w:rsid w:val="009F2C9E"/>
    <w:rsid w:val="009F38E8"/>
    <w:rsid w:val="009F4AF7"/>
    <w:rsid w:val="00A008B8"/>
    <w:rsid w:val="00A012C5"/>
    <w:rsid w:val="00A022BF"/>
    <w:rsid w:val="00A04515"/>
    <w:rsid w:val="00A0546B"/>
    <w:rsid w:val="00A05558"/>
    <w:rsid w:val="00A074A8"/>
    <w:rsid w:val="00A12A21"/>
    <w:rsid w:val="00A14DD0"/>
    <w:rsid w:val="00A16757"/>
    <w:rsid w:val="00A16DEA"/>
    <w:rsid w:val="00A178DB"/>
    <w:rsid w:val="00A22B93"/>
    <w:rsid w:val="00A24EFE"/>
    <w:rsid w:val="00A26700"/>
    <w:rsid w:val="00A2769B"/>
    <w:rsid w:val="00A3375B"/>
    <w:rsid w:val="00A35DB7"/>
    <w:rsid w:val="00A404AC"/>
    <w:rsid w:val="00A41F1F"/>
    <w:rsid w:val="00A47274"/>
    <w:rsid w:val="00A516A3"/>
    <w:rsid w:val="00A57633"/>
    <w:rsid w:val="00A60010"/>
    <w:rsid w:val="00A70A56"/>
    <w:rsid w:val="00A7141C"/>
    <w:rsid w:val="00A72AD3"/>
    <w:rsid w:val="00A7325C"/>
    <w:rsid w:val="00A73499"/>
    <w:rsid w:val="00A73F74"/>
    <w:rsid w:val="00A77A0E"/>
    <w:rsid w:val="00A857C6"/>
    <w:rsid w:val="00A9020E"/>
    <w:rsid w:val="00A909FE"/>
    <w:rsid w:val="00A977AB"/>
    <w:rsid w:val="00A97B4B"/>
    <w:rsid w:val="00AA2240"/>
    <w:rsid w:val="00AA228D"/>
    <w:rsid w:val="00AA2E5E"/>
    <w:rsid w:val="00AA3AB7"/>
    <w:rsid w:val="00AA42DB"/>
    <w:rsid w:val="00AA4755"/>
    <w:rsid w:val="00AA5294"/>
    <w:rsid w:val="00AB0F6D"/>
    <w:rsid w:val="00AB2B98"/>
    <w:rsid w:val="00AB38E3"/>
    <w:rsid w:val="00AB40B8"/>
    <w:rsid w:val="00AB58B0"/>
    <w:rsid w:val="00AC1039"/>
    <w:rsid w:val="00AC16E9"/>
    <w:rsid w:val="00AC1727"/>
    <w:rsid w:val="00AC2AAB"/>
    <w:rsid w:val="00AC2EC7"/>
    <w:rsid w:val="00AC3A77"/>
    <w:rsid w:val="00AC6068"/>
    <w:rsid w:val="00AC6ACC"/>
    <w:rsid w:val="00AC7431"/>
    <w:rsid w:val="00AC7998"/>
    <w:rsid w:val="00AD2A8E"/>
    <w:rsid w:val="00AD4792"/>
    <w:rsid w:val="00AD7925"/>
    <w:rsid w:val="00AE180E"/>
    <w:rsid w:val="00AE1D24"/>
    <w:rsid w:val="00AE332D"/>
    <w:rsid w:val="00AE4392"/>
    <w:rsid w:val="00AE652F"/>
    <w:rsid w:val="00AF2C04"/>
    <w:rsid w:val="00AF397B"/>
    <w:rsid w:val="00AF4FD3"/>
    <w:rsid w:val="00AF50D5"/>
    <w:rsid w:val="00B02488"/>
    <w:rsid w:val="00B03F2B"/>
    <w:rsid w:val="00B0763A"/>
    <w:rsid w:val="00B10F16"/>
    <w:rsid w:val="00B15CF1"/>
    <w:rsid w:val="00B25BC8"/>
    <w:rsid w:val="00B2776E"/>
    <w:rsid w:val="00B27A7B"/>
    <w:rsid w:val="00B30593"/>
    <w:rsid w:val="00B30932"/>
    <w:rsid w:val="00B323C6"/>
    <w:rsid w:val="00B32F9F"/>
    <w:rsid w:val="00B32FA4"/>
    <w:rsid w:val="00B361B8"/>
    <w:rsid w:val="00B4290A"/>
    <w:rsid w:val="00B44C7E"/>
    <w:rsid w:val="00B50BFD"/>
    <w:rsid w:val="00B5627F"/>
    <w:rsid w:val="00B57D13"/>
    <w:rsid w:val="00B62AD9"/>
    <w:rsid w:val="00B656F5"/>
    <w:rsid w:val="00B65FDD"/>
    <w:rsid w:val="00B67166"/>
    <w:rsid w:val="00B7013A"/>
    <w:rsid w:val="00B7193F"/>
    <w:rsid w:val="00B7229E"/>
    <w:rsid w:val="00B72B0E"/>
    <w:rsid w:val="00B73600"/>
    <w:rsid w:val="00B76EE7"/>
    <w:rsid w:val="00B77087"/>
    <w:rsid w:val="00B8298F"/>
    <w:rsid w:val="00B85AD9"/>
    <w:rsid w:val="00B94642"/>
    <w:rsid w:val="00B97629"/>
    <w:rsid w:val="00BA342A"/>
    <w:rsid w:val="00BA44AD"/>
    <w:rsid w:val="00BA7CF6"/>
    <w:rsid w:val="00BB13A6"/>
    <w:rsid w:val="00BB6817"/>
    <w:rsid w:val="00BC2233"/>
    <w:rsid w:val="00BC23DB"/>
    <w:rsid w:val="00BC31D4"/>
    <w:rsid w:val="00BC5C12"/>
    <w:rsid w:val="00BC6A21"/>
    <w:rsid w:val="00BC7677"/>
    <w:rsid w:val="00BD0254"/>
    <w:rsid w:val="00BD32F6"/>
    <w:rsid w:val="00BE0882"/>
    <w:rsid w:val="00BE1CAC"/>
    <w:rsid w:val="00BE2126"/>
    <w:rsid w:val="00BE34DE"/>
    <w:rsid w:val="00BE5DE3"/>
    <w:rsid w:val="00BE65DF"/>
    <w:rsid w:val="00BE71A5"/>
    <w:rsid w:val="00BE78D6"/>
    <w:rsid w:val="00BF12FC"/>
    <w:rsid w:val="00BF1BC3"/>
    <w:rsid w:val="00BF2DA0"/>
    <w:rsid w:val="00BF561B"/>
    <w:rsid w:val="00C00E3C"/>
    <w:rsid w:val="00C019D8"/>
    <w:rsid w:val="00C0399D"/>
    <w:rsid w:val="00C0741E"/>
    <w:rsid w:val="00C20056"/>
    <w:rsid w:val="00C20C55"/>
    <w:rsid w:val="00C25D38"/>
    <w:rsid w:val="00C306AC"/>
    <w:rsid w:val="00C3380D"/>
    <w:rsid w:val="00C360DC"/>
    <w:rsid w:val="00C36E3C"/>
    <w:rsid w:val="00C37FBE"/>
    <w:rsid w:val="00C42D43"/>
    <w:rsid w:val="00C44401"/>
    <w:rsid w:val="00C463ED"/>
    <w:rsid w:val="00C464B5"/>
    <w:rsid w:val="00C46751"/>
    <w:rsid w:val="00C503EE"/>
    <w:rsid w:val="00C536ED"/>
    <w:rsid w:val="00C553D6"/>
    <w:rsid w:val="00C617EB"/>
    <w:rsid w:val="00C63F4D"/>
    <w:rsid w:val="00C64043"/>
    <w:rsid w:val="00C65C9A"/>
    <w:rsid w:val="00C65D57"/>
    <w:rsid w:val="00C66982"/>
    <w:rsid w:val="00C7312B"/>
    <w:rsid w:val="00C73BDE"/>
    <w:rsid w:val="00C74B4C"/>
    <w:rsid w:val="00C760CB"/>
    <w:rsid w:val="00C83B88"/>
    <w:rsid w:val="00C83F93"/>
    <w:rsid w:val="00C83FE5"/>
    <w:rsid w:val="00C84E2A"/>
    <w:rsid w:val="00C91254"/>
    <w:rsid w:val="00C92537"/>
    <w:rsid w:val="00C939AF"/>
    <w:rsid w:val="00C93FB9"/>
    <w:rsid w:val="00CA22AB"/>
    <w:rsid w:val="00CA2D55"/>
    <w:rsid w:val="00CA40B8"/>
    <w:rsid w:val="00CA42E4"/>
    <w:rsid w:val="00CC0EE6"/>
    <w:rsid w:val="00CC5781"/>
    <w:rsid w:val="00CE0333"/>
    <w:rsid w:val="00CE072D"/>
    <w:rsid w:val="00CE0B92"/>
    <w:rsid w:val="00CE1CAF"/>
    <w:rsid w:val="00CE2D0D"/>
    <w:rsid w:val="00CE329B"/>
    <w:rsid w:val="00CF0927"/>
    <w:rsid w:val="00CF5150"/>
    <w:rsid w:val="00CF5F13"/>
    <w:rsid w:val="00CF678F"/>
    <w:rsid w:val="00D00923"/>
    <w:rsid w:val="00D023ED"/>
    <w:rsid w:val="00D03E62"/>
    <w:rsid w:val="00D15661"/>
    <w:rsid w:val="00D20460"/>
    <w:rsid w:val="00D21315"/>
    <w:rsid w:val="00D243A2"/>
    <w:rsid w:val="00D24A5A"/>
    <w:rsid w:val="00D30C1A"/>
    <w:rsid w:val="00D410AC"/>
    <w:rsid w:val="00D4524B"/>
    <w:rsid w:val="00D46C65"/>
    <w:rsid w:val="00D60809"/>
    <w:rsid w:val="00D61CD2"/>
    <w:rsid w:val="00D6297C"/>
    <w:rsid w:val="00D66FC9"/>
    <w:rsid w:val="00D67498"/>
    <w:rsid w:val="00D74276"/>
    <w:rsid w:val="00D74CB9"/>
    <w:rsid w:val="00D7617E"/>
    <w:rsid w:val="00D837AE"/>
    <w:rsid w:val="00D862C2"/>
    <w:rsid w:val="00D866BA"/>
    <w:rsid w:val="00D86DC6"/>
    <w:rsid w:val="00D9162E"/>
    <w:rsid w:val="00D96A43"/>
    <w:rsid w:val="00DA36F0"/>
    <w:rsid w:val="00DA4324"/>
    <w:rsid w:val="00DA54E5"/>
    <w:rsid w:val="00DA6E8F"/>
    <w:rsid w:val="00DB1102"/>
    <w:rsid w:val="00DB3108"/>
    <w:rsid w:val="00DB35C1"/>
    <w:rsid w:val="00DB44CF"/>
    <w:rsid w:val="00DB5B95"/>
    <w:rsid w:val="00DB633E"/>
    <w:rsid w:val="00DB74C4"/>
    <w:rsid w:val="00DC0B52"/>
    <w:rsid w:val="00DC0F72"/>
    <w:rsid w:val="00DC11E7"/>
    <w:rsid w:val="00DC3CCB"/>
    <w:rsid w:val="00DC7BB7"/>
    <w:rsid w:val="00DD2F22"/>
    <w:rsid w:val="00DD35C4"/>
    <w:rsid w:val="00DD3DEA"/>
    <w:rsid w:val="00DD458A"/>
    <w:rsid w:val="00DD612E"/>
    <w:rsid w:val="00DD66E0"/>
    <w:rsid w:val="00DD6AAF"/>
    <w:rsid w:val="00DE00EC"/>
    <w:rsid w:val="00DE1E3F"/>
    <w:rsid w:val="00DE22B9"/>
    <w:rsid w:val="00DE2D6F"/>
    <w:rsid w:val="00DE3070"/>
    <w:rsid w:val="00DE6AA7"/>
    <w:rsid w:val="00DF2024"/>
    <w:rsid w:val="00DF7948"/>
    <w:rsid w:val="00E01517"/>
    <w:rsid w:val="00E03D31"/>
    <w:rsid w:val="00E03F27"/>
    <w:rsid w:val="00E042A4"/>
    <w:rsid w:val="00E04ED2"/>
    <w:rsid w:val="00E066C2"/>
    <w:rsid w:val="00E06CCF"/>
    <w:rsid w:val="00E11DEC"/>
    <w:rsid w:val="00E1493C"/>
    <w:rsid w:val="00E16806"/>
    <w:rsid w:val="00E16880"/>
    <w:rsid w:val="00E220C3"/>
    <w:rsid w:val="00E2262F"/>
    <w:rsid w:val="00E24457"/>
    <w:rsid w:val="00E27B06"/>
    <w:rsid w:val="00E27D91"/>
    <w:rsid w:val="00E313F3"/>
    <w:rsid w:val="00E32FD1"/>
    <w:rsid w:val="00E353B5"/>
    <w:rsid w:val="00E35B97"/>
    <w:rsid w:val="00E41785"/>
    <w:rsid w:val="00E426D8"/>
    <w:rsid w:val="00E43280"/>
    <w:rsid w:val="00E4562A"/>
    <w:rsid w:val="00E45943"/>
    <w:rsid w:val="00E523CC"/>
    <w:rsid w:val="00E56D54"/>
    <w:rsid w:val="00E60B85"/>
    <w:rsid w:val="00E616A6"/>
    <w:rsid w:val="00E629A3"/>
    <w:rsid w:val="00E63968"/>
    <w:rsid w:val="00E6446C"/>
    <w:rsid w:val="00E64C34"/>
    <w:rsid w:val="00E65ABB"/>
    <w:rsid w:val="00E65B5D"/>
    <w:rsid w:val="00E65D5D"/>
    <w:rsid w:val="00E6639F"/>
    <w:rsid w:val="00E71020"/>
    <w:rsid w:val="00E71B5C"/>
    <w:rsid w:val="00E7481D"/>
    <w:rsid w:val="00E833E8"/>
    <w:rsid w:val="00E84BF3"/>
    <w:rsid w:val="00E84FA4"/>
    <w:rsid w:val="00E86281"/>
    <w:rsid w:val="00E86616"/>
    <w:rsid w:val="00E903A9"/>
    <w:rsid w:val="00E92030"/>
    <w:rsid w:val="00E93442"/>
    <w:rsid w:val="00EA07B6"/>
    <w:rsid w:val="00EA1321"/>
    <w:rsid w:val="00EA41FC"/>
    <w:rsid w:val="00EA5335"/>
    <w:rsid w:val="00EA6E2D"/>
    <w:rsid w:val="00EA75E3"/>
    <w:rsid w:val="00EA7BA6"/>
    <w:rsid w:val="00EB4D5D"/>
    <w:rsid w:val="00EC306C"/>
    <w:rsid w:val="00ED03AD"/>
    <w:rsid w:val="00ED1F0B"/>
    <w:rsid w:val="00ED4CC0"/>
    <w:rsid w:val="00ED5C8E"/>
    <w:rsid w:val="00ED63A1"/>
    <w:rsid w:val="00EE2082"/>
    <w:rsid w:val="00EE2A13"/>
    <w:rsid w:val="00EE2F1B"/>
    <w:rsid w:val="00EE3E73"/>
    <w:rsid w:val="00EE6830"/>
    <w:rsid w:val="00EE7A58"/>
    <w:rsid w:val="00EF28BA"/>
    <w:rsid w:val="00EF28E1"/>
    <w:rsid w:val="00F10445"/>
    <w:rsid w:val="00F10578"/>
    <w:rsid w:val="00F137E6"/>
    <w:rsid w:val="00F14A12"/>
    <w:rsid w:val="00F154EF"/>
    <w:rsid w:val="00F16907"/>
    <w:rsid w:val="00F229AD"/>
    <w:rsid w:val="00F22FF0"/>
    <w:rsid w:val="00F245CE"/>
    <w:rsid w:val="00F2496F"/>
    <w:rsid w:val="00F270E7"/>
    <w:rsid w:val="00F277BE"/>
    <w:rsid w:val="00F27D2A"/>
    <w:rsid w:val="00F31ED7"/>
    <w:rsid w:val="00F36249"/>
    <w:rsid w:val="00F422A2"/>
    <w:rsid w:val="00F46285"/>
    <w:rsid w:val="00F518EE"/>
    <w:rsid w:val="00F52103"/>
    <w:rsid w:val="00F52A65"/>
    <w:rsid w:val="00F54579"/>
    <w:rsid w:val="00F548E8"/>
    <w:rsid w:val="00F55A23"/>
    <w:rsid w:val="00F60C5B"/>
    <w:rsid w:val="00F612CB"/>
    <w:rsid w:val="00F61CCE"/>
    <w:rsid w:val="00F62625"/>
    <w:rsid w:val="00F662C4"/>
    <w:rsid w:val="00F66E7B"/>
    <w:rsid w:val="00F7005C"/>
    <w:rsid w:val="00F70BDC"/>
    <w:rsid w:val="00F74FA9"/>
    <w:rsid w:val="00F76738"/>
    <w:rsid w:val="00F77913"/>
    <w:rsid w:val="00F82633"/>
    <w:rsid w:val="00F843F0"/>
    <w:rsid w:val="00F856CF"/>
    <w:rsid w:val="00F85EEE"/>
    <w:rsid w:val="00F86721"/>
    <w:rsid w:val="00F94795"/>
    <w:rsid w:val="00FA2781"/>
    <w:rsid w:val="00FA4E94"/>
    <w:rsid w:val="00FB1B46"/>
    <w:rsid w:val="00FB5557"/>
    <w:rsid w:val="00FB79BA"/>
    <w:rsid w:val="00FC2C95"/>
    <w:rsid w:val="00FC3712"/>
    <w:rsid w:val="00FC3873"/>
    <w:rsid w:val="00FC4839"/>
    <w:rsid w:val="00FC6D83"/>
    <w:rsid w:val="00FC7B78"/>
    <w:rsid w:val="00FD1F7A"/>
    <w:rsid w:val="00FE08E6"/>
    <w:rsid w:val="00FF1AC7"/>
    <w:rsid w:val="00FF2D81"/>
    <w:rsid w:val="00FF3ABF"/>
    <w:rsid w:val="00FF3D25"/>
    <w:rsid w:val="00FF4695"/>
    <w:rsid w:val="00FF4E89"/>
    <w:rsid w:val="00FF5435"/>
    <w:rsid w:val="00FF63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F55EEF8-8C4B-472D-8668-0D4D56784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7FA"/>
    <w:pPr>
      <w:spacing w:after="160" w:line="259" w:lineRule="auto"/>
    </w:pPr>
    <w:rPr>
      <w:sz w:val="22"/>
      <w:szCs w:val="22"/>
      <w:lang w:eastAsia="en-US"/>
    </w:rPr>
  </w:style>
  <w:style w:type="paragraph" w:styleId="Ttulo1">
    <w:name w:val="heading 1"/>
    <w:basedOn w:val="Normal"/>
    <w:next w:val="Normal"/>
    <w:link w:val="Ttulo1Car"/>
    <w:qFormat/>
    <w:locked/>
    <w:rsid w:val="00152D5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semiHidden/>
    <w:unhideWhenUsed/>
    <w:qFormat/>
    <w:locked/>
    <w:rsid w:val="00ED03AD"/>
    <w:pPr>
      <w:keepNext/>
      <w:spacing w:before="240" w:after="60"/>
      <w:outlineLvl w:val="1"/>
    </w:pPr>
    <w:rPr>
      <w:rFonts w:ascii="Cambria" w:eastAsia="Times New Roman" w:hAnsi="Cambria"/>
      <w:b/>
      <w:bCs/>
      <w:i/>
      <w:iCs/>
      <w:sz w:val="28"/>
      <w:szCs w:val="28"/>
    </w:rPr>
  </w:style>
  <w:style w:type="paragraph" w:styleId="Ttulo3">
    <w:name w:val="heading 3"/>
    <w:basedOn w:val="Normal"/>
    <w:link w:val="Ttulo3Car"/>
    <w:uiPriority w:val="99"/>
    <w:qFormat/>
    <w:rsid w:val="00355446"/>
    <w:pPr>
      <w:spacing w:before="100" w:beforeAutospacing="1" w:after="100" w:afterAutospacing="1" w:line="240" w:lineRule="auto"/>
      <w:outlineLvl w:val="2"/>
    </w:pPr>
    <w:rPr>
      <w:rFonts w:ascii="Times New Roman" w:eastAsia="Times New Roman" w:hAnsi="Times New Roman"/>
      <w:b/>
      <w:bCs/>
      <w:sz w:val="27"/>
      <w:szCs w:val="27"/>
      <w:lang w:eastAsia="es-ES"/>
    </w:rPr>
  </w:style>
  <w:style w:type="paragraph" w:styleId="Ttulo4">
    <w:name w:val="heading 4"/>
    <w:basedOn w:val="Normal"/>
    <w:link w:val="Ttulo4Car"/>
    <w:uiPriority w:val="99"/>
    <w:qFormat/>
    <w:rsid w:val="00355446"/>
    <w:pPr>
      <w:spacing w:before="100" w:beforeAutospacing="1" w:after="100" w:afterAutospacing="1" w:line="240" w:lineRule="auto"/>
      <w:outlineLvl w:val="3"/>
    </w:pPr>
    <w:rPr>
      <w:rFonts w:ascii="Times New Roman" w:eastAsia="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uiPriority w:val="99"/>
    <w:locked/>
    <w:rsid w:val="00355446"/>
    <w:rPr>
      <w:rFonts w:ascii="Times New Roman" w:hAnsi="Times New Roman" w:cs="Times New Roman"/>
      <w:b/>
      <w:bCs/>
      <w:sz w:val="27"/>
      <w:szCs w:val="27"/>
      <w:lang w:eastAsia="es-ES"/>
    </w:rPr>
  </w:style>
  <w:style w:type="character" w:customStyle="1" w:styleId="Ttulo4Car">
    <w:name w:val="Título 4 Car"/>
    <w:link w:val="Ttulo4"/>
    <w:uiPriority w:val="99"/>
    <w:locked/>
    <w:rsid w:val="00355446"/>
    <w:rPr>
      <w:rFonts w:ascii="Times New Roman" w:hAnsi="Times New Roman" w:cs="Times New Roman"/>
      <w:b/>
      <w:bCs/>
      <w:sz w:val="24"/>
      <w:szCs w:val="24"/>
      <w:lang w:eastAsia="es-ES"/>
    </w:rPr>
  </w:style>
  <w:style w:type="paragraph" w:styleId="Encabezado">
    <w:name w:val="header"/>
    <w:basedOn w:val="Normal"/>
    <w:link w:val="EncabezadoCar"/>
    <w:uiPriority w:val="99"/>
    <w:rsid w:val="00511DB8"/>
    <w:pPr>
      <w:tabs>
        <w:tab w:val="center" w:pos="4252"/>
        <w:tab w:val="right" w:pos="8504"/>
      </w:tabs>
      <w:spacing w:after="0" w:line="240" w:lineRule="auto"/>
    </w:pPr>
  </w:style>
  <w:style w:type="character" w:customStyle="1" w:styleId="EncabezadoCar">
    <w:name w:val="Encabezado Car"/>
    <w:link w:val="Encabezado"/>
    <w:uiPriority w:val="99"/>
    <w:locked/>
    <w:rsid w:val="00511DB8"/>
    <w:rPr>
      <w:rFonts w:cs="Times New Roman"/>
    </w:rPr>
  </w:style>
  <w:style w:type="paragraph" w:styleId="Piedepgina">
    <w:name w:val="footer"/>
    <w:basedOn w:val="Normal"/>
    <w:link w:val="PiedepginaCar"/>
    <w:uiPriority w:val="99"/>
    <w:rsid w:val="00511DB8"/>
    <w:pPr>
      <w:tabs>
        <w:tab w:val="center" w:pos="4252"/>
        <w:tab w:val="right" w:pos="8504"/>
      </w:tabs>
      <w:spacing w:after="0" w:line="240" w:lineRule="auto"/>
    </w:pPr>
  </w:style>
  <w:style w:type="character" w:customStyle="1" w:styleId="PiedepginaCar">
    <w:name w:val="Pie de página Car"/>
    <w:link w:val="Piedepgina"/>
    <w:uiPriority w:val="99"/>
    <w:locked/>
    <w:rsid w:val="00511DB8"/>
    <w:rPr>
      <w:rFonts w:cs="Times New Roman"/>
    </w:rPr>
  </w:style>
  <w:style w:type="paragraph" w:styleId="Prrafodelista">
    <w:name w:val="List Paragraph"/>
    <w:basedOn w:val="Normal"/>
    <w:uiPriority w:val="99"/>
    <w:qFormat/>
    <w:rsid w:val="00511DB8"/>
    <w:pPr>
      <w:ind w:left="720"/>
      <w:contextualSpacing/>
    </w:pPr>
  </w:style>
  <w:style w:type="character" w:styleId="Hipervnculo">
    <w:name w:val="Hyperlink"/>
    <w:uiPriority w:val="99"/>
    <w:semiHidden/>
    <w:rsid w:val="00355446"/>
    <w:rPr>
      <w:rFonts w:cs="Times New Roman"/>
      <w:color w:val="0000FF"/>
      <w:u w:val="single"/>
    </w:rPr>
  </w:style>
  <w:style w:type="character" w:styleId="Hipervnculovisitado">
    <w:name w:val="FollowedHyperlink"/>
    <w:uiPriority w:val="99"/>
    <w:semiHidden/>
    <w:rsid w:val="00355446"/>
    <w:rPr>
      <w:rFonts w:cs="Times New Roman"/>
      <w:color w:val="800080"/>
      <w:u w:val="single"/>
    </w:rPr>
  </w:style>
  <w:style w:type="paragraph" w:styleId="NormalWeb">
    <w:name w:val="Normal (Web)"/>
    <w:basedOn w:val="Normal"/>
    <w:uiPriority w:val="99"/>
    <w:rsid w:val="00355446"/>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355446"/>
    <w:rPr>
      <w:rFonts w:cs="Times New Roman"/>
      <w:b/>
      <w:bCs/>
    </w:rPr>
  </w:style>
  <w:style w:type="paragraph" w:customStyle="1" w:styleId="summary">
    <w:name w:val="summary"/>
    <w:basedOn w:val="Normal"/>
    <w:uiPriority w:val="99"/>
    <w:rsid w:val="00355446"/>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uiPriority w:val="20"/>
    <w:qFormat/>
    <w:rsid w:val="00355446"/>
    <w:rPr>
      <w:rFonts w:cs="Times New Roman"/>
      <w:i/>
      <w:iCs/>
    </w:rPr>
  </w:style>
  <w:style w:type="paragraph" w:customStyle="1" w:styleId="a">
    <w:name w:val="a"/>
    <w:basedOn w:val="Normal"/>
    <w:rsid w:val="00355446"/>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nr">
    <w:name w:val="nr"/>
    <w:basedOn w:val="Normal"/>
    <w:uiPriority w:val="99"/>
    <w:rsid w:val="00355446"/>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d1">
    <w:name w:val="d1"/>
    <w:basedOn w:val="Normal"/>
    <w:uiPriority w:val="99"/>
    <w:rsid w:val="00355446"/>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d2">
    <w:name w:val="d2"/>
    <w:basedOn w:val="Normal"/>
    <w:uiPriority w:val="99"/>
    <w:rsid w:val="00355446"/>
    <w:pPr>
      <w:spacing w:before="100" w:beforeAutospacing="1" w:after="100" w:afterAutospacing="1" w:line="240" w:lineRule="auto"/>
    </w:pPr>
    <w:rPr>
      <w:rFonts w:ascii="Times New Roman" w:eastAsia="Times New Roman" w:hAnsi="Times New Roman"/>
      <w:sz w:val="24"/>
      <w:szCs w:val="24"/>
      <w:lang w:eastAsia="es-ES"/>
    </w:rPr>
  </w:style>
  <w:style w:type="paragraph" w:styleId="Textodeglobo">
    <w:name w:val="Balloon Text"/>
    <w:basedOn w:val="Normal"/>
    <w:link w:val="TextodegloboCar"/>
    <w:uiPriority w:val="99"/>
    <w:semiHidden/>
    <w:rsid w:val="0035544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355446"/>
    <w:rPr>
      <w:rFonts w:ascii="Tahoma" w:hAnsi="Tahoma" w:cs="Tahoma"/>
      <w:sz w:val="16"/>
      <w:szCs w:val="16"/>
    </w:rPr>
  </w:style>
  <w:style w:type="character" w:styleId="Refdenotaalpie">
    <w:name w:val="footnote reference"/>
    <w:uiPriority w:val="99"/>
    <w:semiHidden/>
    <w:rsid w:val="00974729"/>
    <w:rPr>
      <w:vertAlign w:val="superscript"/>
    </w:rPr>
  </w:style>
  <w:style w:type="paragraph" w:styleId="Textonotapie">
    <w:name w:val="footnote text"/>
    <w:basedOn w:val="Normal"/>
    <w:link w:val="TextonotapieCar"/>
    <w:uiPriority w:val="99"/>
    <w:semiHidden/>
    <w:rsid w:val="00974729"/>
    <w:pPr>
      <w:spacing w:after="0" w:line="240" w:lineRule="auto"/>
    </w:pPr>
    <w:rPr>
      <w:rFonts w:ascii="Times New Roman" w:eastAsia="Times New Roman" w:hAnsi="Times New Roman"/>
      <w:sz w:val="20"/>
      <w:szCs w:val="20"/>
      <w:lang w:eastAsia="es-ES"/>
    </w:rPr>
  </w:style>
  <w:style w:type="character" w:customStyle="1" w:styleId="TextonotapieCar">
    <w:name w:val="Texto nota pie Car"/>
    <w:link w:val="Textonotapie"/>
    <w:uiPriority w:val="99"/>
    <w:semiHidden/>
    <w:rsid w:val="00974729"/>
    <w:rPr>
      <w:rFonts w:ascii="Times New Roman" w:eastAsia="Times New Roman" w:hAnsi="Times New Roman"/>
    </w:rPr>
  </w:style>
  <w:style w:type="paragraph" w:customStyle="1" w:styleId="parrafo1">
    <w:name w:val="parrafo1"/>
    <w:basedOn w:val="Normal"/>
    <w:rsid w:val="00974729"/>
    <w:pPr>
      <w:spacing w:before="180" w:after="180" w:line="240" w:lineRule="auto"/>
      <w:ind w:firstLine="360"/>
      <w:jc w:val="both"/>
    </w:pPr>
    <w:rPr>
      <w:rFonts w:ascii="Times New Roman" w:eastAsia="Times New Roman" w:hAnsi="Times New Roman"/>
      <w:sz w:val="24"/>
      <w:szCs w:val="24"/>
      <w:lang w:val="es-ES_tradnl" w:eastAsia="es-ES_tradnl"/>
    </w:rPr>
  </w:style>
  <w:style w:type="character" w:customStyle="1" w:styleId="Ttulo1Car">
    <w:name w:val="Título 1 Car"/>
    <w:link w:val="Ttulo1"/>
    <w:rsid w:val="00152D58"/>
    <w:rPr>
      <w:rFonts w:ascii="Cambria" w:eastAsia="Times New Roman" w:hAnsi="Cambria" w:cs="Times New Roman"/>
      <w:b/>
      <w:bCs/>
      <w:kern w:val="32"/>
      <w:sz w:val="32"/>
      <w:szCs w:val="32"/>
      <w:lang w:eastAsia="en-US"/>
    </w:rPr>
  </w:style>
  <w:style w:type="character" w:customStyle="1" w:styleId="st">
    <w:name w:val="st"/>
    <w:rsid w:val="00FE08E6"/>
  </w:style>
  <w:style w:type="character" w:customStyle="1" w:styleId="Ttulo2Car">
    <w:name w:val="Título 2 Car"/>
    <w:link w:val="Ttulo2"/>
    <w:semiHidden/>
    <w:rsid w:val="00ED03AD"/>
    <w:rPr>
      <w:rFonts w:ascii="Cambria" w:eastAsia="Times New Roman" w:hAnsi="Cambria" w:cs="Times New Roman"/>
      <w:b/>
      <w:bCs/>
      <w:i/>
      <w:iCs/>
      <w:sz w:val="28"/>
      <w:szCs w:val="28"/>
      <w:lang w:eastAsia="en-US"/>
    </w:rPr>
  </w:style>
  <w:style w:type="character" w:customStyle="1" w:styleId="dtreviewed">
    <w:name w:val="dtreviewed"/>
    <w:rsid w:val="00ED03AD"/>
  </w:style>
  <w:style w:type="character" w:customStyle="1" w:styleId="cats">
    <w:name w:val="cats"/>
    <w:rsid w:val="00ED03AD"/>
  </w:style>
  <w:style w:type="paragraph" w:customStyle="1" w:styleId="j">
    <w:name w:val="j"/>
    <w:basedOn w:val="Normal"/>
    <w:rsid w:val="00E43280"/>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nacep">
    <w:name w:val="n_acep"/>
    <w:rsid w:val="00E43280"/>
  </w:style>
  <w:style w:type="paragraph" w:customStyle="1" w:styleId="articulo">
    <w:name w:val="articulo"/>
    <w:basedOn w:val="Normal"/>
    <w:rsid w:val="00AA5294"/>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parrafo">
    <w:name w:val="parrafo"/>
    <w:basedOn w:val="Normal"/>
    <w:rsid w:val="00AA5294"/>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parrafo2">
    <w:name w:val="parrafo_2"/>
    <w:basedOn w:val="Normal"/>
    <w:rsid w:val="00AA5294"/>
    <w:pPr>
      <w:spacing w:before="100" w:beforeAutospacing="1" w:after="100" w:afterAutospacing="1" w:line="240" w:lineRule="auto"/>
    </w:pPr>
    <w:rPr>
      <w:rFonts w:ascii="Times New Roman" w:eastAsia="Times New Roman" w:hAnsi="Times New Roman"/>
      <w:sz w:val="24"/>
      <w:szCs w:val="24"/>
      <w:lang w:eastAsia="es-ES"/>
    </w:rPr>
  </w:style>
  <w:style w:type="paragraph" w:styleId="Sangradetextonormal">
    <w:name w:val="Body Text Indent"/>
    <w:basedOn w:val="Normal"/>
    <w:link w:val="SangradetextonormalCar"/>
    <w:uiPriority w:val="99"/>
    <w:semiHidden/>
    <w:unhideWhenUsed/>
    <w:rsid w:val="00D837AE"/>
    <w:pPr>
      <w:spacing w:after="120" w:line="254" w:lineRule="auto"/>
      <w:ind w:left="283"/>
    </w:pPr>
  </w:style>
  <w:style w:type="character" w:customStyle="1" w:styleId="SangradetextonormalCar">
    <w:name w:val="Sangría de texto normal Car"/>
    <w:link w:val="Sangradetextonormal"/>
    <w:uiPriority w:val="99"/>
    <w:semiHidden/>
    <w:rsid w:val="00D837A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3314">
      <w:bodyDiv w:val="1"/>
      <w:marLeft w:val="0"/>
      <w:marRight w:val="0"/>
      <w:marTop w:val="0"/>
      <w:marBottom w:val="0"/>
      <w:divBdr>
        <w:top w:val="none" w:sz="0" w:space="0" w:color="auto"/>
        <w:left w:val="none" w:sz="0" w:space="0" w:color="auto"/>
        <w:bottom w:val="none" w:sz="0" w:space="0" w:color="auto"/>
        <w:right w:val="none" w:sz="0" w:space="0" w:color="auto"/>
      </w:divBdr>
      <w:divsChild>
        <w:div w:id="169833844">
          <w:marLeft w:val="0"/>
          <w:marRight w:val="0"/>
          <w:marTop w:val="0"/>
          <w:marBottom w:val="0"/>
          <w:divBdr>
            <w:top w:val="none" w:sz="0" w:space="0" w:color="auto"/>
            <w:left w:val="none" w:sz="0" w:space="0" w:color="auto"/>
            <w:bottom w:val="none" w:sz="0" w:space="0" w:color="auto"/>
            <w:right w:val="none" w:sz="0" w:space="0" w:color="auto"/>
          </w:divBdr>
        </w:div>
        <w:div w:id="256716466">
          <w:marLeft w:val="0"/>
          <w:marRight w:val="0"/>
          <w:marTop w:val="0"/>
          <w:marBottom w:val="0"/>
          <w:divBdr>
            <w:top w:val="none" w:sz="0" w:space="0" w:color="auto"/>
            <w:left w:val="none" w:sz="0" w:space="0" w:color="auto"/>
            <w:bottom w:val="none" w:sz="0" w:space="0" w:color="auto"/>
            <w:right w:val="none" w:sz="0" w:space="0" w:color="auto"/>
          </w:divBdr>
        </w:div>
        <w:div w:id="2098555761">
          <w:marLeft w:val="0"/>
          <w:marRight w:val="0"/>
          <w:marTop w:val="0"/>
          <w:marBottom w:val="0"/>
          <w:divBdr>
            <w:top w:val="none" w:sz="0" w:space="0" w:color="auto"/>
            <w:left w:val="none" w:sz="0" w:space="0" w:color="auto"/>
            <w:bottom w:val="none" w:sz="0" w:space="0" w:color="auto"/>
            <w:right w:val="none" w:sz="0" w:space="0" w:color="auto"/>
          </w:divBdr>
        </w:div>
      </w:divsChild>
    </w:div>
    <w:div w:id="59325172">
      <w:bodyDiv w:val="1"/>
      <w:marLeft w:val="0"/>
      <w:marRight w:val="0"/>
      <w:marTop w:val="0"/>
      <w:marBottom w:val="0"/>
      <w:divBdr>
        <w:top w:val="none" w:sz="0" w:space="0" w:color="auto"/>
        <w:left w:val="none" w:sz="0" w:space="0" w:color="auto"/>
        <w:bottom w:val="none" w:sz="0" w:space="0" w:color="auto"/>
        <w:right w:val="none" w:sz="0" w:space="0" w:color="auto"/>
      </w:divBdr>
    </w:div>
    <w:div w:id="61680584">
      <w:bodyDiv w:val="1"/>
      <w:marLeft w:val="0"/>
      <w:marRight w:val="0"/>
      <w:marTop w:val="0"/>
      <w:marBottom w:val="0"/>
      <w:divBdr>
        <w:top w:val="none" w:sz="0" w:space="0" w:color="auto"/>
        <w:left w:val="none" w:sz="0" w:space="0" w:color="auto"/>
        <w:bottom w:val="none" w:sz="0" w:space="0" w:color="auto"/>
        <w:right w:val="none" w:sz="0" w:space="0" w:color="auto"/>
      </w:divBdr>
      <w:divsChild>
        <w:div w:id="506485864">
          <w:marLeft w:val="0"/>
          <w:marRight w:val="0"/>
          <w:marTop w:val="0"/>
          <w:marBottom w:val="0"/>
          <w:divBdr>
            <w:top w:val="none" w:sz="0" w:space="0" w:color="auto"/>
            <w:left w:val="none" w:sz="0" w:space="0" w:color="auto"/>
            <w:bottom w:val="none" w:sz="0" w:space="0" w:color="auto"/>
            <w:right w:val="none" w:sz="0" w:space="0" w:color="auto"/>
          </w:divBdr>
        </w:div>
        <w:div w:id="374280535">
          <w:marLeft w:val="0"/>
          <w:marRight w:val="0"/>
          <w:marTop w:val="0"/>
          <w:marBottom w:val="0"/>
          <w:divBdr>
            <w:top w:val="none" w:sz="0" w:space="0" w:color="auto"/>
            <w:left w:val="none" w:sz="0" w:space="0" w:color="auto"/>
            <w:bottom w:val="none" w:sz="0" w:space="0" w:color="auto"/>
            <w:right w:val="none" w:sz="0" w:space="0" w:color="auto"/>
          </w:divBdr>
        </w:div>
        <w:div w:id="896234805">
          <w:marLeft w:val="0"/>
          <w:marRight w:val="0"/>
          <w:marTop w:val="0"/>
          <w:marBottom w:val="0"/>
          <w:divBdr>
            <w:top w:val="none" w:sz="0" w:space="0" w:color="auto"/>
            <w:left w:val="none" w:sz="0" w:space="0" w:color="auto"/>
            <w:bottom w:val="none" w:sz="0" w:space="0" w:color="auto"/>
            <w:right w:val="none" w:sz="0" w:space="0" w:color="auto"/>
          </w:divBdr>
        </w:div>
        <w:div w:id="609512699">
          <w:marLeft w:val="0"/>
          <w:marRight w:val="0"/>
          <w:marTop w:val="0"/>
          <w:marBottom w:val="0"/>
          <w:divBdr>
            <w:top w:val="none" w:sz="0" w:space="0" w:color="auto"/>
            <w:left w:val="none" w:sz="0" w:space="0" w:color="auto"/>
            <w:bottom w:val="none" w:sz="0" w:space="0" w:color="auto"/>
            <w:right w:val="none" w:sz="0" w:space="0" w:color="auto"/>
          </w:divBdr>
        </w:div>
        <w:div w:id="1997368566">
          <w:marLeft w:val="0"/>
          <w:marRight w:val="0"/>
          <w:marTop w:val="0"/>
          <w:marBottom w:val="0"/>
          <w:divBdr>
            <w:top w:val="none" w:sz="0" w:space="0" w:color="auto"/>
            <w:left w:val="none" w:sz="0" w:space="0" w:color="auto"/>
            <w:bottom w:val="none" w:sz="0" w:space="0" w:color="auto"/>
            <w:right w:val="none" w:sz="0" w:space="0" w:color="auto"/>
          </w:divBdr>
        </w:div>
        <w:div w:id="826090648">
          <w:marLeft w:val="0"/>
          <w:marRight w:val="0"/>
          <w:marTop w:val="0"/>
          <w:marBottom w:val="0"/>
          <w:divBdr>
            <w:top w:val="none" w:sz="0" w:space="0" w:color="auto"/>
            <w:left w:val="none" w:sz="0" w:space="0" w:color="auto"/>
            <w:bottom w:val="none" w:sz="0" w:space="0" w:color="auto"/>
            <w:right w:val="none" w:sz="0" w:space="0" w:color="auto"/>
          </w:divBdr>
        </w:div>
        <w:div w:id="1647201714">
          <w:marLeft w:val="0"/>
          <w:marRight w:val="0"/>
          <w:marTop w:val="0"/>
          <w:marBottom w:val="0"/>
          <w:divBdr>
            <w:top w:val="none" w:sz="0" w:space="0" w:color="auto"/>
            <w:left w:val="none" w:sz="0" w:space="0" w:color="auto"/>
            <w:bottom w:val="none" w:sz="0" w:space="0" w:color="auto"/>
            <w:right w:val="none" w:sz="0" w:space="0" w:color="auto"/>
          </w:divBdr>
        </w:div>
        <w:div w:id="1211309564">
          <w:marLeft w:val="0"/>
          <w:marRight w:val="0"/>
          <w:marTop w:val="0"/>
          <w:marBottom w:val="0"/>
          <w:divBdr>
            <w:top w:val="none" w:sz="0" w:space="0" w:color="auto"/>
            <w:left w:val="none" w:sz="0" w:space="0" w:color="auto"/>
            <w:bottom w:val="none" w:sz="0" w:space="0" w:color="auto"/>
            <w:right w:val="none" w:sz="0" w:space="0" w:color="auto"/>
          </w:divBdr>
        </w:div>
        <w:div w:id="1759323033">
          <w:marLeft w:val="0"/>
          <w:marRight w:val="0"/>
          <w:marTop w:val="0"/>
          <w:marBottom w:val="0"/>
          <w:divBdr>
            <w:top w:val="none" w:sz="0" w:space="0" w:color="auto"/>
            <w:left w:val="none" w:sz="0" w:space="0" w:color="auto"/>
            <w:bottom w:val="none" w:sz="0" w:space="0" w:color="auto"/>
            <w:right w:val="none" w:sz="0" w:space="0" w:color="auto"/>
          </w:divBdr>
        </w:div>
        <w:div w:id="729035238">
          <w:marLeft w:val="0"/>
          <w:marRight w:val="0"/>
          <w:marTop w:val="0"/>
          <w:marBottom w:val="0"/>
          <w:divBdr>
            <w:top w:val="none" w:sz="0" w:space="0" w:color="auto"/>
            <w:left w:val="none" w:sz="0" w:space="0" w:color="auto"/>
            <w:bottom w:val="none" w:sz="0" w:space="0" w:color="auto"/>
            <w:right w:val="none" w:sz="0" w:space="0" w:color="auto"/>
          </w:divBdr>
        </w:div>
        <w:div w:id="1284186911">
          <w:marLeft w:val="0"/>
          <w:marRight w:val="0"/>
          <w:marTop w:val="0"/>
          <w:marBottom w:val="0"/>
          <w:divBdr>
            <w:top w:val="none" w:sz="0" w:space="0" w:color="auto"/>
            <w:left w:val="none" w:sz="0" w:space="0" w:color="auto"/>
            <w:bottom w:val="none" w:sz="0" w:space="0" w:color="auto"/>
            <w:right w:val="none" w:sz="0" w:space="0" w:color="auto"/>
          </w:divBdr>
        </w:div>
        <w:div w:id="1702050076">
          <w:marLeft w:val="0"/>
          <w:marRight w:val="0"/>
          <w:marTop w:val="0"/>
          <w:marBottom w:val="0"/>
          <w:divBdr>
            <w:top w:val="none" w:sz="0" w:space="0" w:color="auto"/>
            <w:left w:val="none" w:sz="0" w:space="0" w:color="auto"/>
            <w:bottom w:val="none" w:sz="0" w:space="0" w:color="auto"/>
            <w:right w:val="none" w:sz="0" w:space="0" w:color="auto"/>
          </w:divBdr>
        </w:div>
        <w:div w:id="196360942">
          <w:marLeft w:val="0"/>
          <w:marRight w:val="0"/>
          <w:marTop w:val="0"/>
          <w:marBottom w:val="0"/>
          <w:divBdr>
            <w:top w:val="none" w:sz="0" w:space="0" w:color="auto"/>
            <w:left w:val="none" w:sz="0" w:space="0" w:color="auto"/>
            <w:bottom w:val="none" w:sz="0" w:space="0" w:color="auto"/>
            <w:right w:val="none" w:sz="0" w:space="0" w:color="auto"/>
          </w:divBdr>
        </w:div>
        <w:div w:id="1127508629">
          <w:marLeft w:val="0"/>
          <w:marRight w:val="0"/>
          <w:marTop w:val="0"/>
          <w:marBottom w:val="0"/>
          <w:divBdr>
            <w:top w:val="none" w:sz="0" w:space="0" w:color="auto"/>
            <w:left w:val="none" w:sz="0" w:space="0" w:color="auto"/>
            <w:bottom w:val="none" w:sz="0" w:space="0" w:color="auto"/>
            <w:right w:val="none" w:sz="0" w:space="0" w:color="auto"/>
          </w:divBdr>
        </w:div>
        <w:div w:id="2145930244">
          <w:marLeft w:val="0"/>
          <w:marRight w:val="0"/>
          <w:marTop w:val="0"/>
          <w:marBottom w:val="0"/>
          <w:divBdr>
            <w:top w:val="none" w:sz="0" w:space="0" w:color="auto"/>
            <w:left w:val="none" w:sz="0" w:space="0" w:color="auto"/>
            <w:bottom w:val="none" w:sz="0" w:space="0" w:color="auto"/>
            <w:right w:val="none" w:sz="0" w:space="0" w:color="auto"/>
          </w:divBdr>
        </w:div>
        <w:div w:id="1621112302">
          <w:marLeft w:val="0"/>
          <w:marRight w:val="0"/>
          <w:marTop w:val="0"/>
          <w:marBottom w:val="0"/>
          <w:divBdr>
            <w:top w:val="none" w:sz="0" w:space="0" w:color="auto"/>
            <w:left w:val="none" w:sz="0" w:space="0" w:color="auto"/>
            <w:bottom w:val="none" w:sz="0" w:space="0" w:color="auto"/>
            <w:right w:val="none" w:sz="0" w:space="0" w:color="auto"/>
          </w:divBdr>
        </w:div>
        <w:div w:id="280962408">
          <w:marLeft w:val="0"/>
          <w:marRight w:val="0"/>
          <w:marTop w:val="0"/>
          <w:marBottom w:val="0"/>
          <w:divBdr>
            <w:top w:val="none" w:sz="0" w:space="0" w:color="auto"/>
            <w:left w:val="none" w:sz="0" w:space="0" w:color="auto"/>
            <w:bottom w:val="none" w:sz="0" w:space="0" w:color="auto"/>
            <w:right w:val="none" w:sz="0" w:space="0" w:color="auto"/>
          </w:divBdr>
        </w:div>
        <w:div w:id="433598000">
          <w:marLeft w:val="0"/>
          <w:marRight w:val="0"/>
          <w:marTop w:val="0"/>
          <w:marBottom w:val="0"/>
          <w:divBdr>
            <w:top w:val="none" w:sz="0" w:space="0" w:color="auto"/>
            <w:left w:val="none" w:sz="0" w:space="0" w:color="auto"/>
            <w:bottom w:val="none" w:sz="0" w:space="0" w:color="auto"/>
            <w:right w:val="none" w:sz="0" w:space="0" w:color="auto"/>
          </w:divBdr>
        </w:div>
        <w:div w:id="105124763">
          <w:marLeft w:val="0"/>
          <w:marRight w:val="0"/>
          <w:marTop w:val="0"/>
          <w:marBottom w:val="0"/>
          <w:divBdr>
            <w:top w:val="none" w:sz="0" w:space="0" w:color="auto"/>
            <w:left w:val="none" w:sz="0" w:space="0" w:color="auto"/>
            <w:bottom w:val="none" w:sz="0" w:space="0" w:color="auto"/>
            <w:right w:val="none" w:sz="0" w:space="0" w:color="auto"/>
          </w:divBdr>
        </w:div>
        <w:div w:id="634484114">
          <w:marLeft w:val="0"/>
          <w:marRight w:val="0"/>
          <w:marTop w:val="0"/>
          <w:marBottom w:val="0"/>
          <w:divBdr>
            <w:top w:val="none" w:sz="0" w:space="0" w:color="auto"/>
            <w:left w:val="none" w:sz="0" w:space="0" w:color="auto"/>
            <w:bottom w:val="none" w:sz="0" w:space="0" w:color="auto"/>
            <w:right w:val="none" w:sz="0" w:space="0" w:color="auto"/>
          </w:divBdr>
        </w:div>
        <w:div w:id="2111663309">
          <w:marLeft w:val="0"/>
          <w:marRight w:val="0"/>
          <w:marTop w:val="0"/>
          <w:marBottom w:val="0"/>
          <w:divBdr>
            <w:top w:val="none" w:sz="0" w:space="0" w:color="auto"/>
            <w:left w:val="none" w:sz="0" w:space="0" w:color="auto"/>
            <w:bottom w:val="none" w:sz="0" w:space="0" w:color="auto"/>
            <w:right w:val="none" w:sz="0" w:space="0" w:color="auto"/>
          </w:divBdr>
        </w:div>
        <w:div w:id="270598397">
          <w:marLeft w:val="0"/>
          <w:marRight w:val="0"/>
          <w:marTop w:val="0"/>
          <w:marBottom w:val="0"/>
          <w:divBdr>
            <w:top w:val="none" w:sz="0" w:space="0" w:color="auto"/>
            <w:left w:val="none" w:sz="0" w:space="0" w:color="auto"/>
            <w:bottom w:val="none" w:sz="0" w:space="0" w:color="auto"/>
            <w:right w:val="none" w:sz="0" w:space="0" w:color="auto"/>
          </w:divBdr>
        </w:div>
      </w:divsChild>
    </w:div>
    <w:div w:id="233511083">
      <w:bodyDiv w:val="1"/>
      <w:marLeft w:val="0"/>
      <w:marRight w:val="0"/>
      <w:marTop w:val="0"/>
      <w:marBottom w:val="0"/>
      <w:divBdr>
        <w:top w:val="none" w:sz="0" w:space="0" w:color="auto"/>
        <w:left w:val="none" w:sz="0" w:space="0" w:color="auto"/>
        <w:bottom w:val="none" w:sz="0" w:space="0" w:color="auto"/>
        <w:right w:val="none" w:sz="0" w:space="0" w:color="auto"/>
      </w:divBdr>
      <w:divsChild>
        <w:div w:id="824081882">
          <w:marLeft w:val="0"/>
          <w:marRight w:val="0"/>
          <w:marTop w:val="0"/>
          <w:marBottom w:val="0"/>
          <w:divBdr>
            <w:top w:val="none" w:sz="0" w:space="0" w:color="auto"/>
            <w:left w:val="none" w:sz="0" w:space="0" w:color="auto"/>
            <w:bottom w:val="none" w:sz="0" w:space="0" w:color="auto"/>
            <w:right w:val="none" w:sz="0" w:space="0" w:color="auto"/>
          </w:divBdr>
        </w:div>
        <w:div w:id="1231497676">
          <w:marLeft w:val="0"/>
          <w:marRight w:val="0"/>
          <w:marTop w:val="0"/>
          <w:marBottom w:val="0"/>
          <w:divBdr>
            <w:top w:val="none" w:sz="0" w:space="0" w:color="auto"/>
            <w:left w:val="none" w:sz="0" w:space="0" w:color="auto"/>
            <w:bottom w:val="none" w:sz="0" w:space="0" w:color="auto"/>
            <w:right w:val="none" w:sz="0" w:space="0" w:color="auto"/>
          </w:divBdr>
          <w:divsChild>
            <w:div w:id="1762137922">
              <w:marLeft w:val="0"/>
              <w:marRight w:val="0"/>
              <w:marTop w:val="0"/>
              <w:marBottom w:val="0"/>
              <w:divBdr>
                <w:top w:val="none" w:sz="0" w:space="0" w:color="auto"/>
                <w:left w:val="none" w:sz="0" w:space="0" w:color="auto"/>
                <w:bottom w:val="none" w:sz="0" w:space="0" w:color="auto"/>
                <w:right w:val="none" w:sz="0" w:space="0" w:color="auto"/>
              </w:divBdr>
              <w:divsChild>
                <w:div w:id="9534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377515">
      <w:bodyDiv w:val="1"/>
      <w:marLeft w:val="0"/>
      <w:marRight w:val="0"/>
      <w:marTop w:val="0"/>
      <w:marBottom w:val="0"/>
      <w:divBdr>
        <w:top w:val="none" w:sz="0" w:space="0" w:color="auto"/>
        <w:left w:val="none" w:sz="0" w:space="0" w:color="auto"/>
        <w:bottom w:val="none" w:sz="0" w:space="0" w:color="auto"/>
        <w:right w:val="none" w:sz="0" w:space="0" w:color="auto"/>
      </w:divBdr>
    </w:div>
    <w:div w:id="412624688">
      <w:bodyDiv w:val="1"/>
      <w:marLeft w:val="0"/>
      <w:marRight w:val="0"/>
      <w:marTop w:val="0"/>
      <w:marBottom w:val="0"/>
      <w:divBdr>
        <w:top w:val="none" w:sz="0" w:space="0" w:color="auto"/>
        <w:left w:val="none" w:sz="0" w:space="0" w:color="auto"/>
        <w:bottom w:val="none" w:sz="0" w:space="0" w:color="auto"/>
        <w:right w:val="none" w:sz="0" w:space="0" w:color="auto"/>
      </w:divBdr>
    </w:div>
    <w:div w:id="414015347">
      <w:bodyDiv w:val="1"/>
      <w:marLeft w:val="0"/>
      <w:marRight w:val="0"/>
      <w:marTop w:val="0"/>
      <w:marBottom w:val="0"/>
      <w:divBdr>
        <w:top w:val="none" w:sz="0" w:space="0" w:color="auto"/>
        <w:left w:val="none" w:sz="0" w:space="0" w:color="auto"/>
        <w:bottom w:val="none" w:sz="0" w:space="0" w:color="auto"/>
        <w:right w:val="none" w:sz="0" w:space="0" w:color="auto"/>
      </w:divBdr>
      <w:divsChild>
        <w:div w:id="690305673">
          <w:marLeft w:val="0"/>
          <w:marRight w:val="0"/>
          <w:marTop w:val="0"/>
          <w:marBottom w:val="0"/>
          <w:divBdr>
            <w:top w:val="none" w:sz="0" w:space="0" w:color="auto"/>
            <w:left w:val="none" w:sz="0" w:space="0" w:color="auto"/>
            <w:bottom w:val="none" w:sz="0" w:space="0" w:color="auto"/>
            <w:right w:val="none" w:sz="0" w:space="0" w:color="auto"/>
          </w:divBdr>
        </w:div>
        <w:div w:id="1174876049">
          <w:marLeft w:val="0"/>
          <w:marRight w:val="0"/>
          <w:marTop w:val="0"/>
          <w:marBottom w:val="0"/>
          <w:divBdr>
            <w:top w:val="none" w:sz="0" w:space="0" w:color="auto"/>
            <w:left w:val="none" w:sz="0" w:space="0" w:color="auto"/>
            <w:bottom w:val="none" w:sz="0" w:space="0" w:color="auto"/>
            <w:right w:val="none" w:sz="0" w:space="0" w:color="auto"/>
          </w:divBdr>
        </w:div>
        <w:div w:id="1795558161">
          <w:marLeft w:val="0"/>
          <w:marRight w:val="0"/>
          <w:marTop w:val="0"/>
          <w:marBottom w:val="0"/>
          <w:divBdr>
            <w:top w:val="none" w:sz="0" w:space="0" w:color="auto"/>
            <w:left w:val="none" w:sz="0" w:space="0" w:color="auto"/>
            <w:bottom w:val="none" w:sz="0" w:space="0" w:color="auto"/>
            <w:right w:val="none" w:sz="0" w:space="0" w:color="auto"/>
          </w:divBdr>
        </w:div>
        <w:div w:id="110706957">
          <w:marLeft w:val="0"/>
          <w:marRight w:val="0"/>
          <w:marTop w:val="0"/>
          <w:marBottom w:val="0"/>
          <w:divBdr>
            <w:top w:val="none" w:sz="0" w:space="0" w:color="auto"/>
            <w:left w:val="none" w:sz="0" w:space="0" w:color="auto"/>
            <w:bottom w:val="none" w:sz="0" w:space="0" w:color="auto"/>
            <w:right w:val="none" w:sz="0" w:space="0" w:color="auto"/>
          </w:divBdr>
        </w:div>
      </w:divsChild>
    </w:div>
    <w:div w:id="498275621">
      <w:bodyDiv w:val="1"/>
      <w:marLeft w:val="0"/>
      <w:marRight w:val="0"/>
      <w:marTop w:val="0"/>
      <w:marBottom w:val="0"/>
      <w:divBdr>
        <w:top w:val="none" w:sz="0" w:space="0" w:color="auto"/>
        <w:left w:val="none" w:sz="0" w:space="0" w:color="auto"/>
        <w:bottom w:val="none" w:sz="0" w:space="0" w:color="auto"/>
        <w:right w:val="none" w:sz="0" w:space="0" w:color="auto"/>
      </w:divBdr>
      <w:divsChild>
        <w:div w:id="159004278">
          <w:marLeft w:val="0"/>
          <w:marRight w:val="0"/>
          <w:marTop w:val="0"/>
          <w:marBottom w:val="0"/>
          <w:divBdr>
            <w:top w:val="none" w:sz="0" w:space="0" w:color="auto"/>
            <w:left w:val="none" w:sz="0" w:space="0" w:color="auto"/>
            <w:bottom w:val="none" w:sz="0" w:space="0" w:color="auto"/>
            <w:right w:val="none" w:sz="0" w:space="0" w:color="auto"/>
          </w:divBdr>
        </w:div>
        <w:div w:id="1654681559">
          <w:marLeft w:val="0"/>
          <w:marRight w:val="0"/>
          <w:marTop w:val="0"/>
          <w:marBottom w:val="0"/>
          <w:divBdr>
            <w:top w:val="none" w:sz="0" w:space="0" w:color="auto"/>
            <w:left w:val="none" w:sz="0" w:space="0" w:color="auto"/>
            <w:bottom w:val="none" w:sz="0" w:space="0" w:color="auto"/>
            <w:right w:val="none" w:sz="0" w:space="0" w:color="auto"/>
          </w:divBdr>
        </w:div>
        <w:div w:id="995494745">
          <w:marLeft w:val="0"/>
          <w:marRight w:val="0"/>
          <w:marTop w:val="0"/>
          <w:marBottom w:val="0"/>
          <w:divBdr>
            <w:top w:val="none" w:sz="0" w:space="0" w:color="auto"/>
            <w:left w:val="none" w:sz="0" w:space="0" w:color="auto"/>
            <w:bottom w:val="none" w:sz="0" w:space="0" w:color="auto"/>
            <w:right w:val="none" w:sz="0" w:space="0" w:color="auto"/>
          </w:divBdr>
        </w:div>
        <w:div w:id="1749690055">
          <w:marLeft w:val="0"/>
          <w:marRight w:val="0"/>
          <w:marTop w:val="0"/>
          <w:marBottom w:val="0"/>
          <w:divBdr>
            <w:top w:val="none" w:sz="0" w:space="0" w:color="auto"/>
            <w:left w:val="none" w:sz="0" w:space="0" w:color="auto"/>
            <w:bottom w:val="none" w:sz="0" w:space="0" w:color="auto"/>
            <w:right w:val="none" w:sz="0" w:space="0" w:color="auto"/>
          </w:divBdr>
        </w:div>
        <w:div w:id="662662658">
          <w:marLeft w:val="0"/>
          <w:marRight w:val="0"/>
          <w:marTop w:val="0"/>
          <w:marBottom w:val="0"/>
          <w:divBdr>
            <w:top w:val="none" w:sz="0" w:space="0" w:color="auto"/>
            <w:left w:val="none" w:sz="0" w:space="0" w:color="auto"/>
            <w:bottom w:val="none" w:sz="0" w:space="0" w:color="auto"/>
            <w:right w:val="none" w:sz="0" w:space="0" w:color="auto"/>
          </w:divBdr>
        </w:div>
        <w:div w:id="1791051118">
          <w:marLeft w:val="0"/>
          <w:marRight w:val="0"/>
          <w:marTop w:val="0"/>
          <w:marBottom w:val="0"/>
          <w:divBdr>
            <w:top w:val="none" w:sz="0" w:space="0" w:color="auto"/>
            <w:left w:val="none" w:sz="0" w:space="0" w:color="auto"/>
            <w:bottom w:val="none" w:sz="0" w:space="0" w:color="auto"/>
            <w:right w:val="none" w:sz="0" w:space="0" w:color="auto"/>
          </w:divBdr>
        </w:div>
        <w:div w:id="845435950">
          <w:marLeft w:val="0"/>
          <w:marRight w:val="0"/>
          <w:marTop w:val="0"/>
          <w:marBottom w:val="0"/>
          <w:divBdr>
            <w:top w:val="none" w:sz="0" w:space="0" w:color="auto"/>
            <w:left w:val="none" w:sz="0" w:space="0" w:color="auto"/>
            <w:bottom w:val="none" w:sz="0" w:space="0" w:color="auto"/>
            <w:right w:val="none" w:sz="0" w:space="0" w:color="auto"/>
          </w:divBdr>
        </w:div>
        <w:div w:id="334960085">
          <w:marLeft w:val="0"/>
          <w:marRight w:val="0"/>
          <w:marTop w:val="0"/>
          <w:marBottom w:val="0"/>
          <w:divBdr>
            <w:top w:val="none" w:sz="0" w:space="0" w:color="auto"/>
            <w:left w:val="none" w:sz="0" w:space="0" w:color="auto"/>
            <w:bottom w:val="none" w:sz="0" w:space="0" w:color="auto"/>
            <w:right w:val="none" w:sz="0" w:space="0" w:color="auto"/>
          </w:divBdr>
        </w:div>
        <w:div w:id="556740053">
          <w:marLeft w:val="0"/>
          <w:marRight w:val="0"/>
          <w:marTop w:val="0"/>
          <w:marBottom w:val="0"/>
          <w:divBdr>
            <w:top w:val="none" w:sz="0" w:space="0" w:color="auto"/>
            <w:left w:val="none" w:sz="0" w:space="0" w:color="auto"/>
            <w:bottom w:val="none" w:sz="0" w:space="0" w:color="auto"/>
            <w:right w:val="none" w:sz="0" w:space="0" w:color="auto"/>
          </w:divBdr>
        </w:div>
        <w:div w:id="1679893038">
          <w:marLeft w:val="0"/>
          <w:marRight w:val="0"/>
          <w:marTop w:val="0"/>
          <w:marBottom w:val="0"/>
          <w:divBdr>
            <w:top w:val="none" w:sz="0" w:space="0" w:color="auto"/>
            <w:left w:val="none" w:sz="0" w:space="0" w:color="auto"/>
            <w:bottom w:val="none" w:sz="0" w:space="0" w:color="auto"/>
            <w:right w:val="none" w:sz="0" w:space="0" w:color="auto"/>
          </w:divBdr>
        </w:div>
        <w:div w:id="1624774337">
          <w:marLeft w:val="0"/>
          <w:marRight w:val="0"/>
          <w:marTop w:val="0"/>
          <w:marBottom w:val="0"/>
          <w:divBdr>
            <w:top w:val="none" w:sz="0" w:space="0" w:color="auto"/>
            <w:left w:val="none" w:sz="0" w:space="0" w:color="auto"/>
            <w:bottom w:val="none" w:sz="0" w:space="0" w:color="auto"/>
            <w:right w:val="none" w:sz="0" w:space="0" w:color="auto"/>
          </w:divBdr>
        </w:div>
        <w:div w:id="1753619489">
          <w:marLeft w:val="0"/>
          <w:marRight w:val="0"/>
          <w:marTop w:val="0"/>
          <w:marBottom w:val="0"/>
          <w:divBdr>
            <w:top w:val="none" w:sz="0" w:space="0" w:color="auto"/>
            <w:left w:val="none" w:sz="0" w:space="0" w:color="auto"/>
            <w:bottom w:val="none" w:sz="0" w:space="0" w:color="auto"/>
            <w:right w:val="none" w:sz="0" w:space="0" w:color="auto"/>
          </w:divBdr>
        </w:div>
        <w:div w:id="537352055">
          <w:marLeft w:val="0"/>
          <w:marRight w:val="0"/>
          <w:marTop w:val="0"/>
          <w:marBottom w:val="0"/>
          <w:divBdr>
            <w:top w:val="none" w:sz="0" w:space="0" w:color="auto"/>
            <w:left w:val="none" w:sz="0" w:space="0" w:color="auto"/>
            <w:bottom w:val="none" w:sz="0" w:space="0" w:color="auto"/>
            <w:right w:val="none" w:sz="0" w:space="0" w:color="auto"/>
          </w:divBdr>
        </w:div>
        <w:div w:id="557210639">
          <w:marLeft w:val="0"/>
          <w:marRight w:val="0"/>
          <w:marTop w:val="0"/>
          <w:marBottom w:val="0"/>
          <w:divBdr>
            <w:top w:val="none" w:sz="0" w:space="0" w:color="auto"/>
            <w:left w:val="none" w:sz="0" w:space="0" w:color="auto"/>
            <w:bottom w:val="none" w:sz="0" w:space="0" w:color="auto"/>
            <w:right w:val="none" w:sz="0" w:space="0" w:color="auto"/>
          </w:divBdr>
        </w:div>
        <w:div w:id="1023822338">
          <w:marLeft w:val="0"/>
          <w:marRight w:val="0"/>
          <w:marTop w:val="0"/>
          <w:marBottom w:val="0"/>
          <w:divBdr>
            <w:top w:val="none" w:sz="0" w:space="0" w:color="auto"/>
            <w:left w:val="none" w:sz="0" w:space="0" w:color="auto"/>
            <w:bottom w:val="none" w:sz="0" w:space="0" w:color="auto"/>
            <w:right w:val="none" w:sz="0" w:space="0" w:color="auto"/>
          </w:divBdr>
        </w:div>
        <w:div w:id="1284579909">
          <w:marLeft w:val="0"/>
          <w:marRight w:val="0"/>
          <w:marTop w:val="0"/>
          <w:marBottom w:val="0"/>
          <w:divBdr>
            <w:top w:val="none" w:sz="0" w:space="0" w:color="auto"/>
            <w:left w:val="none" w:sz="0" w:space="0" w:color="auto"/>
            <w:bottom w:val="none" w:sz="0" w:space="0" w:color="auto"/>
            <w:right w:val="none" w:sz="0" w:space="0" w:color="auto"/>
          </w:divBdr>
        </w:div>
        <w:div w:id="918714079">
          <w:marLeft w:val="0"/>
          <w:marRight w:val="0"/>
          <w:marTop w:val="0"/>
          <w:marBottom w:val="0"/>
          <w:divBdr>
            <w:top w:val="none" w:sz="0" w:space="0" w:color="auto"/>
            <w:left w:val="none" w:sz="0" w:space="0" w:color="auto"/>
            <w:bottom w:val="none" w:sz="0" w:space="0" w:color="auto"/>
            <w:right w:val="none" w:sz="0" w:space="0" w:color="auto"/>
          </w:divBdr>
        </w:div>
        <w:div w:id="2019887044">
          <w:marLeft w:val="0"/>
          <w:marRight w:val="0"/>
          <w:marTop w:val="0"/>
          <w:marBottom w:val="0"/>
          <w:divBdr>
            <w:top w:val="none" w:sz="0" w:space="0" w:color="auto"/>
            <w:left w:val="none" w:sz="0" w:space="0" w:color="auto"/>
            <w:bottom w:val="none" w:sz="0" w:space="0" w:color="auto"/>
            <w:right w:val="none" w:sz="0" w:space="0" w:color="auto"/>
          </w:divBdr>
        </w:div>
        <w:div w:id="1869833035">
          <w:marLeft w:val="0"/>
          <w:marRight w:val="0"/>
          <w:marTop w:val="0"/>
          <w:marBottom w:val="0"/>
          <w:divBdr>
            <w:top w:val="none" w:sz="0" w:space="0" w:color="auto"/>
            <w:left w:val="none" w:sz="0" w:space="0" w:color="auto"/>
            <w:bottom w:val="none" w:sz="0" w:space="0" w:color="auto"/>
            <w:right w:val="none" w:sz="0" w:space="0" w:color="auto"/>
          </w:divBdr>
        </w:div>
        <w:div w:id="1351763989">
          <w:marLeft w:val="0"/>
          <w:marRight w:val="0"/>
          <w:marTop w:val="0"/>
          <w:marBottom w:val="0"/>
          <w:divBdr>
            <w:top w:val="none" w:sz="0" w:space="0" w:color="auto"/>
            <w:left w:val="none" w:sz="0" w:space="0" w:color="auto"/>
            <w:bottom w:val="none" w:sz="0" w:space="0" w:color="auto"/>
            <w:right w:val="none" w:sz="0" w:space="0" w:color="auto"/>
          </w:divBdr>
        </w:div>
        <w:div w:id="1910185868">
          <w:marLeft w:val="0"/>
          <w:marRight w:val="0"/>
          <w:marTop w:val="0"/>
          <w:marBottom w:val="0"/>
          <w:divBdr>
            <w:top w:val="none" w:sz="0" w:space="0" w:color="auto"/>
            <w:left w:val="none" w:sz="0" w:space="0" w:color="auto"/>
            <w:bottom w:val="none" w:sz="0" w:space="0" w:color="auto"/>
            <w:right w:val="none" w:sz="0" w:space="0" w:color="auto"/>
          </w:divBdr>
        </w:div>
        <w:div w:id="1036664036">
          <w:marLeft w:val="0"/>
          <w:marRight w:val="0"/>
          <w:marTop w:val="0"/>
          <w:marBottom w:val="0"/>
          <w:divBdr>
            <w:top w:val="none" w:sz="0" w:space="0" w:color="auto"/>
            <w:left w:val="none" w:sz="0" w:space="0" w:color="auto"/>
            <w:bottom w:val="none" w:sz="0" w:space="0" w:color="auto"/>
            <w:right w:val="none" w:sz="0" w:space="0" w:color="auto"/>
          </w:divBdr>
        </w:div>
        <w:div w:id="546602378">
          <w:marLeft w:val="0"/>
          <w:marRight w:val="0"/>
          <w:marTop w:val="0"/>
          <w:marBottom w:val="0"/>
          <w:divBdr>
            <w:top w:val="none" w:sz="0" w:space="0" w:color="auto"/>
            <w:left w:val="none" w:sz="0" w:space="0" w:color="auto"/>
            <w:bottom w:val="none" w:sz="0" w:space="0" w:color="auto"/>
            <w:right w:val="none" w:sz="0" w:space="0" w:color="auto"/>
          </w:divBdr>
        </w:div>
        <w:div w:id="848449268">
          <w:marLeft w:val="0"/>
          <w:marRight w:val="0"/>
          <w:marTop w:val="0"/>
          <w:marBottom w:val="0"/>
          <w:divBdr>
            <w:top w:val="none" w:sz="0" w:space="0" w:color="auto"/>
            <w:left w:val="none" w:sz="0" w:space="0" w:color="auto"/>
            <w:bottom w:val="none" w:sz="0" w:space="0" w:color="auto"/>
            <w:right w:val="none" w:sz="0" w:space="0" w:color="auto"/>
          </w:divBdr>
        </w:div>
        <w:div w:id="2112164968">
          <w:marLeft w:val="0"/>
          <w:marRight w:val="0"/>
          <w:marTop w:val="0"/>
          <w:marBottom w:val="0"/>
          <w:divBdr>
            <w:top w:val="none" w:sz="0" w:space="0" w:color="auto"/>
            <w:left w:val="none" w:sz="0" w:space="0" w:color="auto"/>
            <w:bottom w:val="none" w:sz="0" w:space="0" w:color="auto"/>
            <w:right w:val="none" w:sz="0" w:space="0" w:color="auto"/>
          </w:divBdr>
        </w:div>
        <w:div w:id="1679191000">
          <w:marLeft w:val="0"/>
          <w:marRight w:val="0"/>
          <w:marTop w:val="0"/>
          <w:marBottom w:val="0"/>
          <w:divBdr>
            <w:top w:val="none" w:sz="0" w:space="0" w:color="auto"/>
            <w:left w:val="none" w:sz="0" w:space="0" w:color="auto"/>
            <w:bottom w:val="none" w:sz="0" w:space="0" w:color="auto"/>
            <w:right w:val="none" w:sz="0" w:space="0" w:color="auto"/>
          </w:divBdr>
        </w:div>
        <w:div w:id="1812747098">
          <w:marLeft w:val="0"/>
          <w:marRight w:val="0"/>
          <w:marTop w:val="0"/>
          <w:marBottom w:val="0"/>
          <w:divBdr>
            <w:top w:val="none" w:sz="0" w:space="0" w:color="auto"/>
            <w:left w:val="none" w:sz="0" w:space="0" w:color="auto"/>
            <w:bottom w:val="none" w:sz="0" w:space="0" w:color="auto"/>
            <w:right w:val="none" w:sz="0" w:space="0" w:color="auto"/>
          </w:divBdr>
        </w:div>
        <w:div w:id="863250895">
          <w:marLeft w:val="0"/>
          <w:marRight w:val="0"/>
          <w:marTop w:val="0"/>
          <w:marBottom w:val="0"/>
          <w:divBdr>
            <w:top w:val="none" w:sz="0" w:space="0" w:color="auto"/>
            <w:left w:val="none" w:sz="0" w:space="0" w:color="auto"/>
            <w:bottom w:val="none" w:sz="0" w:space="0" w:color="auto"/>
            <w:right w:val="none" w:sz="0" w:space="0" w:color="auto"/>
          </w:divBdr>
        </w:div>
        <w:div w:id="263659082">
          <w:marLeft w:val="0"/>
          <w:marRight w:val="0"/>
          <w:marTop w:val="0"/>
          <w:marBottom w:val="0"/>
          <w:divBdr>
            <w:top w:val="none" w:sz="0" w:space="0" w:color="auto"/>
            <w:left w:val="none" w:sz="0" w:space="0" w:color="auto"/>
            <w:bottom w:val="none" w:sz="0" w:space="0" w:color="auto"/>
            <w:right w:val="none" w:sz="0" w:space="0" w:color="auto"/>
          </w:divBdr>
        </w:div>
        <w:div w:id="2106614207">
          <w:marLeft w:val="0"/>
          <w:marRight w:val="0"/>
          <w:marTop w:val="0"/>
          <w:marBottom w:val="0"/>
          <w:divBdr>
            <w:top w:val="none" w:sz="0" w:space="0" w:color="auto"/>
            <w:left w:val="none" w:sz="0" w:space="0" w:color="auto"/>
            <w:bottom w:val="none" w:sz="0" w:space="0" w:color="auto"/>
            <w:right w:val="none" w:sz="0" w:space="0" w:color="auto"/>
          </w:divBdr>
        </w:div>
        <w:div w:id="181749709">
          <w:marLeft w:val="0"/>
          <w:marRight w:val="0"/>
          <w:marTop w:val="0"/>
          <w:marBottom w:val="0"/>
          <w:divBdr>
            <w:top w:val="none" w:sz="0" w:space="0" w:color="auto"/>
            <w:left w:val="none" w:sz="0" w:space="0" w:color="auto"/>
            <w:bottom w:val="none" w:sz="0" w:space="0" w:color="auto"/>
            <w:right w:val="none" w:sz="0" w:space="0" w:color="auto"/>
          </w:divBdr>
        </w:div>
        <w:div w:id="598759877">
          <w:marLeft w:val="0"/>
          <w:marRight w:val="0"/>
          <w:marTop w:val="0"/>
          <w:marBottom w:val="0"/>
          <w:divBdr>
            <w:top w:val="none" w:sz="0" w:space="0" w:color="auto"/>
            <w:left w:val="none" w:sz="0" w:space="0" w:color="auto"/>
            <w:bottom w:val="none" w:sz="0" w:space="0" w:color="auto"/>
            <w:right w:val="none" w:sz="0" w:space="0" w:color="auto"/>
          </w:divBdr>
        </w:div>
        <w:div w:id="23558049">
          <w:marLeft w:val="0"/>
          <w:marRight w:val="0"/>
          <w:marTop w:val="0"/>
          <w:marBottom w:val="0"/>
          <w:divBdr>
            <w:top w:val="none" w:sz="0" w:space="0" w:color="auto"/>
            <w:left w:val="none" w:sz="0" w:space="0" w:color="auto"/>
            <w:bottom w:val="none" w:sz="0" w:space="0" w:color="auto"/>
            <w:right w:val="none" w:sz="0" w:space="0" w:color="auto"/>
          </w:divBdr>
        </w:div>
        <w:div w:id="200290604">
          <w:marLeft w:val="0"/>
          <w:marRight w:val="0"/>
          <w:marTop w:val="0"/>
          <w:marBottom w:val="0"/>
          <w:divBdr>
            <w:top w:val="none" w:sz="0" w:space="0" w:color="auto"/>
            <w:left w:val="none" w:sz="0" w:space="0" w:color="auto"/>
            <w:bottom w:val="none" w:sz="0" w:space="0" w:color="auto"/>
            <w:right w:val="none" w:sz="0" w:space="0" w:color="auto"/>
          </w:divBdr>
        </w:div>
        <w:div w:id="2128160089">
          <w:marLeft w:val="0"/>
          <w:marRight w:val="0"/>
          <w:marTop w:val="0"/>
          <w:marBottom w:val="0"/>
          <w:divBdr>
            <w:top w:val="none" w:sz="0" w:space="0" w:color="auto"/>
            <w:left w:val="none" w:sz="0" w:space="0" w:color="auto"/>
            <w:bottom w:val="none" w:sz="0" w:space="0" w:color="auto"/>
            <w:right w:val="none" w:sz="0" w:space="0" w:color="auto"/>
          </w:divBdr>
        </w:div>
        <w:div w:id="1705323320">
          <w:marLeft w:val="0"/>
          <w:marRight w:val="0"/>
          <w:marTop w:val="0"/>
          <w:marBottom w:val="0"/>
          <w:divBdr>
            <w:top w:val="none" w:sz="0" w:space="0" w:color="auto"/>
            <w:left w:val="none" w:sz="0" w:space="0" w:color="auto"/>
            <w:bottom w:val="none" w:sz="0" w:space="0" w:color="auto"/>
            <w:right w:val="none" w:sz="0" w:space="0" w:color="auto"/>
          </w:divBdr>
        </w:div>
      </w:divsChild>
    </w:div>
    <w:div w:id="877009392">
      <w:bodyDiv w:val="1"/>
      <w:marLeft w:val="0"/>
      <w:marRight w:val="0"/>
      <w:marTop w:val="0"/>
      <w:marBottom w:val="0"/>
      <w:divBdr>
        <w:top w:val="none" w:sz="0" w:space="0" w:color="auto"/>
        <w:left w:val="none" w:sz="0" w:space="0" w:color="auto"/>
        <w:bottom w:val="none" w:sz="0" w:space="0" w:color="auto"/>
        <w:right w:val="none" w:sz="0" w:space="0" w:color="auto"/>
      </w:divBdr>
    </w:div>
    <w:div w:id="946929977">
      <w:bodyDiv w:val="1"/>
      <w:marLeft w:val="0"/>
      <w:marRight w:val="0"/>
      <w:marTop w:val="0"/>
      <w:marBottom w:val="0"/>
      <w:divBdr>
        <w:top w:val="none" w:sz="0" w:space="0" w:color="auto"/>
        <w:left w:val="none" w:sz="0" w:space="0" w:color="auto"/>
        <w:bottom w:val="none" w:sz="0" w:space="0" w:color="auto"/>
        <w:right w:val="none" w:sz="0" w:space="0" w:color="auto"/>
      </w:divBdr>
      <w:divsChild>
        <w:div w:id="1995134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8172782">
      <w:bodyDiv w:val="1"/>
      <w:marLeft w:val="0"/>
      <w:marRight w:val="0"/>
      <w:marTop w:val="0"/>
      <w:marBottom w:val="0"/>
      <w:divBdr>
        <w:top w:val="none" w:sz="0" w:space="0" w:color="auto"/>
        <w:left w:val="none" w:sz="0" w:space="0" w:color="auto"/>
        <w:bottom w:val="none" w:sz="0" w:space="0" w:color="auto"/>
        <w:right w:val="none" w:sz="0" w:space="0" w:color="auto"/>
      </w:divBdr>
    </w:div>
    <w:div w:id="984509616">
      <w:bodyDiv w:val="1"/>
      <w:marLeft w:val="0"/>
      <w:marRight w:val="0"/>
      <w:marTop w:val="0"/>
      <w:marBottom w:val="0"/>
      <w:divBdr>
        <w:top w:val="none" w:sz="0" w:space="0" w:color="auto"/>
        <w:left w:val="none" w:sz="0" w:space="0" w:color="auto"/>
        <w:bottom w:val="none" w:sz="0" w:space="0" w:color="auto"/>
        <w:right w:val="none" w:sz="0" w:space="0" w:color="auto"/>
      </w:divBdr>
      <w:divsChild>
        <w:div w:id="1486628700">
          <w:marLeft w:val="0"/>
          <w:marRight w:val="0"/>
          <w:marTop w:val="0"/>
          <w:marBottom w:val="0"/>
          <w:divBdr>
            <w:top w:val="none" w:sz="0" w:space="0" w:color="auto"/>
            <w:left w:val="none" w:sz="0" w:space="0" w:color="auto"/>
            <w:bottom w:val="none" w:sz="0" w:space="0" w:color="auto"/>
            <w:right w:val="none" w:sz="0" w:space="0" w:color="auto"/>
          </w:divBdr>
        </w:div>
        <w:div w:id="122769434">
          <w:marLeft w:val="0"/>
          <w:marRight w:val="0"/>
          <w:marTop w:val="0"/>
          <w:marBottom w:val="0"/>
          <w:divBdr>
            <w:top w:val="none" w:sz="0" w:space="0" w:color="auto"/>
            <w:left w:val="none" w:sz="0" w:space="0" w:color="auto"/>
            <w:bottom w:val="none" w:sz="0" w:space="0" w:color="auto"/>
            <w:right w:val="none" w:sz="0" w:space="0" w:color="auto"/>
          </w:divBdr>
        </w:div>
        <w:div w:id="561865768">
          <w:marLeft w:val="0"/>
          <w:marRight w:val="0"/>
          <w:marTop w:val="0"/>
          <w:marBottom w:val="0"/>
          <w:divBdr>
            <w:top w:val="none" w:sz="0" w:space="0" w:color="auto"/>
            <w:left w:val="none" w:sz="0" w:space="0" w:color="auto"/>
            <w:bottom w:val="none" w:sz="0" w:space="0" w:color="auto"/>
            <w:right w:val="none" w:sz="0" w:space="0" w:color="auto"/>
          </w:divBdr>
        </w:div>
        <w:div w:id="194276754">
          <w:marLeft w:val="0"/>
          <w:marRight w:val="0"/>
          <w:marTop w:val="0"/>
          <w:marBottom w:val="0"/>
          <w:divBdr>
            <w:top w:val="none" w:sz="0" w:space="0" w:color="auto"/>
            <w:left w:val="none" w:sz="0" w:space="0" w:color="auto"/>
            <w:bottom w:val="none" w:sz="0" w:space="0" w:color="auto"/>
            <w:right w:val="none" w:sz="0" w:space="0" w:color="auto"/>
          </w:divBdr>
        </w:div>
        <w:div w:id="834032337">
          <w:marLeft w:val="0"/>
          <w:marRight w:val="0"/>
          <w:marTop w:val="0"/>
          <w:marBottom w:val="0"/>
          <w:divBdr>
            <w:top w:val="none" w:sz="0" w:space="0" w:color="auto"/>
            <w:left w:val="none" w:sz="0" w:space="0" w:color="auto"/>
            <w:bottom w:val="none" w:sz="0" w:space="0" w:color="auto"/>
            <w:right w:val="none" w:sz="0" w:space="0" w:color="auto"/>
          </w:divBdr>
        </w:div>
      </w:divsChild>
    </w:div>
    <w:div w:id="1031341915">
      <w:bodyDiv w:val="1"/>
      <w:marLeft w:val="0"/>
      <w:marRight w:val="0"/>
      <w:marTop w:val="0"/>
      <w:marBottom w:val="0"/>
      <w:divBdr>
        <w:top w:val="none" w:sz="0" w:space="0" w:color="auto"/>
        <w:left w:val="none" w:sz="0" w:space="0" w:color="auto"/>
        <w:bottom w:val="none" w:sz="0" w:space="0" w:color="auto"/>
        <w:right w:val="none" w:sz="0" w:space="0" w:color="auto"/>
      </w:divBdr>
      <w:divsChild>
        <w:div w:id="1159425140">
          <w:marLeft w:val="0"/>
          <w:marRight w:val="0"/>
          <w:marTop w:val="0"/>
          <w:marBottom w:val="0"/>
          <w:divBdr>
            <w:top w:val="none" w:sz="0" w:space="0" w:color="auto"/>
            <w:left w:val="none" w:sz="0" w:space="0" w:color="auto"/>
            <w:bottom w:val="none" w:sz="0" w:space="0" w:color="auto"/>
            <w:right w:val="none" w:sz="0" w:space="0" w:color="auto"/>
          </w:divBdr>
        </w:div>
      </w:divsChild>
    </w:div>
    <w:div w:id="1039280244">
      <w:bodyDiv w:val="1"/>
      <w:marLeft w:val="0"/>
      <w:marRight w:val="0"/>
      <w:marTop w:val="0"/>
      <w:marBottom w:val="0"/>
      <w:divBdr>
        <w:top w:val="none" w:sz="0" w:space="0" w:color="auto"/>
        <w:left w:val="none" w:sz="0" w:space="0" w:color="auto"/>
        <w:bottom w:val="none" w:sz="0" w:space="0" w:color="auto"/>
        <w:right w:val="none" w:sz="0" w:space="0" w:color="auto"/>
      </w:divBdr>
    </w:div>
    <w:div w:id="1045523317">
      <w:bodyDiv w:val="1"/>
      <w:marLeft w:val="0"/>
      <w:marRight w:val="0"/>
      <w:marTop w:val="0"/>
      <w:marBottom w:val="0"/>
      <w:divBdr>
        <w:top w:val="none" w:sz="0" w:space="0" w:color="auto"/>
        <w:left w:val="none" w:sz="0" w:space="0" w:color="auto"/>
        <w:bottom w:val="none" w:sz="0" w:space="0" w:color="auto"/>
        <w:right w:val="none" w:sz="0" w:space="0" w:color="auto"/>
      </w:divBdr>
      <w:divsChild>
        <w:div w:id="1026254567">
          <w:marLeft w:val="0"/>
          <w:marRight w:val="0"/>
          <w:marTop w:val="0"/>
          <w:marBottom w:val="0"/>
          <w:divBdr>
            <w:top w:val="none" w:sz="0" w:space="0" w:color="auto"/>
            <w:left w:val="none" w:sz="0" w:space="0" w:color="auto"/>
            <w:bottom w:val="none" w:sz="0" w:space="0" w:color="auto"/>
            <w:right w:val="none" w:sz="0" w:space="0" w:color="auto"/>
          </w:divBdr>
          <w:divsChild>
            <w:div w:id="344404657">
              <w:marLeft w:val="0"/>
              <w:marRight w:val="0"/>
              <w:marTop w:val="0"/>
              <w:marBottom w:val="0"/>
              <w:divBdr>
                <w:top w:val="none" w:sz="0" w:space="0" w:color="auto"/>
                <w:left w:val="none" w:sz="0" w:space="0" w:color="auto"/>
                <w:bottom w:val="none" w:sz="0" w:space="0" w:color="auto"/>
                <w:right w:val="none" w:sz="0" w:space="0" w:color="auto"/>
              </w:divBdr>
              <w:divsChild>
                <w:div w:id="211890263">
                  <w:marLeft w:val="0"/>
                  <w:marRight w:val="0"/>
                  <w:marTop w:val="0"/>
                  <w:marBottom w:val="0"/>
                  <w:divBdr>
                    <w:top w:val="none" w:sz="0" w:space="0" w:color="auto"/>
                    <w:left w:val="none" w:sz="0" w:space="0" w:color="auto"/>
                    <w:bottom w:val="none" w:sz="0" w:space="0" w:color="auto"/>
                    <w:right w:val="none" w:sz="0" w:space="0" w:color="auto"/>
                  </w:divBdr>
                </w:div>
                <w:div w:id="2119640336">
                  <w:marLeft w:val="0"/>
                  <w:marRight w:val="0"/>
                  <w:marTop w:val="0"/>
                  <w:marBottom w:val="0"/>
                  <w:divBdr>
                    <w:top w:val="none" w:sz="0" w:space="0" w:color="auto"/>
                    <w:left w:val="none" w:sz="0" w:space="0" w:color="auto"/>
                    <w:bottom w:val="none" w:sz="0" w:space="0" w:color="auto"/>
                    <w:right w:val="none" w:sz="0" w:space="0" w:color="auto"/>
                  </w:divBdr>
                </w:div>
                <w:div w:id="1570074510">
                  <w:marLeft w:val="0"/>
                  <w:marRight w:val="0"/>
                  <w:marTop w:val="0"/>
                  <w:marBottom w:val="0"/>
                  <w:divBdr>
                    <w:top w:val="none" w:sz="0" w:space="0" w:color="auto"/>
                    <w:left w:val="none" w:sz="0" w:space="0" w:color="auto"/>
                    <w:bottom w:val="none" w:sz="0" w:space="0" w:color="auto"/>
                    <w:right w:val="none" w:sz="0" w:space="0" w:color="auto"/>
                  </w:divBdr>
                </w:div>
                <w:div w:id="892889230">
                  <w:marLeft w:val="0"/>
                  <w:marRight w:val="0"/>
                  <w:marTop w:val="0"/>
                  <w:marBottom w:val="0"/>
                  <w:divBdr>
                    <w:top w:val="none" w:sz="0" w:space="0" w:color="auto"/>
                    <w:left w:val="none" w:sz="0" w:space="0" w:color="auto"/>
                    <w:bottom w:val="none" w:sz="0" w:space="0" w:color="auto"/>
                    <w:right w:val="none" w:sz="0" w:space="0" w:color="auto"/>
                  </w:divBdr>
                </w:div>
                <w:div w:id="1190069579">
                  <w:marLeft w:val="0"/>
                  <w:marRight w:val="0"/>
                  <w:marTop w:val="0"/>
                  <w:marBottom w:val="0"/>
                  <w:divBdr>
                    <w:top w:val="none" w:sz="0" w:space="0" w:color="auto"/>
                    <w:left w:val="none" w:sz="0" w:space="0" w:color="auto"/>
                    <w:bottom w:val="none" w:sz="0" w:space="0" w:color="auto"/>
                    <w:right w:val="none" w:sz="0" w:space="0" w:color="auto"/>
                  </w:divBdr>
                </w:div>
                <w:div w:id="644164260">
                  <w:marLeft w:val="0"/>
                  <w:marRight w:val="0"/>
                  <w:marTop w:val="0"/>
                  <w:marBottom w:val="0"/>
                  <w:divBdr>
                    <w:top w:val="none" w:sz="0" w:space="0" w:color="auto"/>
                    <w:left w:val="none" w:sz="0" w:space="0" w:color="auto"/>
                    <w:bottom w:val="none" w:sz="0" w:space="0" w:color="auto"/>
                    <w:right w:val="none" w:sz="0" w:space="0" w:color="auto"/>
                  </w:divBdr>
                </w:div>
                <w:div w:id="1736514105">
                  <w:marLeft w:val="0"/>
                  <w:marRight w:val="0"/>
                  <w:marTop w:val="0"/>
                  <w:marBottom w:val="0"/>
                  <w:divBdr>
                    <w:top w:val="none" w:sz="0" w:space="0" w:color="auto"/>
                    <w:left w:val="none" w:sz="0" w:space="0" w:color="auto"/>
                    <w:bottom w:val="none" w:sz="0" w:space="0" w:color="auto"/>
                    <w:right w:val="none" w:sz="0" w:space="0" w:color="auto"/>
                  </w:divBdr>
                </w:div>
                <w:div w:id="118451088">
                  <w:marLeft w:val="0"/>
                  <w:marRight w:val="0"/>
                  <w:marTop w:val="0"/>
                  <w:marBottom w:val="0"/>
                  <w:divBdr>
                    <w:top w:val="none" w:sz="0" w:space="0" w:color="auto"/>
                    <w:left w:val="none" w:sz="0" w:space="0" w:color="auto"/>
                    <w:bottom w:val="none" w:sz="0" w:space="0" w:color="auto"/>
                    <w:right w:val="none" w:sz="0" w:space="0" w:color="auto"/>
                  </w:divBdr>
                </w:div>
                <w:div w:id="623924267">
                  <w:marLeft w:val="0"/>
                  <w:marRight w:val="0"/>
                  <w:marTop w:val="0"/>
                  <w:marBottom w:val="0"/>
                  <w:divBdr>
                    <w:top w:val="none" w:sz="0" w:space="0" w:color="auto"/>
                    <w:left w:val="none" w:sz="0" w:space="0" w:color="auto"/>
                    <w:bottom w:val="none" w:sz="0" w:space="0" w:color="auto"/>
                    <w:right w:val="none" w:sz="0" w:space="0" w:color="auto"/>
                  </w:divBdr>
                </w:div>
                <w:div w:id="264777214">
                  <w:marLeft w:val="0"/>
                  <w:marRight w:val="0"/>
                  <w:marTop w:val="0"/>
                  <w:marBottom w:val="0"/>
                  <w:divBdr>
                    <w:top w:val="none" w:sz="0" w:space="0" w:color="auto"/>
                    <w:left w:val="none" w:sz="0" w:space="0" w:color="auto"/>
                    <w:bottom w:val="none" w:sz="0" w:space="0" w:color="auto"/>
                    <w:right w:val="none" w:sz="0" w:space="0" w:color="auto"/>
                  </w:divBdr>
                </w:div>
                <w:div w:id="1896504631">
                  <w:marLeft w:val="0"/>
                  <w:marRight w:val="0"/>
                  <w:marTop w:val="0"/>
                  <w:marBottom w:val="0"/>
                  <w:divBdr>
                    <w:top w:val="none" w:sz="0" w:space="0" w:color="auto"/>
                    <w:left w:val="none" w:sz="0" w:space="0" w:color="auto"/>
                    <w:bottom w:val="none" w:sz="0" w:space="0" w:color="auto"/>
                    <w:right w:val="none" w:sz="0" w:space="0" w:color="auto"/>
                  </w:divBdr>
                </w:div>
                <w:div w:id="775756927">
                  <w:marLeft w:val="0"/>
                  <w:marRight w:val="0"/>
                  <w:marTop w:val="0"/>
                  <w:marBottom w:val="0"/>
                  <w:divBdr>
                    <w:top w:val="none" w:sz="0" w:space="0" w:color="auto"/>
                    <w:left w:val="none" w:sz="0" w:space="0" w:color="auto"/>
                    <w:bottom w:val="none" w:sz="0" w:space="0" w:color="auto"/>
                    <w:right w:val="none" w:sz="0" w:space="0" w:color="auto"/>
                  </w:divBdr>
                </w:div>
                <w:div w:id="107755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20673">
          <w:marLeft w:val="0"/>
          <w:marRight w:val="0"/>
          <w:marTop w:val="0"/>
          <w:marBottom w:val="0"/>
          <w:divBdr>
            <w:top w:val="none" w:sz="0" w:space="0" w:color="auto"/>
            <w:left w:val="none" w:sz="0" w:space="0" w:color="auto"/>
            <w:bottom w:val="none" w:sz="0" w:space="0" w:color="auto"/>
            <w:right w:val="none" w:sz="0" w:space="0" w:color="auto"/>
          </w:divBdr>
        </w:div>
        <w:div w:id="1017271801">
          <w:marLeft w:val="0"/>
          <w:marRight w:val="0"/>
          <w:marTop w:val="0"/>
          <w:marBottom w:val="0"/>
          <w:divBdr>
            <w:top w:val="none" w:sz="0" w:space="0" w:color="auto"/>
            <w:left w:val="none" w:sz="0" w:space="0" w:color="auto"/>
            <w:bottom w:val="none" w:sz="0" w:space="0" w:color="auto"/>
            <w:right w:val="none" w:sz="0" w:space="0" w:color="auto"/>
          </w:divBdr>
        </w:div>
        <w:div w:id="1552769547">
          <w:marLeft w:val="0"/>
          <w:marRight w:val="0"/>
          <w:marTop w:val="0"/>
          <w:marBottom w:val="0"/>
          <w:divBdr>
            <w:top w:val="none" w:sz="0" w:space="0" w:color="auto"/>
            <w:left w:val="none" w:sz="0" w:space="0" w:color="auto"/>
            <w:bottom w:val="none" w:sz="0" w:space="0" w:color="auto"/>
            <w:right w:val="none" w:sz="0" w:space="0" w:color="auto"/>
          </w:divBdr>
        </w:div>
        <w:div w:id="1753350227">
          <w:marLeft w:val="0"/>
          <w:marRight w:val="0"/>
          <w:marTop w:val="0"/>
          <w:marBottom w:val="0"/>
          <w:divBdr>
            <w:top w:val="none" w:sz="0" w:space="0" w:color="auto"/>
            <w:left w:val="none" w:sz="0" w:space="0" w:color="auto"/>
            <w:bottom w:val="none" w:sz="0" w:space="0" w:color="auto"/>
            <w:right w:val="none" w:sz="0" w:space="0" w:color="auto"/>
          </w:divBdr>
        </w:div>
        <w:div w:id="1724862172">
          <w:marLeft w:val="0"/>
          <w:marRight w:val="0"/>
          <w:marTop w:val="0"/>
          <w:marBottom w:val="0"/>
          <w:divBdr>
            <w:top w:val="none" w:sz="0" w:space="0" w:color="auto"/>
            <w:left w:val="none" w:sz="0" w:space="0" w:color="auto"/>
            <w:bottom w:val="none" w:sz="0" w:space="0" w:color="auto"/>
            <w:right w:val="none" w:sz="0" w:space="0" w:color="auto"/>
          </w:divBdr>
        </w:div>
        <w:div w:id="1596404896">
          <w:marLeft w:val="0"/>
          <w:marRight w:val="0"/>
          <w:marTop w:val="0"/>
          <w:marBottom w:val="0"/>
          <w:divBdr>
            <w:top w:val="none" w:sz="0" w:space="0" w:color="auto"/>
            <w:left w:val="none" w:sz="0" w:space="0" w:color="auto"/>
            <w:bottom w:val="none" w:sz="0" w:space="0" w:color="auto"/>
            <w:right w:val="none" w:sz="0" w:space="0" w:color="auto"/>
          </w:divBdr>
        </w:div>
        <w:div w:id="18940458">
          <w:marLeft w:val="0"/>
          <w:marRight w:val="0"/>
          <w:marTop w:val="0"/>
          <w:marBottom w:val="0"/>
          <w:divBdr>
            <w:top w:val="none" w:sz="0" w:space="0" w:color="auto"/>
            <w:left w:val="none" w:sz="0" w:space="0" w:color="auto"/>
            <w:bottom w:val="none" w:sz="0" w:space="0" w:color="auto"/>
            <w:right w:val="none" w:sz="0" w:space="0" w:color="auto"/>
          </w:divBdr>
        </w:div>
        <w:div w:id="156578061">
          <w:marLeft w:val="0"/>
          <w:marRight w:val="0"/>
          <w:marTop w:val="0"/>
          <w:marBottom w:val="0"/>
          <w:divBdr>
            <w:top w:val="none" w:sz="0" w:space="0" w:color="auto"/>
            <w:left w:val="none" w:sz="0" w:space="0" w:color="auto"/>
            <w:bottom w:val="none" w:sz="0" w:space="0" w:color="auto"/>
            <w:right w:val="none" w:sz="0" w:space="0" w:color="auto"/>
          </w:divBdr>
        </w:div>
        <w:div w:id="1398701139">
          <w:marLeft w:val="0"/>
          <w:marRight w:val="0"/>
          <w:marTop w:val="0"/>
          <w:marBottom w:val="0"/>
          <w:divBdr>
            <w:top w:val="none" w:sz="0" w:space="0" w:color="auto"/>
            <w:left w:val="none" w:sz="0" w:space="0" w:color="auto"/>
            <w:bottom w:val="none" w:sz="0" w:space="0" w:color="auto"/>
            <w:right w:val="none" w:sz="0" w:space="0" w:color="auto"/>
          </w:divBdr>
        </w:div>
        <w:div w:id="885724924">
          <w:marLeft w:val="0"/>
          <w:marRight w:val="0"/>
          <w:marTop w:val="0"/>
          <w:marBottom w:val="0"/>
          <w:divBdr>
            <w:top w:val="none" w:sz="0" w:space="0" w:color="auto"/>
            <w:left w:val="none" w:sz="0" w:space="0" w:color="auto"/>
            <w:bottom w:val="none" w:sz="0" w:space="0" w:color="auto"/>
            <w:right w:val="none" w:sz="0" w:space="0" w:color="auto"/>
          </w:divBdr>
        </w:div>
      </w:divsChild>
    </w:div>
    <w:div w:id="1192957327">
      <w:bodyDiv w:val="1"/>
      <w:marLeft w:val="0"/>
      <w:marRight w:val="0"/>
      <w:marTop w:val="0"/>
      <w:marBottom w:val="0"/>
      <w:divBdr>
        <w:top w:val="none" w:sz="0" w:space="0" w:color="auto"/>
        <w:left w:val="none" w:sz="0" w:space="0" w:color="auto"/>
        <w:bottom w:val="none" w:sz="0" w:space="0" w:color="auto"/>
        <w:right w:val="none" w:sz="0" w:space="0" w:color="auto"/>
      </w:divBdr>
      <w:divsChild>
        <w:div w:id="1020619603">
          <w:marLeft w:val="0"/>
          <w:marRight w:val="0"/>
          <w:marTop w:val="0"/>
          <w:marBottom w:val="0"/>
          <w:divBdr>
            <w:top w:val="none" w:sz="0" w:space="0" w:color="auto"/>
            <w:left w:val="none" w:sz="0" w:space="0" w:color="auto"/>
            <w:bottom w:val="none" w:sz="0" w:space="0" w:color="auto"/>
            <w:right w:val="none" w:sz="0" w:space="0" w:color="auto"/>
          </w:divBdr>
        </w:div>
        <w:div w:id="1937248159">
          <w:marLeft w:val="0"/>
          <w:marRight w:val="0"/>
          <w:marTop w:val="0"/>
          <w:marBottom w:val="0"/>
          <w:divBdr>
            <w:top w:val="none" w:sz="0" w:space="0" w:color="auto"/>
            <w:left w:val="none" w:sz="0" w:space="0" w:color="auto"/>
            <w:bottom w:val="none" w:sz="0" w:space="0" w:color="auto"/>
            <w:right w:val="none" w:sz="0" w:space="0" w:color="auto"/>
          </w:divBdr>
        </w:div>
      </w:divsChild>
    </w:div>
    <w:div w:id="1203320921">
      <w:bodyDiv w:val="1"/>
      <w:marLeft w:val="0"/>
      <w:marRight w:val="0"/>
      <w:marTop w:val="0"/>
      <w:marBottom w:val="0"/>
      <w:divBdr>
        <w:top w:val="none" w:sz="0" w:space="0" w:color="auto"/>
        <w:left w:val="none" w:sz="0" w:space="0" w:color="auto"/>
        <w:bottom w:val="none" w:sz="0" w:space="0" w:color="auto"/>
        <w:right w:val="none" w:sz="0" w:space="0" w:color="auto"/>
      </w:divBdr>
    </w:div>
    <w:div w:id="1218785771">
      <w:bodyDiv w:val="1"/>
      <w:marLeft w:val="0"/>
      <w:marRight w:val="0"/>
      <w:marTop w:val="0"/>
      <w:marBottom w:val="0"/>
      <w:divBdr>
        <w:top w:val="none" w:sz="0" w:space="0" w:color="auto"/>
        <w:left w:val="none" w:sz="0" w:space="0" w:color="auto"/>
        <w:bottom w:val="none" w:sz="0" w:space="0" w:color="auto"/>
        <w:right w:val="none" w:sz="0" w:space="0" w:color="auto"/>
      </w:divBdr>
    </w:div>
    <w:div w:id="1240168638">
      <w:bodyDiv w:val="1"/>
      <w:marLeft w:val="0"/>
      <w:marRight w:val="0"/>
      <w:marTop w:val="0"/>
      <w:marBottom w:val="0"/>
      <w:divBdr>
        <w:top w:val="none" w:sz="0" w:space="0" w:color="auto"/>
        <w:left w:val="none" w:sz="0" w:space="0" w:color="auto"/>
        <w:bottom w:val="none" w:sz="0" w:space="0" w:color="auto"/>
        <w:right w:val="none" w:sz="0" w:space="0" w:color="auto"/>
      </w:divBdr>
    </w:div>
    <w:div w:id="1244607292">
      <w:bodyDiv w:val="1"/>
      <w:marLeft w:val="0"/>
      <w:marRight w:val="0"/>
      <w:marTop w:val="0"/>
      <w:marBottom w:val="0"/>
      <w:divBdr>
        <w:top w:val="none" w:sz="0" w:space="0" w:color="auto"/>
        <w:left w:val="none" w:sz="0" w:space="0" w:color="auto"/>
        <w:bottom w:val="none" w:sz="0" w:space="0" w:color="auto"/>
        <w:right w:val="none" w:sz="0" w:space="0" w:color="auto"/>
      </w:divBdr>
      <w:divsChild>
        <w:div w:id="1468864425">
          <w:marLeft w:val="0"/>
          <w:marRight w:val="0"/>
          <w:marTop w:val="0"/>
          <w:marBottom w:val="0"/>
          <w:divBdr>
            <w:top w:val="none" w:sz="0" w:space="0" w:color="auto"/>
            <w:left w:val="none" w:sz="0" w:space="0" w:color="auto"/>
            <w:bottom w:val="none" w:sz="0" w:space="0" w:color="auto"/>
            <w:right w:val="none" w:sz="0" w:space="0" w:color="auto"/>
          </w:divBdr>
        </w:div>
      </w:divsChild>
    </w:div>
    <w:div w:id="1471560201">
      <w:bodyDiv w:val="1"/>
      <w:marLeft w:val="0"/>
      <w:marRight w:val="0"/>
      <w:marTop w:val="0"/>
      <w:marBottom w:val="0"/>
      <w:divBdr>
        <w:top w:val="none" w:sz="0" w:space="0" w:color="auto"/>
        <w:left w:val="none" w:sz="0" w:space="0" w:color="auto"/>
        <w:bottom w:val="none" w:sz="0" w:space="0" w:color="auto"/>
        <w:right w:val="none" w:sz="0" w:space="0" w:color="auto"/>
      </w:divBdr>
      <w:divsChild>
        <w:div w:id="317928151">
          <w:marLeft w:val="0"/>
          <w:marRight w:val="0"/>
          <w:marTop w:val="0"/>
          <w:marBottom w:val="0"/>
          <w:divBdr>
            <w:top w:val="none" w:sz="0" w:space="0" w:color="auto"/>
            <w:left w:val="none" w:sz="0" w:space="0" w:color="auto"/>
            <w:bottom w:val="none" w:sz="0" w:space="0" w:color="auto"/>
            <w:right w:val="none" w:sz="0" w:space="0" w:color="auto"/>
          </w:divBdr>
        </w:div>
        <w:div w:id="8218450">
          <w:marLeft w:val="0"/>
          <w:marRight w:val="0"/>
          <w:marTop w:val="0"/>
          <w:marBottom w:val="0"/>
          <w:divBdr>
            <w:top w:val="none" w:sz="0" w:space="0" w:color="auto"/>
            <w:left w:val="none" w:sz="0" w:space="0" w:color="auto"/>
            <w:bottom w:val="none" w:sz="0" w:space="0" w:color="auto"/>
            <w:right w:val="none" w:sz="0" w:space="0" w:color="auto"/>
          </w:divBdr>
        </w:div>
      </w:divsChild>
    </w:div>
    <w:div w:id="1515800875">
      <w:marLeft w:val="0"/>
      <w:marRight w:val="0"/>
      <w:marTop w:val="0"/>
      <w:marBottom w:val="0"/>
      <w:divBdr>
        <w:top w:val="none" w:sz="0" w:space="0" w:color="auto"/>
        <w:left w:val="none" w:sz="0" w:space="0" w:color="auto"/>
        <w:bottom w:val="none" w:sz="0" w:space="0" w:color="auto"/>
        <w:right w:val="none" w:sz="0" w:space="0" w:color="auto"/>
      </w:divBdr>
      <w:divsChild>
        <w:div w:id="1515800800">
          <w:marLeft w:val="0"/>
          <w:marRight w:val="0"/>
          <w:marTop w:val="0"/>
          <w:marBottom w:val="0"/>
          <w:divBdr>
            <w:top w:val="none" w:sz="0" w:space="0" w:color="auto"/>
            <w:left w:val="none" w:sz="0" w:space="0" w:color="auto"/>
            <w:bottom w:val="none" w:sz="0" w:space="0" w:color="auto"/>
            <w:right w:val="none" w:sz="0" w:space="0" w:color="auto"/>
          </w:divBdr>
        </w:div>
        <w:div w:id="1515800801">
          <w:marLeft w:val="0"/>
          <w:marRight w:val="0"/>
          <w:marTop w:val="0"/>
          <w:marBottom w:val="0"/>
          <w:divBdr>
            <w:top w:val="none" w:sz="0" w:space="0" w:color="auto"/>
            <w:left w:val="none" w:sz="0" w:space="0" w:color="auto"/>
            <w:bottom w:val="none" w:sz="0" w:space="0" w:color="auto"/>
            <w:right w:val="none" w:sz="0" w:space="0" w:color="auto"/>
          </w:divBdr>
        </w:div>
        <w:div w:id="1515800810">
          <w:marLeft w:val="0"/>
          <w:marRight w:val="0"/>
          <w:marTop w:val="0"/>
          <w:marBottom w:val="0"/>
          <w:divBdr>
            <w:top w:val="none" w:sz="0" w:space="0" w:color="auto"/>
            <w:left w:val="none" w:sz="0" w:space="0" w:color="auto"/>
            <w:bottom w:val="none" w:sz="0" w:space="0" w:color="auto"/>
            <w:right w:val="none" w:sz="0" w:space="0" w:color="auto"/>
          </w:divBdr>
        </w:div>
        <w:div w:id="1515800811">
          <w:marLeft w:val="0"/>
          <w:marRight w:val="0"/>
          <w:marTop w:val="0"/>
          <w:marBottom w:val="0"/>
          <w:divBdr>
            <w:top w:val="none" w:sz="0" w:space="0" w:color="auto"/>
            <w:left w:val="none" w:sz="0" w:space="0" w:color="auto"/>
            <w:bottom w:val="none" w:sz="0" w:space="0" w:color="auto"/>
            <w:right w:val="none" w:sz="0" w:space="0" w:color="auto"/>
          </w:divBdr>
        </w:div>
        <w:div w:id="1515800813">
          <w:marLeft w:val="0"/>
          <w:marRight w:val="0"/>
          <w:marTop w:val="0"/>
          <w:marBottom w:val="0"/>
          <w:divBdr>
            <w:top w:val="none" w:sz="0" w:space="0" w:color="auto"/>
            <w:left w:val="none" w:sz="0" w:space="0" w:color="auto"/>
            <w:bottom w:val="none" w:sz="0" w:space="0" w:color="auto"/>
            <w:right w:val="none" w:sz="0" w:space="0" w:color="auto"/>
          </w:divBdr>
        </w:div>
        <w:div w:id="1515800814">
          <w:marLeft w:val="0"/>
          <w:marRight w:val="0"/>
          <w:marTop w:val="0"/>
          <w:marBottom w:val="0"/>
          <w:divBdr>
            <w:top w:val="none" w:sz="0" w:space="0" w:color="auto"/>
            <w:left w:val="none" w:sz="0" w:space="0" w:color="auto"/>
            <w:bottom w:val="none" w:sz="0" w:space="0" w:color="auto"/>
            <w:right w:val="none" w:sz="0" w:space="0" w:color="auto"/>
          </w:divBdr>
        </w:div>
        <w:div w:id="1515800821">
          <w:marLeft w:val="0"/>
          <w:marRight w:val="0"/>
          <w:marTop w:val="0"/>
          <w:marBottom w:val="0"/>
          <w:divBdr>
            <w:top w:val="none" w:sz="0" w:space="0" w:color="auto"/>
            <w:left w:val="none" w:sz="0" w:space="0" w:color="auto"/>
            <w:bottom w:val="none" w:sz="0" w:space="0" w:color="auto"/>
            <w:right w:val="none" w:sz="0" w:space="0" w:color="auto"/>
          </w:divBdr>
        </w:div>
        <w:div w:id="1515800827">
          <w:marLeft w:val="0"/>
          <w:marRight w:val="0"/>
          <w:marTop w:val="0"/>
          <w:marBottom w:val="0"/>
          <w:divBdr>
            <w:top w:val="none" w:sz="0" w:space="0" w:color="auto"/>
            <w:left w:val="none" w:sz="0" w:space="0" w:color="auto"/>
            <w:bottom w:val="none" w:sz="0" w:space="0" w:color="auto"/>
            <w:right w:val="none" w:sz="0" w:space="0" w:color="auto"/>
          </w:divBdr>
        </w:div>
        <w:div w:id="1515800833">
          <w:marLeft w:val="0"/>
          <w:marRight w:val="0"/>
          <w:marTop w:val="0"/>
          <w:marBottom w:val="0"/>
          <w:divBdr>
            <w:top w:val="none" w:sz="0" w:space="0" w:color="auto"/>
            <w:left w:val="none" w:sz="0" w:space="0" w:color="auto"/>
            <w:bottom w:val="none" w:sz="0" w:space="0" w:color="auto"/>
            <w:right w:val="none" w:sz="0" w:space="0" w:color="auto"/>
          </w:divBdr>
        </w:div>
        <w:div w:id="1515800835">
          <w:marLeft w:val="0"/>
          <w:marRight w:val="0"/>
          <w:marTop w:val="0"/>
          <w:marBottom w:val="0"/>
          <w:divBdr>
            <w:top w:val="none" w:sz="0" w:space="0" w:color="auto"/>
            <w:left w:val="none" w:sz="0" w:space="0" w:color="auto"/>
            <w:bottom w:val="none" w:sz="0" w:space="0" w:color="auto"/>
            <w:right w:val="none" w:sz="0" w:space="0" w:color="auto"/>
          </w:divBdr>
        </w:div>
        <w:div w:id="1515800859">
          <w:marLeft w:val="0"/>
          <w:marRight w:val="0"/>
          <w:marTop w:val="0"/>
          <w:marBottom w:val="0"/>
          <w:divBdr>
            <w:top w:val="none" w:sz="0" w:space="0" w:color="auto"/>
            <w:left w:val="none" w:sz="0" w:space="0" w:color="auto"/>
            <w:bottom w:val="none" w:sz="0" w:space="0" w:color="auto"/>
            <w:right w:val="none" w:sz="0" w:space="0" w:color="auto"/>
          </w:divBdr>
        </w:div>
        <w:div w:id="1515800869">
          <w:marLeft w:val="0"/>
          <w:marRight w:val="0"/>
          <w:marTop w:val="0"/>
          <w:marBottom w:val="0"/>
          <w:divBdr>
            <w:top w:val="none" w:sz="0" w:space="0" w:color="auto"/>
            <w:left w:val="none" w:sz="0" w:space="0" w:color="auto"/>
            <w:bottom w:val="none" w:sz="0" w:space="0" w:color="auto"/>
            <w:right w:val="none" w:sz="0" w:space="0" w:color="auto"/>
          </w:divBdr>
        </w:div>
        <w:div w:id="1515800870">
          <w:marLeft w:val="0"/>
          <w:marRight w:val="0"/>
          <w:marTop w:val="0"/>
          <w:marBottom w:val="0"/>
          <w:divBdr>
            <w:top w:val="none" w:sz="0" w:space="0" w:color="auto"/>
            <w:left w:val="none" w:sz="0" w:space="0" w:color="auto"/>
            <w:bottom w:val="none" w:sz="0" w:space="0" w:color="auto"/>
            <w:right w:val="none" w:sz="0" w:space="0" w:color="auto"/>
          </w:divBdr>
        </w:div>
        <w:div w:id="1515800884">
          <w:marLeft w:val="0"/>
          <w:marRight w:val="0"/>
          <w:marTop w:val="0"/>
          <w:marBottom w:val="0"/>
          <w:divBdr>
            <w:top w:val="none" w:sz="0" w:space="0" w:color="auto"/>
            <w:left w:val="none" w:sz="0" w:space="0" w:color="auto"/>
            <w:bottom w:val="none" w:sz="0" w:space="0" w:color="auto"/>
            <w:right w:val="none" w:sz="0" w:space="0" w:color="auto"/>
          </w:divBdr>
        </w:div>
        <w:div w:id="1515800888">
          <w:marLeft w:val="0"/>
          <w:marRight w:val="0"/>
          <w:marTop w:val="0"/>
          <w:marBottom w:val="0"/>
          <w:divBdr>
            <w:top w:val="none" w:sz="0" w:space="0" w:color="auto"/>
            <w:left w:val="none" w:sz="0" w:space="0" w:color="auto"/>
            <w:bottom w:val="none" w:sz="0" w:space="0" w:color="auto"/>
            <w:right w:val="none" w:sz="0" w:space="0" w:color="auto"/>
          </w:divBdr>
        </w:div>
        <w:div w:id="1515800891">
          <w:marLeft w:val="0"/>
          <w:marRight w:val="0"/>
          <w:marTop w:val="0"/>
          <w:marBottom w:val="0"/>
          <w:divBdr>
            <w:top w:val="none" w:sz="0" w:space="0" w:color="auto"/>
            <w:left w:val="none" w:sz="0" w:space="0" w:color="auto"/>
            <w:bottom w:val="none" w:sz="0" w:space="0" w:color="auto"/>
            <w:right w:val="none" w:sz="0" w:space="0" w:color="auto"/>
          </w:divBdr>
        </w:div>
        <w:div w:id="1515800901">
          <w:marLeft w:val="0"/>
          <w:marRight w:val="0"/>
          <w:marTop w:val="0"/>
          <w:marBottom w:val="0"/>
          <w:divBdr>
            <w:top w:val="none" w:sz="0" w:space="0" w:color="auto"/>
            <w:left w:val="none" w:sz="0" w:space="0" w:color="auto"/>
            <w:bottom w:val="none" w:sz="0" w:space="0" w:color="auto"/>
            <w:right w:val="none" w:sz="0" w:space="0" w:color="auto"/>
          </w:divBdr>
        </w:div>
        <w:div w:id="1515800910">
          <w:marLeft w:val="0"/>
          <w:marRight w:val="0"/>
          <w:marTop w:val="0"/>
          <w:marBottom w:val="0"/>
          <w:divBdr>
            <w:top w:val="none" w:sz="0" w:space="0" w:color="auto"/>
            <w:left w:val="none" w:sz="0" w:space="0" w:color="auto"/>
            <w:bottom w:val="none" w:sz="0" w:space="0" w:color="auto"/>
            <w:right w:val="none" w:sz="0" w:space="0" w:color="auto"/>
          </w:divBdr>
        </w:div>
        <w:div w:id="1515800921">
          <w:marLeft w:val="0"/>
          <w:marRight w:val="0"/>
          <w:marTop w:val="0"/>
          <w:marBottom w:val="0"/>
          <w:divBdr>
            <w:top w:val="none" w:sz="0" w:space="0" w:color="auto"/>
            <w:left w:val="none" w:sz="0" w:space="0" w:color="auto"/>
            <w:bottom w:val="none" w:sz="0" w:space="0" w:color="auto"/>
            <w:right w:val="none" w:sz="0" w:space="0" w:color="auto"/>
          </w:divBdr>
        </w:div>
        <w:div w:id="1515800928">
          <w:marLeft w:val="0"/>
          <w:marRight w:val="0"/>
          <w:marTop w:val="0"/>
          <w:marBottom w:val="0"/>
          <w:divBdr>
            <w:top w:val="none" w:sz="0" w:space="0" w:color="auto"/>
            <w:left w:val="none" w:sz="0" w:space="0" w:color="auto"/>
            <w:bottom w:val="none" w:sz="0" w:space="0" w:color="auto"/>
            <w:right w:val="none" w:sz="0" w:space="0" w:color="auto"/>
          </w:divBdr>
        </w:div>
        <w:div w:id="1515800929">
          <w:marLeft w:val="0"/>
          <w:marRight w:val="0"/>
          <w:marTop w:val="0"/>
          <w:marBottom w:val="0"/>
          <w:divBdr>
            <w:top w:val="none" w:sz="0" w:space="0" w:color="auto"/>
            <w:left w:val="none" w:sz="0" w:space="0" w:color="auto"/>
            <w:bottom w:val="none" w:sz="0" w:space="0" w:color="auto"/>
            <w:right w:val="none" w:sz="0" w:space="0" w:color="auto"/>
          </w:divBdr>
        </w:div>
        <w:div w:id="1515800955">
          <w:marLeft w:val="0"/>
          <w:marRight w:val="0"/>
          <w:marTop w:val="0"/>
          <w:marBottom w:val="0"/>
          <w:divBdr>
            <w:top w:val="none" w:sz="0" w:space="0" w:color="auto"/>
            <w:left w:val="none" w:sz="0" w:space="0" w:color="auto"/>
            <w:bottom w:val="none" w:sz="0" w:space="0" w:color="auto"/>
            <w:right w:val="none" w:sz="0" w:space="0" w:color="auto"/>
          </w:divBdr>
        </w:div>
      </w:divsChild>
    </w:div>
    <w:div w:id="1515800900">
      <w:marLeft w:val="0"/>
      <w:marRight w:val="0"/>
      <w:marTop w:val="0"/>
      <w:marBottom w:val="0"/>
      <w:divBdr>
        <w:top w:val="none" w:sz="0" w:space="0" w:color="auto"/>
        <w:left w:val="none" w:sz="0" w:space="0" w:color="auto"/>
        <w:bottom w:val="none" w:sz="0" w:space="0" w:color="auto"/>
        <w:right w:val="none" w:sz="0" w:space="0" w:color="auto"/>
      </w:divBdr>
      <w:divsChild>
        <w:div w:id="1515800792">
          <w:marLeft w:val="0"/>
          <w:marRight w:val="0"/>
          <w:marTop w:val="0"/>
          <w:marBottom w:val="0"/>
          <w:divBdr>
            <w:top w:val="none" w:sz="0" w:space="0" w:color="auto"/>
            <w:left w:val="none" w:sz="0" w:space="0" w:color="auto"/>
            <w:bottom w:val="none" w:sz="0" w:space="0" w:color="auto"/>
            <w:right w:val="none" w:sz="0" w:space="0" w:color="auto"/>
          </w:divBdr>
        </w:div>
        <w:div w:id="1515800795">
          <w:marLeft w:val="0"/>
          <w:marRight w:val="0"/>
          <w:marTop w:val="0"/>
          <w:marBottom w:val="0"/>
          <w:divBdr>
            <w:top w:val="none" w:sz="0" w:space="0" w:color="auto"/>
            <w:left w:val="none" w:sz="0" w:space="0" w:color="auto"/>
            <w:bottom w:val="none" w:sz="0" w:space="0" w:color="auto"/>
            <w:right w:val="none" w:sz="0" w:space="0" w:color="auto"/>
          </w:divBdr>
        </w:div>
        <w:div w:id="1515800796">
          <w:marLeft w:val="0"/>
          <w:marRight w:val="0"/>
          <w:marTop w:val="0"/>
          <w:marBottom w:val="0"/>
          <w:divBdr>
            <w:top w:val="none" w:sz="0" w:space="0" w:color="auto"/>
            <w:left w:val="none" w:sz="0" w:space="0" w:color="auto"/>
            <w:bottom w:val="none" w:sz="0" w:space="0" w:color="auto"/>
            <w:right w:val="none" w:sz="0" w:space="0" w:color="auto"/>
          </w:divBdr>
        </w:div>
        <w:div w:id="1515800805">
          <w:marLeft w:val="0"/>
          <w:marRight w:val="0"/>
          <w:marTop w:val="0"/>
          <w:marBottom w:val="0"/>
          <w:divBdr>
            <w:top w:val="none" w:sz="0" w:space="0" w:color="auto"/>
            <w:left w:val="none" w:sz="0" w:space="0" w:color="auto"/>
            <w:bottom w:val="none" w:sz="0" w:space="0" w:color="auto"/>
            <w:right w:val="none" w:sz="0" w:space="0" w:color="auto"/>
          </w:divBdr>
        </w:div>
        <w:div w:id="1515800818">
          <w:marLeft w:val="0"/>
          <w:marRight w:val="0"/>
          <w:marTop w:val="0"/>
          <w:marBottom w:val="0"/>
          <w:divBdr>
            <w:top w:val="none" w:sz="0" w:space="0" w:color="auto"/>
            <w:left w:val="none" w:sz="0" w:space="0" w:color="auto"/>
            <w:bottom w:val="none" w:sz="0" w:space="0" w:color="auto"/>
            <w:right w:val="none" w:sz="0" w:space="0" w:color="auto"/>
          </w:divBdr>
        </w:div>
        <w:div w:id="1515800831">
          <w:marLeft w:val="0"/>
          <w:marRight w:val="0"/>
          <w:marTop w:val="0"/>
          <w:marBottom w:val="0"/>
          <w:divBdr>
            <w:top w:val="none" w:sz="0" w:space="0" w:color="auto"/>
            <w:left w:val="none" w:sz="0" w:space="0" w:color="auto"/>
            <w:bottom w:val="none" w:sz="0" w:space="0" w:color="auto"/>
            <w:right w:val="none" w:sz="0" w:space="0" w:color="auto"/>
          </w:divBdr>
        </w:div>
        <w:div w:id="1515800832">
          <w:marLeft w:val="0"/>
          <w:marRight w:val="0"/>
          <w:marTop w:val="0"/>
          <w:marBottom w:val="0"/>
          <w:divBdr>
            <w:top w:val="none" w:sz="0" w:space="0" w:color="auto"/>
            <w:left w:val="none" w:sz="0" w:space="0" w:color="auto"/>
            <w:bottom w:val="none" w:sz="0" w:space="0" w:color="auto"/>
            <w:right w:val="none" w:sz="0" w:space="0" w:color="auto"/>
          </w:divBdr>
        </w:div>
        <w:div w:id="1515800836">
          <w:marLeft w:val="0"/>
          <w:marRight w:val="0"/>
          <w:marTop w:val="0"/>
          <w:marBottom w:val="0"/>
          <w:divBdr>
            <w:top w:val="none" w:sz="0" w:space="0" w:color="auto"/>
            <w:left w:val="none" w:sz="0" w:space="0" w:color="auto"/>
            <w:bottom w:val="none" w:sz="0" w:space="0" w:color="auto"/>
            <w:right w:val="none" w:sz="0" w:space="0" w:color="auto"/>
          </w:divBdr>
        </w:div>
        <w:div w:id="1515800838">
          <w:marLeft w:val="0"/>
          <w:marRight w:val="0"/>
          <w:marTop w:val="0"/>
          <w:marBottom w:val="0"/>
          <w:divBdr>
            <w:top w:val="none" w:sz="0" w:space="0" w:color="auto"/>
            <w:left w:val="none" w:sz="0" w:space="0" w:color="auto"/>
            <w:bottom w:val="none" w:sz="0" w:space="0" w:color="auto"/>
            <w:right w:val="none" w:sz="0" w:space="0" w:color="auto"/>
          </w:divBdr>
        </w:div>
        <w:div w:id="1515800843">
          <w:marLeft w:val="0"/>
          <w:marRight w:val="0"/>
          <w:marTop w:val="0"/>
          <w:marBottom w:val="0"/>
          <w:divBdr>
            <w:top w:val="none" w:sz="0" w:space="0" w:color="auto"/>
            <w:left w:val="none" w:sz="0" w:space="0" w:color="auto"/>
            <w:bottom w:val="none" w:sz="0" w:space="0" w:color="auto"/>
            <w:right w:val="none" w:sz="0" w:space="0" w:color="auto"/>
          </w:divBdr>
        </w:div>
        <w:div w:id="1515800855">
          <w:marLeft w:val="0"/>
          <w:marRight w:val="0"/>
          <w:marTop w:val="0"/>
          <w:marBottom w:val="0"/>
          <w:divBdr>
            <w:top w:val="none" w:sz="0" w:space="0" w:color="auto"/>
            <w:left w:val="none" w:sz="0" w:space="0" w:color="auto"/>
            <w:bottom w:val="none" w:sz="0" w:space="0" w:color="auto"/>
            <w:right w:val="none" w:sz="0" w:space="0" w:color="auto"/>
          </w:divBdr>
        </w:div>
        <w:div w:id="1515800871">
          <w:marLeft w:val="0"/>
          <w:marRight w:val="0"/>
          <w:marTop w:val="0"/>
          <w:marBottom w:val="0"/>
          <w:divBdr>
            <w:top w:val="none" w:sz="0" w:space="0" w:color="auto"/>
            <w:left w:val="none" w:sz="0" w:space="0" w:color="auto"/>
            <w:bottom w:val="none" w:sz="0" w:space="0" w:color="auto"/>
            <w:right w:val="none" w:sz="0" w:space="0" w:color="auto"/>
          </w:divBdr>
        </w:div>
        <w:div w:id="1515800876">
          <w:marLeft w:val="0"/>
          <w:marRight w:val="0"/>
          <w:marTop w:val="0"/>
          <w:marBottom w:val="0"/>
          <w:divBdr>
            <w:top w:val="none" w:sz="0" w:space="0" w:color="auto"/>
            <w:left w:val="none" w:sz="0" w:space="0" w:color="auto"/>
            <w:bottom w:val="none" w:sz="0" w:space="0" w:color="auto"/>
            <w:right w:val="none" w:sz="0" w:space="0" w:color="auto"/>
          </w:divBdr>
        </w:div>
        <w:div w:id="1515800883">
          <w:marLeft w:val="0"/>
          <w:marRight w:val="0"/>
          <w:marTop w:val="0"/>
          <w:marBottom w:val="0"/>
          <w:divBdr>
            <w:top w:val="none" w:sz="0" w:space="0" w:color="auto"/>
            <w:left w:val="none" w:sz="0" w:space="0" w:color="auto"/>
            <w:bottom w:val="none" w:sz="0" w:space="0" w:color="auto"/>
            <w:right w:val="none" w:sz="0" w:space="0" w:color="auto"/>
          </w:divBdr>
        </w:div>
        <w:div w:id="1515800885">
          <w:marLeft w:val="0"/>
          <w:marRight w:val="0"/>
          <w:marTop w:val="0"/>
          <w:marBottom w:val="0"/>
          <w:divBdr>
            <w:top w:val="none" w:sz="0" w:space="0" w:color="auto"/>
            <w:left w:val="none" w:sz="0" w:space="0" w:color="auto"/>
            <w:bottom w:val="none" w:sz="0" w:space="0" w:color="auto"/>
            <w:right w:val="none" w:sz="0" w:space="0" w:color="auto"/>
          </w:divBdr>
        </w:div>
        <w:div w:id="1515800893">
          <w:marLeft w:val="0"/>
          <w:marRight w:val="0"/>
          <w:marTop w:val="0"/>
          <w:marBottom w:val="0"/>
          <w:divBdr>
            <w:top w:val="none" w:sz="0" w:space="0" w:color="auto"/>
            <w:left w:val="none" w:sz="0" w:space="0" w:color="auto"/>
            <w:bottom w:val="none" w:sz="0" w:space="0" w:color="auto"/>
            <w:right w:val="none" w:sz="0" w:space="0" w:color="auto"/>
          </w:divBdr>
        </w:div>
        <w:div w:id="1515800899">
          <w:marLeft w:val="0"/>
          <w:marRight w:val="0"/>
          <w:marTop w:val="0"/>
          <w:marBottom w:val="0"/>
          <w:divBdr>
            <w:top w:val="none" w:sz="0" w:space="0" w:color="auto"/>
            <w:left w:val="none" w:sz="0" w:space="0" w:color="auto"/>
            <w:bottom w:val="none" w:sz="0" w:space="0" w:color="auto"/>
            <w:right w:val="none" w:sz="0" w:space="0" w:color="auto"/>
          </w:divBdr>
        </w:div>
        <w:div w:id="1515800902">
          <w:marLeft w:val="0"/>
          <w:marRight w:val="0"/>
          <w:marTop w:val="0"/>
          <w:marBottom w:val="0"/>
          <w:divBdr>
            <w:top w:val="none" w:sz="0" w:space="0" w:color="auto"/>
            <w:left w:val="none" w:sz="0" w:space="0" w:color="auto"/>
            <w:bottom w:val="none" w:sz="0" w:space="0" w:color="auto"/>
            <w:right w:val="none" w:sz="0" w:space="0" w:color="auto"/>
          </w:divBdr>
        </w:div>
        <w:div w:id="1515800908">
          <w:marLeft w:val="0"/>
          <w:marRight w:val="0"/>
          <w:marTop w:val="0"/>
          <w:marBottom w:val="0"/>
          <w:divBdr>
            <w:top w:val="none" w:sz="0" w:space="0" w:color="auto"/>
            <w:left w:val="none" w:sz="0" w:space="0" w:color="auto"/>
            <w:bottom w:val="none" w:sz="0" w:space="0" w:color="auto"/>
            <w:right w:val="none" w:sz="0" w:space="0" w:color="auto"/>
          </w:divBdr>
        </w:div>
        <w:div w:id="1515800919">
          <w:marLeft w:val="0"/>
          <w:marRight w:val="0"/>
          <w:marTop w:val="0"/>
          <w:marBottom w:val="0"/>
          <w:divBdr>
            <w:top w:val="none" w:sz="0" w:space="0" w:color="auto"/>
            <w:left w:val="none" w:sz="0" w:space="0" w:color="auto"/>
            <w:bottom w:val="none" w:sz="0" w:space="0" w:color="auto"/>
            <w:right w:val="none" w:sz="0" w:space="0" w:color="auto"/>
          </w:divBdr>
        </w:div>
        <w:div w:id="1515800927">
          <w:marLeft w:val="0"/>
          <w:marRight w:val="0"/>
          <w:marTop w:val="0"/>
          <w:marBottom w:val="0"/>
          <w:divBdr>
            <w:top w:val="none" w:sz="0" w:space="0" w:color="auto"/>
            <w:left w:val="none" w:sz="0" w:space="0" w:color="auto"/>
            <w:bottom w:val="none" w:sz="0" w:space="0" w:color="auto"/>
            <w:right w:val="none" w:sz="0" w:space="0" w:color="auto"/>
          </w:divBdr>
        </w:div>
        <w:div w:id="1515800937">
          <w:marLeft w:val="0"/>
          <w:marRight w:val="0"/>
          <w:marTop w:val="0"/>
          <w:marBottom w:val="0"/>
          <w:divBdr>
            <w:top w:val="none" w:sz="0" w:space="0" w:color="auto"/>
            <w:left w:val="none" w:sz="0" w:space="0" w:color="auto"/>
            <w:bottom w:val="none" w:sz="0" w:space="0" w:color="auto"/>
            <w:right w:val="none" w:sz="0" w:space="0" w:color="auto"/>
          </w:divBdr>
        </w:div>
        <w:div w:id="1515800942">
          <w:marLeft w:val="0"/>
          <w:marRight w:val="0"/>
          <w:marTop w:val="0"/>
          <w:marBottom w:val="0"/>
          <w:divBdr>
            <w:top w:val="none" w:sz="0" w:space="0" w:color="auto"/>
            <w:left w:val="none" w:sz="0" w:space="0" w:color="auto"/>
            <w:bottom w:val="none" w:sz="0" w:space="0" w:color="auto"/>
            <w:right w:val="none" w:sz="0" w:space="0" w:color="auto"/>
          </w:divBdr>
        </w:div>
        <w:div w:id="1515800945">
          <w:marLeft w:val="0"/>
          <w:marRight w:val="0"/>
          <w:marTop w:val="0"/>
          <w:marBottom w:val="0"/>
          <w:divBdr>
            <w:top w:val="none" w:sz="0" w:space="0" w:color="auto"/>
            <w:left w:val="none" w:sz="0" w:space="0" w:color="auto"/>
            <w:bottom w:val="none" w:sz="0" w:space="0" w:color="auto"/>
            <w:right w:val="none" w:sz="0" w:space="0" w:color="auto"/>
          </w:divBdr>
        </w:div>
        <w:div w:id="1515800949">
          <w:marLeft w:val="0"/>
          <w:marRight w:val="0"/>
          <w:marTop w:val="0"/>
          <w:marBottom w:val="0"/>
          <w:divBdr>
            <w:top w:val="none" w:sz="0" w:space="0" w:color="auto"/>
            <w:left w:val="none" w:sz="0" w:space="0" w:color="auto"/>
            <w:bottom w:val="none" w:sz="0" w:space="0" w:color="auto"/>
            <w:right w:val="none" w:sz="0" w:space="0" w:color="auto"/>
          </w:divBdr>
        </w:div>
      </w:divsChild>
    </w:div>
    <w:div w:id="1515800922">
      <w:marLeft w:val="0"/>
      <w:marRight w:val="0"/>
      <w:marTop w:val="0"/>
      <w:marBottom w:val="0"/>
      <w:divBdr>
        <w:top w:val="none" w:sz="0" w:space="0" w:color="auto"/>
        <w:left w:val="none" w:sz="0" w:space="0" w:color="auto"/>
        <w:bottom w:val="none" w:sz="0" w:space="0" w:color="auto"/>
        <w:right w:val="none" w:sz="0" w:space="0" w:color="auto"/>
      </w:divBdr>
      <w:divsChild>
        <w:div w:id="1515800797">
          <w:marLeft w:val="0"/>
          <w:marRight w:val="0"/>
          <w:marTop w:val="0"/>
          <w:marBottom w:val="0"/>
          <w:divBdr>
            <w:top w:val="none" w:sz="0" w:space="0" w:color="auto"/>
            <w:left w:val="none" w:sz="0" w:space="0" w:color="auto"/>
            <w:bottom w:val="none" w:sz="0" w:space="0" w:color="auto"/>
            <w:right w:val="none" w:sz="0" w:space="0" w:color="auto"/>
          </w:divBdr>
          <w:divsChild>
            <w:div w:id="1515800824">
              <w:marLeft w:val="0"/>
              <w:marRight w:val="0"/>
              <w:marTop w:val="0"/>
              <w:marBottom w:val="0"/>
              <w:divBdr>
                <w:top w:val="none" w:sz="0" w:space="0" w:color="auto"/>
                <w:left w:val="none" w:sz="0" w:space="0" w:color="auto"/>
                <w:bottom w:val="none" w:sz="0" w:space="0" w:color="auto"/>
                <w:right w:val="none" w:sz="0" w:space="0" w:color="auto"/>
              </w:divBdr>
              <w:divsChild>
                <w:div w:id="1515800880">
                  <w:marLeft w:val="0"/>
                  <w:marRight w:val="0"/>
                  <w:marTop w:val="0"/>
                  <w:marBottom w:val="0"/>
                  <w:divBdr>
                    <w:top w:val="none" w:sz="0" w:space="0" w:color="auto"/>
                    <w:left w:val="none" w:sz="0" w:space="0" w:color="auto"/>
                    <w:bottom w:val="none" w:sz="0" w:space="0" w:color="auto"/>
                    <w:right w:val="none" w:sz="0" w:space="0" w:color="auto"/>
                  </w:divBdr>
                  <w:divsChild>
                    <w:div w:id="1515800816">
                      <w:marLeft w:val="0"/>
                      <w:marRight w:val="0"/>
                      <w:marTop w:val="0"/>
                      <w:marBottom w:val="0"/>
                      <w:divBdr>
                        <w:top w:val="none" w:sz="0" w:space="0" w:color="auto"/>
                        <w:left w:val="none" w:sz="0" w:space="0" w:color="auto"/>
                        <w:bottom w:val="none" w:sz="0" w:space="0" w:color="auto"/>
                        <w:right w:val="none" w:sz="0" w:space="0" w:color="auto"/>
                      </w:divBdr>
                      <w:divsChild>
                        <w:div w:id="1515800830">
                          <w:marLeft w:val="0"/>
                          <w:marRight w:val="0"/>
                          <w:marTop w:val="0"/>
                          <w:marBottom w:val="0"/>
                          <w:divBdr>
                            <w:top w:val="none" w:sz="0" w:space="0" w:color="auto"/>
                            <w:left w:val="none" w:sz="0" w:space="0" w:color="auto"/>
                            <w:bottom w:val="none" w:sz="0" w:space="0" w:color="auto"/>
                            <w:right w:val="none" w:sz="0" w:space="0" w:color="auto"/>
                          </w:divBdr>
                        </w:div>
                      </w:divsChild>
                    </w:div>
                    <w:div w:id="1515800886">
                      <w:marLeft w:val="0"/>
                      <w:marRight w:val="0"/>
                      <w:marTop w:val="0"/>
                      <w:marBottom w:val="0"/>
                      <w:divBdr>
                        <w:top w:val="none" w:sz="0" w:space="0" w:color="auto"/>
                        <w:left w:val="none" w:sz="0" w:space="0" w:color="auto"/>
                        <w:bottom w:val="none" w:sz="0" w:space="0" w:color="auto"/>
                        <w:right w:val="none" w:sz="0" w:space="0" w:color="auto"/>
                      </w:divBdr>
                      <w:divsChild>
                        <w:div w:id="1515800793">
                          <w:marLeft w:val="0"/>
                          <w:marRight w:val="0"/>
                          <w:marTop w:val="0"/>
                          <w:marBottom w:val="0"/>
                          <w:divBdr>
                            <w:top w:val="none" w:sz="0" w:space="0" w:color="auto"/>
                            <w:left w:val="none" w:sz="0" w:space="0" w:color="auto"/>
                            <w:bottom w:val="none" w:sz="0" w:space="0" w:color="auto"/>
                            <w:right w:val="none" w:sz="0" w:space="0" w:color="auto"/>
                          </w:divBdr>
                          <w:divsChild>
                            <w:div w:id="151580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800825">
              <w:marLeft w:val="0"/>
              <w:marRight w:val="0"/>
              <w:marTop w:val="0"/>
              <w:marBottom w:val="0"/>
              <w:divBdr>
                <w:top w:val="none" w:sz="0" w:space="0" w:color="auto"/>
                <w:left w:val="none" w:sz="0" w:space="0" w:color="auto"/>
                <w:bottom w:val="none" w:sz="0" w:space="0" w:color="auto"/>
                <w:right w:val="none" w:sz="0" w:space="0" w:color="auto"/>
              </w:divBdr>
              <w:divsChild>
                <w:div w:id="1515800946">
                  <w:marLeft w:val="0"/>
                  <w:marRight w:val="0"/>
                  <w:marTop w:val="0"/>
                  <w:marBottom w:val="0"/>
                  <w:divBdr>
                    <w:top w:val="none" w:sz="0" w:space="0" w:color="auto"/>
                    <w:left w:val="none" w:sz="0" w:space="0" w:color="auto"/>
                    <w:bottom w:val="none" w:sz="0" w:space="0" w:color="auto"/>
                    <w:right w:val="none" w:sz="0" w:space="0" w:color="auto"/>
                  </w:divBdr>
                  <w:divsChild>
                    <w:div w:id="1515800809">
                      <w:marLeft w:val="0"/>
                      <w:marRight w:val="0"/>
                      <w:marTop w:val="0"/>
                      <w:marBottom w:val="0"/>
                      <w:divBdr>
                        <w:top w:val="none" w:sz="0" w:space="0" w:color="auto"/>
                        <w:left w:val="none" w:sz="0" w:space="0" w:color="auto"/>
                        <w:bottom w:val="none" w:sz="0" w:space="0" w:color="auto"/>
                        <w:right w:val="none" w:sz="0" w:space="0" w:color="auto"/>
                      </w:divBdr>
                    </w:div>
                    <w:div w:id="151580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0799">
          <w:marLeft w:val="0"/>
          <w:marRight w:val="0"/>
          <w:marTop w:val="0"/>
          <w:marBottom w:val="0"/>
          <w:divBdr>
            <w:top w:val="none" w:sz="0" w:space="0" w:color="auto"/>
            <w:left w:val="none" w:sz="0" w:space="0" w:color="auto"/>
            <w:bottom w:val="none" w:sz="0" w:space="0" w:color="auto"/>
            <w:right w:val="none" w:sz="0" w:space="0" w:color="auto"/>
          </w:divBdr>
          <w:divsChild>
            <w:div w:id="1515800842">
              <w:marLeft w:val="0"/>
              <w:marRight w:val="0"/>
              <w:marTop w:val="0"/>
              <w:marBottom w:val="0"/>
              <w:divBdr>
                <w:top w:val="none" w:sz="0" w:space="0" w:color="auto"/>
                <w:left w:val="none" w:sz="0" w:space="0" w:color="auto"/>
                <w:bottom w:val="none" w:sz="0" w:space="0" w:color="auto"/>
                <w:right w:val="none" w:sz="0" w:space="0" w:color="auto"/>
              </w:divBdr>
            </w:div>
            <w:div w:id="1515800856">
              <w:marLeft w:val="0"/>
              <w:marRight w:val="0"/>
              <w:marTop w:val="0"/>
              <w:marBottom w:val="0"/>
              <w:divBdr>
                <w:top w:val="none" w:sz="0" w:space="0" w:color="auto"/>
                <w:left w:val="none" w:sz="0" w:space="0" w:color="auto"/>
                <w:bottom w:val="none" w:sz="0" w:space="0" w:color="auto"/>
                <w:right w:val="none" w:sz="0" w:space="0" w:color="auto"/>
              </w:divBdr>
            </w:div>
            <w:div w:id="1515800897">
              <w:marLeft w:val="0"/>
              <w:marRight w:val="0"/>
              <w:marTop w:val="0"/>
              <w:marBottom w:val="0"/>
              <w:divBdr>
                <w:top w:val="none" w:sz="0" w:space="0" w:color="auto"/>
                <w:left w:val="none" w:sz="0" w:space="0" w:color="auto"/>
                <w:bottom w:val="none" w:sz="0" w:space="0" w:color="auto"/>
                <w:right w:val="none" w:sz="0" w:space="0" w:color="auto"/>
              </w:divBdr>
            </w:div>
          </w:divsChild>
        </w:div>
        <w:div w:id="1515800815">
          <w:marLeft w:val="0"/>
          <w:marRight w:val="0"/>
          <w:marTop w:val="0"/>
          <w:marBottom w:val="0"/>
          <w:divBdr>
            <w:top w:val="none" w:sz="0" w:space="0" w:color="auto"/>
            <w:left w:val="none" w:sz="0" w:space="0" w:color="auto"/>
            <w:bottom w:val="none" w:sz="0" w:space="0" w:color="auto"/>
            <w:right w:val="none" w:sz="0" w:space="0" w:color="auto"/>
          </w:divBdr>
        </w:div>
        <w:div w:id="1515800837">
          <w:marLeft w:val="0"/>
          <w:marRight w:val="0"/>
          <w:marTop w:val="0"/>
          <w:marBottom w:val="0"/>
          <w:divBdr>
            <w:top w:val="none" w:sz="0" w:space="0" w:color="auto"/>
            <w:left w:val="none" w:sz="0" w:space="0" w:color="auto"/>
            <w:bottom w:val="none" w:sz="0" w:space="0" w:color="auto"/>
            <w:right w:val="none" w:sz="0" w:space="0" w:color="auto"/>
          </w:divBdr>
        </w:div>
        <w:div w:id="1515800840">
          <w:marLeft w:val="0"/>
          <w:marRight w:val="0"/>
          <w:marTop w:val="0"/>
          <w:marBottom w:val="0"/>
          <w:divBdr>
            <w:top w:val="none" w:sz="0" w:space="0" w:color="auto"/>
            <w:left w:val="none" w:sz="0" w:space="0" w:color="auto"/>
            <w:bottom w:val="none" w:sz="0" w:space="0" w:color="auto"/>
            <w:right w:val="none" w:sz="0" w:space="0" w:color="auto"/>
          </w:divBdr>
          <w:divsChild>
            <w:div w:id="1515800829">
              <w:marLeft w:val="0"/>
              <w:marRight w:val="0"/>
              <w:marTop w:val="0"/>
              <w:marBottom w:val="0"/>
              <w:divBdr>
                <w:top w:val="none" w:sz="0" w:space="0" w:color="auto"/>
                <w:left w:val="none" w:sz="0" w:space="0" w:color="auto"/>
                <w:bottom w:val="none" w:sz="0" w:space="0" w:color="auto"/>
                <w:right w:val="none" w:sz="0" w:space="0" w:color="auto"/>
              </w:divBdr>
            </w:div>
            <w:div w:id="1515800848">
              <w:marLeft w:val="0"/>
              <w:marRight w:val="0"/>
              <w:marTop w:val="0"/>
              <w:marBottom w:val="0"/>
              <w:divBdr>
                <w:top w:val="none" w:sz="0" w:space="0" w:color="auto"/>
                <w:left w:val="none" w:sz="0" w:space="0" w:color="auto"/>
                <w:bottom w:val="none" w:sz="0" w:space="0" w:color="auto"/>
                <w:right w:val="none" w:sz="0" w:space="0" w:color="auto"/>
              </w:divBdr>
            </w:div>
            <w:div w:id="1515800850">
              <w:marLeft w:val="0"/>
              <w:marRight w:val="0"/>
              <w:marTop w:val="0"/>
              <w:marBottom w:val="0"/>
              <w:divBdr>
                <w:top w:val="none" w:sz="0" w:space="0" w:color="auto"/>
                <w:left w:val="none" w:sz="0" w:space="0" w:color="auto"/>
                <w:bottom w:val="none" w:sz="0" w:space="0" w:color="auto"/>
                <w:right w:val="none" w:sz="0" w:space="0" w:color="auto"/>
              </w:divBdr>
            </w:div>
            <w:div w:id="1515800872">
              <w:marLeft w:val="0"/>
              <w:marRight w:val="0"/>
              <w:marTop w:val="0"/>
              <w:marBottom w:val="0"/>
              <w:divBdr>
                <w:top w:val="none" w:sz="0" w:space="0" w:color="auto"/>
                <w:left w:val="none" w:sz="0" w:space="0" w:color="auto"/>
                <w:bottom w:val="none" w:sz="0" w:space="0" w:color="auto"/>
                <w:right w:val="none" w:sz="0" w:space="0" w:color="auto"/>
              </w:divBdr>
            </w:div>
            <w:div w:id="1515800898">
              <w:marLeft w:val="0"/>
              <w:marRight w:val="0"/>
              <w:marTop w:val="0"/>
              <w:marBottom w:val="0"/>
              <w:divBdr>
                <w:top w:val="none" w:sz="0" w:space="0" w:color="auto"/>
                <w:left w:val="none" w:sz="0" w:space="0" w:color="auto"/>
                <w:bottom w:val="none" w:sz="0" w:space="0" w:color="auto"/>
                <w:right w:val="none" w:sz="0" w:space="0" w:color="auto"/>
              </w:divBdr>
            </w:div>
            <w:div w:id="1515800907">
              <w:marLeft w:val="0"/>
              <w:marRight w:val="0"/>
              <w:marTop w:val="0"/>
              <w:marBottom w:val="0"/>
              <w:divBdr>
                <w:top w:val="none" w:sz="0" w:space="0" w:color="auto"/>
                <w:left w:val="none" w:sz="0" w:space="0" w:color="auto"/>
                <w:bottom w:val="none" w:sz="0" w:space="0" w:color="auto"/>
                <w:right w:val="none" w:sz="0" w:space="0" w:color="auto"/>
              </w:divBdr>
            </w:div>
            <w:div w:id="1515800940">
              <w:marLeft w:val="0"/>
              <w:marRight w:val="0"/>
              <w:marTop w:val="0"/>
              <w:marBottom w:val="0"/>
              <w:divBdr>
                <w:top w:val="none" w:sz="0" w:space="0" w:color="auto"/>
                <w:left w:val="none" w:sz="0" w:space="0" w:color="auto"/>
                <w:bottom w:val="none" w:sz="0" w:space="0" w:color="auto"/>
                <w:right w:val="none" w:sz="0" w:space="0" w:color="auto"/>
              </w:divBdr>
            </w:div>
          </w:divsChild>
        </w:div>
        <w:div w:id="1515800844">
          <w:marLeft w:val="0"/>
          <w:marRight w:val="0"/>
          <w:marTop w:val="0"/>
          <w:marBottom w:val="0"/>
          <w:divBdr>
            <w:top w:val="none" w:sz="0" w:space="0" w:color="auto"/>
            <w:left w:val="none" w:sz="0" w:space="0" w:color="auto"/>
            <w:bottom w:val="none" w:sz="0" w:space="0" w:color="auto"/>
            <w:right w:val="none" w:sz="0" w:space="0" w:color="auto"/>
          </w:divBdr>
        </w:div>
        <w:div w:id="1515800845">
          <w:marLeft w:val="0"/>
          <w:marRight w:val="0"/>
          <w:marTop w:val="0"/>
          <w:marBottom w:val="0"/>
          <w:divBdr>
            <w:top w:val="none" w:sz="0" w:space="0" w:color="auto"/>
            <w:left w:val="none" w:sz="0" w:space="0" w:color="auto"/>
            <w:bottom w:val="none" w:sz="0" w:space="0" w:color="auto"/>
            <w:right w:val="none" w:sz="0" w:space="0" w:color="auto"/>
          </w:divBdr>
          <w:divsChild>
            <w:div w:id="1515800804">
              <w:marLeft w:val="0"/>
              <w:marRight w:val="0"/>
              <w:marTop w:val="0"/>
              <w:marBottom w:val="0"/>
              <w:divBdr>
                <w:top w:val="none" w:sz="0" w:space="0" w:color="auto"/>
                <w:left w:val="none" w:sz="0" w:space="0" w:color="auto"/>
                <w:bottom w:val="none" w:sz="0" w:space="0" w:color="auto"/>
                <w:right w:val="none" w:sz="0" w:space="0" w:color="auto"/>
              </w:divBdr>
            </w:div>
          </w:divsChild>
        </w:div>
        <w:div w:id="1515800846">
          <w:marLeft w:val="0"/>
          <w:marRight w:val="0"/>
          <w:marTop w:val="0"/>
          <w:marBottom w:val="0"/>
          <w:divBdr>
            <w:top w:val="none" w:sz="0" w:space="0" w:color="auto"/>
            <w:left w:val="none" w:sz="0" w:space="0" w:color="auto"/>
            <w:bottom w:val="none" w:sz="0" w:space="0" w:color="auto"/>
            <w:right w:val="none" w:sz="0" w:space="0" w:color="auto"/>
          </w:divBdr>
          <w:divsChild>
            <w:div w:id="1515800858">
              <w:marLeft w:val="0"/>
              <w:marRight w:val="0"/>
              <w:marTop w:val="0"/>
              <w:marBottom w:val="0"/>
              <w:divBdr>
                <w:top w:val="none" w:sz="0" w:space="0" w:color="auto"/>
                <w:left w:val="none" w:sz="0" w:space="0" w:color="auto"/>
                <w:bottom w:val="none" w:sz="0" w:space="0" w:color="auto"/>
                <w:right w:val="none" w:sz="0" w:space="0" w:color="auto"/>
              </w:divBdr>
            </w:div>
            <w:div w:id="1515800873">
              <w:marLeft w:val="0"/>
              <w:marRight w:val="0"/>
              <w:marTop w:val="0"/>
              <w:marBottom w:val="0"/>
              <w:divBdr>
                <w:top w:val="none" w:sz="0" w:space="0" w:color="auto"/>
                <w:left w:val="none" w:sz="0" w:space="0" w:color="auto"/>
                <w:bottom w:val="none" w:sz="0" w:space="0" w:color="auto"/>
                <w:right w:val="none" w:sz="0" w:space="0" w:color="auto"/>
              </w:divBdr>
            </w:div>
          </w:divsChild>
        </w:div>
        <w:div w:id="1515800849">
          <w:marLeft w:val="0"/>
          <w:marRight w:val="0"/>
          <w:marTop w:val="0"/>
          <w:marBottom w:val="0"/>
          <w:divBdr>
            <w:top w:val="none" w:sz="0" w:space="0" w:color="auto"/>
            <w:left w:val="none" w:sz="0" w:space="0" w:color="auto"/>
            <w:bottom w:val="none" w:sz="0" w:space="0" w:color="auto"/>
            <w:right w:val="none" w:sz="0" w:space="0" w:color="auto"/>
          </w:divBdr>
        </w:div>
        <w:div w:id="1515800866">
          <w:marLeft w:val="0"/>
          <w:marRight w:val="0"/>
          <w:marTop w:val="0"/>
          <w:marBottom w:val="0"/>
          <w:divBdr>
            <w:top w:val="none" w:sz="0" w:space="0" w:color="auto"/>
            <w:left w:val="none" w:sz="0" w:space="0" w:color="auto"/>
            <w:bottom w:val="none" w:sz="0" w:space="0" w:color="auto"/>
            <w:right w:val="none" w:sz="0" w:space="0" w:color="auto"/>
          </w:divBdr>
          <w:divsChild>
            <w:div w:id="1515800887">
              <w:marLeft w:val="0"/>
              <w:marRight w:val="0"/>
              <w:marTop w:val="0"/>
              <w:marBottom w:val="0"/>
              <w:divBdr>
                <w:top w:val="none" w:sz="0" w:space="0" w:color="auto"/>
                <w:left w:val="none" w:sz="0" w:space="0" w:color="auto"/>
                <w:bottom w:val="none" w:sz="0" w:space="0" w:color="auto"/>
                <w:right w:val="none" w:sz="0" w:space="0" w:color="auto"/>
              </w:divBdr>
            </w:div>
            <w:div w:id="1515800939">
              <w:marLeft w:val="0"/>
              <w:marRight w:val="0"/>
              <w:marTop w:val="0"/>
              <w:marBottom w:val="0"/>
              <w:divBdr>
                <w:top w:val="none" w:sz="0" w:space="0" w:color="auto"/>
                <w:left w:val="none" w:sz="0" w:space="0" w:color="auto"/>
                <w:bottom w:val="none" w:sz="0" w:space="0" w:color="auto"/>
                <w:right w:val="none" w:sz="0" w:space="0" w:color="auto"/>
              </w:divBdr>
            </w:div>
          </w:divsChild>
        </w:div>
        <w:div w:id="1515800896">
          <w:marLeft w:val="0"/>
          <w:marRight w:val="0"/>
          <w:marTop w:val="0"/>
          <w:marBottom w:val="0"/>
          <w:divBdr>
            <w:top w:val="none" w:sz="0" w:space="0" w:color="auto"/>
            <w:left w:val="none" w:sz="0" w:space="0" w:color="auto"/>
            <w:bottom w:val="none" w:sz="0" w:space="0" w:color="auto"/>
            <w:right w:val="none" w:sz="0" w:space="0" w:color="auto"/>
          </w:divBdr>
          <w:divsChild>
            <w:div w:id="1515800890">
              <w:marLeft w:val="0"/>
              <w:marRight w:val="0"/>
              <w:marTop w:val="0"/>
              <w:marBottom w:val="0"/>
              <w:divBdr>
                <w:top w:val="none" w:sz="0" w:space="0" w:color="auto"/>
                <w:left w:val="none" w:sz="0" w:space="0" w:color="auto"/>
                <w:bottom w:val="none" w:sz="0" w:space="0" w:color="auto"/>
                <w:right w:val="none" w:sz="0" w:space="0" w:color="auto"/>
              </w:divBdr>
            </w:div>
            <w:div w:id="1515800895">
              <w:marLeft w:val="0"/>
              <w:marRight w:val="0"/>
              <w:marTop w:val="0"/>
              <w:marBottom w:val="0"/>
              <w:divBdr>
                <w:top w:val="none" w:sz="0" w:space="0" w:color="auto"/>
                <w:left w:val="none" w:sz="0" w:space="0" w:color="auto"/>
                <w:bottom w:val="none" w:sz="0" w:space="0" w:color="auto"/>
                <w:right w:val="none" w:sz="0" w:space="0" w:color="auto"/>
              </w:divBdr>
            </w:div>
            <w:div w:id="1515800920">
              <w:marLeft w:val="0"/>
              <w:marRight w:val="0"/>
              <w:marTop w:val="0"/>
              <w:marBottom w:val="0"/>
              <w:divBdr>
                <w:top w:val="none" w:sz="0" w:space="0" w:color="auto"/>
                <w:left w:val="none" w:sz="0" w:space="0" w:color="auto"/>
                <w:bottom w:val="none" w:sz="0" w:space="0" w:color="auto"/>
                <w:right w:val="none" w:sz="0" w:space="0" w:color="auto"/>
              </w:divBdr>
            </w:div>
          </w:divsChild>
        </w:div>
        <w:div w:id="1515800911">
          <w:marLeft w:val="0"/>
          <w:marRight w:val="0"/>
          <w:marTop w:val="0"/>
          <w:marBottom w:val="0"/>
          <w:divBdr>
            <w:top w:val="none" w:sz="0" w:space="0" w:color="auto"/>
            <w:left w:val="none" w:sz="0" w:space="0" w:color="auto"/>
            <w:bottom w:val="none" w:sz="0" w:space="0" w:color="auto"/>
            <w:right w:val="none" w:sz="0" w:space="0" w:color="auto"/>
          </w:divBdr>
          <w:divsChild>
            <w:div w:id="1515800822">
              <w:marLeft w:val="0"/>
              <w:marRight w:val="0"/>
              <w:marTop w:val="0"/>
              <w:marBottom w:val="0"/>
              <w:divBdr>
                <w:top w:val="none" w:sz="0" w:space="0" w:color="auto"/>
                <w:left w:val="none" w:sz="0" w:space="0" w:color="auto"/>
                <w:bottom w:val="none" w:sz="0" w:space="0" w:color="auto"/>
                <w:right w:val="none" w:sz="0" w:space="0" w:color="auto"/>
              </w:divBdr>
            </w:div>
            <w:div w:id="1515800854">
              <w:marLeft w:val="0"/>
              <w:marRight w:val="0"/>
              <w:marTop w:val="0"/>
              <w:marBottom w:val="0"/>
              <w:divBdr>
                <w:top w:val="none" w:sz="0" w:space="0" w:color="auto"/>
                <w:left w:val="none" w:sz="0" w:space="0" w:color="auto"/>
                <w:bottom w:val="none" w:sz="0" w:space="0" w:color="auto"/>
                <w:right w:val="none" w:sz="0" w:space="0" w:color="auto"/>
              </w:divBdr>
            </w:div>
            <w:div w:id="1515800857">
              <w:marLeft w:val="0"/>
              <w:marRight w:val="0"/>
              <w:marTop w:val="0"/>
              <w:marBottom w:val="0"/>
              <w:divBdr>
                <w:top w:val="none" w:sz="0" w:space="0" w:color="auto"/>
                <w:left w:val="none" w:sz="0" w:space="0" w:color="auto"/>
                <w:bottom w:val="none" w:sz="0" w:space="0" w:color="auto"/>
                <w:right w:val="none" w:sz="0" w:space="0" w:color="auto"/>
              </w:divBdr>
            </w:div>
            <w:div w:id="1515800879">
              <w:marLeft w:val="0"/>
              <w:marRight w:val="0"/>
              <w:marTop w:val="0"/>
              <w:marBottom w:val="0"/>
              <w:divBdr>
                <w:top w:val="none" w:sz="0" w:space="0" w:color="auto"/>
                <w:left w:val="none" w:sz="0" w:space="0" w:color="auto"/>
                <w:bottom w:val="none" w:sz="0" w:space="0" w:color="auto"/>
                <w:right w:val="none" w:sz="0" w:space="0" w:color="auto"/>
              </w:divBdr>
            </w:div>
          </w:divsChild>
        </w:div>
        <w:div w:id="1515800914">
          <w:marLeft w:val="0"/>
          <w:marRight w:val="0"/>
          <w:marTop w:val="0"/>
          <w:marBottom w:val="0"/>
          <w:divBdr>
            <w:top w:val="none" w:sz="0" w:space="0" w:color="auto"/>
            <w:left w:val="none" w:sz="0" w:space="0" w:color="auto"/>
            <w:bottom w:val="none" w:sz="0" w:space="0" w:color="auto"/>
            <w:right w:val="none" w:sz="0" w:space="0" w:color="auto"/>
          </w:divBdr>
        </w:div>
        <w:div w:id="1515800916">
          <w:marLeft w:val="0"/>
          <w:marRight w:val="0"/>
          <w:marTop w:val="0"/>
          <w:marBottom w:val="0"/>
          <w:divBdr>
            <w:top w:val="none" w:sz="0" w:space="0" w:color="auto"/>
            <w:left w:val="none" w:sz="0" w:space="0" w:color="auto"/>
            <w:bottom w:val="none" w:sz="0" w:space="0" w:color="auto"/>
            <w:right w:val="none" w:sz="0" w:space="0" w:color="auto"/>
          </w:divBdr>
          <w:divsChild>
            <w:div w:id="1515800798">
              <w:marLeft w:val="0"/>
              <w:marRight w:val="0"/>
              <w:marTop w:val="0"/>
              <w:marBottom w:val="0"/>
              <w:divBdr>
                <w:top w:val="none" w:sz="0" w:space="0" w:color="auto"/>
                <w:left w:val="none" w:sz="0" w:space="0" w:color="auto"/>
                <w:bottom w:val="none" w:sz="0" w:space="0" w:color="auto"/>
                <w:right w:val="none" w:sz="0" w:space="0" w:color="auto"/>
              </w:divBdr>
            </w:div>
            <w:div w:id="1515800823">
              <w:marLeft w:val="0"/>
              <w:marRight w:val="0"/>
              <w:marTop w:val="0"/>
              <w:marBottom w:val="0"/>
              <w:divBdr>
                <w:top w:val="none" w:sz="0" w:space="0" w:color="auto"/>
                <w:left w:val="none" w:sz="0" w:space="0" w:color="auto"/>
                <w:bottom w:val="none" w:sz="0" w:space="0" w:color="auto"/>
                <w:right w:val="none" w:sz="0" w:space="0" w:color="auto"/>
              </w:divBdr>
            </w:div>
            <w:div w:id="1515800839">
              <w:marLeft w:val="0"/>
              <w:marRight w:val="0"/>
              <w:marTop w:val="0"/>
              <w:marBottom w:val="0"/>
              <w:divBdr>
                <w:top w:val="none" w:sz="0" w:space="0" w:color="auto"/>
                <w:left w:val="none" w:sz="0" w:space="0" w:color="auto"/>
                <w:bottom w:val="none" w:sz="0" w:space="0" w:color="auto"/>
                <w:right w:val="none" w:sz="0" w:space="0" w:color="auto"/>
              </w:divBdr>
            </w:div>
            <w:div w:id="1515800906">
              <w:marLeft w:val="0"/>
              <w:marRight w:val="0"/>
              <w:marTop w:val="0"/>
              <w:marBottom w:val="0"/>
              <w:divBdr>
                <w:top w:val="none" w:sz="0" w:space="0" w:color="auto"/>
                <w:left w:val="none" w:sz="0" w:space="0" w:color="auto"/>
                <w:bottom w:val="none" w:sz="0" w:space="0" w:color="auto"/>
                <w:right w:val="none" w:sz="0" w:space="0" w:color="auto"/>
              </w:divBdr>
            </w:div>
          </w:divsChild>
        </w:div>
        <w:div w:id="1515800917">
          <w:marLeft w:val="0"/>
          <w:marRight w:val="0"/>
          <w:marTop w:val="0"/>
          <w:marBottom w:val="0"/>
          <w:divBdr>
            <w:top w:val="none" w:sz="0" w:space="0" w:color="auto"/>
            <w:left w:val="none" w:sz="0" w:space="0" w:color="auto"/>
            <w:bottom w:val="none" w:sz="0" w:space="0" w:color="auto"/>
            <w:right w:val="none" w:sz="0" w:space="0" w:color="auto"/>
          </w:divBdr>
          <w:divsChild>
            <w:div w:id="1515800802">
              <w:marLeft w:val="0"/>
              <w:marRight w:val="0"/>
              <w:marTop w:val="0"/>
              <w:marBottom w:val="0"/>
              <w:divBdr>
                <w:top w:val="none" w:sz="0" w:space="0" w:color="auto"/>
                <w:left w:val="none" w:sz="0" w:space="0" w:color="auto"/>
                <w:bottom w:val="none" w:sz="0" w:space="0" w:color="auto"/>
                <w:right w:val="none" w:sz="0" w:space="0" w:color="auto"/>
              </w:divBdr>
            </w:div>
            <w:div w:id="1515800868">
              <w:marLeft w:val="0"/>
              <w:marRight w:val="0"/>
              <w:marTop w:val="0"/>
              <w:marBottom w:val="0"/>
              <w:divBdr>
                <w:top w:val="none" w:sz="0" w:space="0" w:color="auto"/>
                <w:left w:val="none" w:sz="0" w:space="0" w:color="auto"/>
                <w:bottom w:val="none" w:sz="0" w:space="0" w:color="auto"/>
                <w:right w:val="none" w:sz="0" w:space="0" w:color="auto"/>
              </w:divBdr>
            </w:div>
            <w:div w:id="1515800894">
              <w:marLeft w:val="0"/>
              <w:marRight w:val="0"/>
              <w:marTop w:val="0"/>
              <w:marBottom w:val="0"/>
              <w:divBdr>
                <w:top w:val="none" w:sz="0" w:space="0" w:color="auto"/>
                <w:left w:val="none" w:sz="0" w:space="0" w:color="auto"/>
                <w:bottom w:val="none" w:sz="0" w:space="0" w:color="auto"/>
                <w:right w:val="none" w:sz="0" w:space="0" w:color="auto"/>
              </w:divBdr>
            </w:div>
            <w:div w:id="1515800933">
              <w:marLeft w:val="0"/>
              <w:marRight w:val="0"/>
              <w:marTop w:val="0"/>
              <w:marBottom w:val="0"/>
              <w:divBdr>
                <w:top w:val="none" w:sz="0" w:space="0" w:color="auto"/>
                <w:left w:val="none" w:sz="0" w:space="0" w:color="auto"/>
                <w:bottom w:val="none" w:sz="0" w:space="0" w:color="auto"/>
                <w:right w:val="none" w:sz="0" w:space="0" w:color="auto"/>
              </w:divBdr>
            </w:div>
            <w:div w:id="1515800952">
              <w:marLeft w:val="0"/>
              <w:marRight w:val="0"/>
              <w:marTop w:val="0"/>
              <w:marBottom w:val="0"/>
              <w:divBdr>
                <w:top w:val="none" w:sz="0" w:space="0" w:color="auto"/>
                <w:left w:val="none" w:sz="0" w:space="0" w:color="auto"/>
                <w:bottom w:val="none" w:sz="0" w:space="0" w:color="auto"/>
                <w:right w:val="none" w:sz="0" w:space="0" w:color="auto"/>
              </w:divBdr>
            </w:div>
          </w:divsChild>
        </w:div>
        <w:div w:id="1515800923">
          <w:marLeft w:val="0"/>
          <w:marRight w:val="0"/>
          <w:marTop w:val="0"/>
          <w:marBottom w:val="0"/>
          <w:divBdr>
            <w:top w:val="none" w:sz="0" w:space="0" w:color="auto"/>
            <w:left w:val="none" w:sz="0" w:space="0" w:color="auto"/>
            <w:bottom w:val="none" w:sz="0" w:space="0" w:color="auto"/>
            <w:right w:val="none" w:sz="0" w:space="0" w:color="auto"/>
          </w:divBdr>
        </w:div>
        <w:div w:id="1515800924">
          <w:marLeft w:val="0"/>
          <w:marRight w:val="0"/>
          <w:marTop w:val="0"/>
          <w:marBottom w:val="0"/>
          <w:divBdr>
            <w:top w:val="none" w:sz="0" w:space="0" w:color="auto"/>
            <w:left w:val="none" w:sz="0" w:space="0" w:color="auto"/>
            <w:bottom w:val="none" w:sz="0" w:space="0" w:color="auto"/>
            <w:right w:val="none" w:sz="0" w:space="0" w:color="auto"/>
          </w:divBdr>
          <w:divsChild>
            <w:div w:id="1515800794">
              <w:marLeft w:val="0"/>
              <w:marRight w:val="0"/>
              <w:marTop w:val="0"/>
              <w:marBottom w:val="0"/>
              <w:divBdr>
                <w:top w:val="none" w:sz="0" w:space="0" w:color="auto"/>
                <w:left w:val="none" w:sz="0" w:space="0" w:color="auto"/>
                <w:bottom w:val="none" w:sz="0" w:space="0" w:color="auto"/>
                <w:right w:val="none" w:sz="0" w:space="0" w:color="auto"/>
              </w:divBdr>
            </w:div>
            <w:div w:id="1515800803">
              <w:marLeft w:val="0"/>
              <w:marRight w:val="0"/>
              <w:marTop w:val="0"/>
              <w:marBottom w:val="0"/>
              <w:divBdr>
                <w:top w:val="none" w:sz="0" w:space="0" w:color="auto"/>
                <w:left w:val="none" w:sz="0" w:space="0" w:color="auto"/>
                <w:bottom w:val="none" w:sz="0" w:space="0" w:color="auto"/>
                <w:right w:val="none" w:sz="0" w:space="0" w:color="auto"/>
              </w:divBdr>
            </w:div>
            <w:div w:id="1515800807">
              <w:marLeft w:val="0"/>
              <w:marRight w:val="0"/>
              <w:marTop w:val="0"/>
              <w:marBottom w:val="0"/>
              <w:divBdr>
                <w:top w:val="none" w:sz="0" w:space="0" w:color="auto"/>
                <w:left w:val="none" w:sz="0" w:space="0" w:color="auto"/>
                <w:bottom w:val="none" w:sz="0" w:space="0" w:color="auto"/>
                <w:right w:val="none" w:sz="0" w:space="0" w:color="auto"/>
              </w:divBdr>
            </w:div>
            <w:div w:id="1515800820">
              <w:marLeft w:val="0"/>
              <w:marRight w:val="0"/>
              <w:marTop w:val="0"/>
              <w:marBottom w:val="0"/>
              <w:divBdr>
                <w:top w:val="none" w:sz="0" w:space="0" w:color="auto"/>
                <w:left w:val="none" w:sz="0" w:space="0" w:color="auto"/>
                <w:bottom w:val="none" w:sz="0" w:space="0" w:color="auto"/>
                <w:right w:val="none" w:sz="0" w:space="0" w:color="auto"/>
              </w:divBdr>
            </w:div>
            <w:div w:id="1515800828">
              <w:marLeft w:val="0"/>
              <w:marRight w:val="0"/>
              <w:marTop w:val="0"/>
              <w:marBottom w:val="0"/>
              <w:divBdr>
                <w:top w:val="none" w:sz="0" w:space="0" w:color="auto"/>
                <w:left w:val="none" w:sz="0" w:space="0" w:color="auto"/>
                <w:bottom w:val="none" w:sz="0" w:space="0" w:color="auto"/>
                <w:right w:val="none" w:sz="0" w:space="0" w:color="auto"/>
              </w:divBdr>
            </w:div>
            <w:div w:id="1515800841">
              <w:marLeft w:val="0"/>
              <w:marRight w:val="0"/>
              <w:marTop w:val="0"/>
              <w:marBottom w:val="0"/>
              <w:divBdr>
                <w:top w:val="none" w:sz="0" w:space="0" w:color="auto"/>
                <w:left w:val="none" w:sz="0" w:space="0" w:color="auto"/>
                <w:bottom w:val="none" w:sz="0" w:space="0" w:color="auto"/>
                <w:right w:val="none" w:sz="0" w:space="0" w:color="auto"/>
              </w:divBdr>
            </w:div>
            <w:div w:id="1515800847">
              <w:marLeft w:val="0"/>
              <w:marRight w:val="0"/>
              <w:marTop w:val="0"/>
              <w:marBottom w:val="0"/>
              <w:divBdr>
                <w:top w:val="none" w:sz="0" w:space="0" w:color="auto"/>
                <w:left w:val="none" w:sz="0" w:space="0" w:color="auto"/>
                <w:bottom w:val="none" w:sz="0" w:space="0" w:color="auto"/>
                <w:right w:val="none" w:sz="0" w:space="0" w:color="auto"/>
              </w:divBdr>
            </w:div>
            <w:div w:id="1515800852">
              <w:marLeft w:val="0"/>
              <w:marRight w:val="0"/>
              <w:marTop w:val="0"/>
              <w:marBottom w:val="0"/>
              <w:divBdr>
                <w:top w:val="none" w:sz="0" w:space="0" w:color="auto"/>
                <w:left w:val="none" w:sz="0" w:space="0" w:color="auto"/>
                <w:bottom w:val="none" w:sz="0" w:space="0" w:color="auto"/>
                <w:right w:val="none" w:sz="0" w:space="0" w:color="auto"/>
              </w:divBdr>
            </w:div>
            <w:div w:id="1515800853">
              <w:marLeft w:val="0"/>
              <w:marRight w:val="0"/>
              <w:marTop w:val="0"/>
              <w:marBottom w:val="0"/>
              <w:divBdr>
                <w:top w:val="none" w:sz="0" w:space="0" w:color="auto"/>
                <w:left w:val="none" w:sz="0" w:space="0" w:color="auto"/>
                <w:bottom w:val="none" w:sz="0" w:space="0" w:color="auto"/>
                <w:right w:val="none" w:sz="0" w:space="0" w:color="auto"/>
              </w:divBdr>
            </w:div>
            <w:div w:id="1515800861">
              <w:marLeft w:val="0"/>
              <w:marRight w:val="0"/>
              <w:marTop w:val="0"/>
              <w:marBottom w:val="0"/>
              <w:divBdr>
                <w:top w:val="none" w:sz="0" w:space="0" w:color="auto"/>
                <w:left w:val="none" w:sz="0" w:space="0" w:color="auto"/>
                <w:bottom w:val="none" w:sz="0" w:space="0" w:color="auto"/>
                <w:right w:val="none" w:sz="0" w:space="0" w:color="auto"/>
              </w:divBdr>
            </w:div>
            <w:div w:id="1515800864">
              <w:marLeft w:val="0"/>
              <w:marRight w:val="0"/>
              <w:marTop w:val="0"/>
              <w:marBottom w:val="0"/>
              <w:divBdr>
                <w:top w:val="none" w:sz="0" w:space="0" w:color="auto"/>
                <w:left w:val="none" w:sz="0" w:space="0" w:color="auto"/>
                <w:bottom w:val="none" w:sz="0" w:space="0" w:color="auto"/>
                <w:right w:val="none" w:sz="0" w:space="0" w:color="auto"/>
              </w:divBdr>
            </w:div>
            <w:div w:id="1515800865">
              <w:marLeft w:val="0"/>
              <w:marRight w:val="0"/>
              <w:marTop w:val="0"/>
              <w:marBottom w:val="0"/>
              <w:divBdr>
                <w:top w:val="none" w:sz="0" w:space="0" w:color="auto"/>
                <w:left w:val="none" w:sz="0" w:space="0" w:color="auto"/>
                <w:bottom w:val="none" w:sz="0" w:space="0" w:color="auto"/>
                <w:right w:val="none" w:sz="0" w:space="0" w:color="auto"/>
              </w:divBdr>
            </w:div>
            <w:div w:id="1515800874">
              <w:marLeft w:val="0"/>
              <w:marRight w:val="0"/>
              <w:marTop w:val="0"/>
              <w:marBottom w:val="0"/>
              <w:divBdr>
                <w:top w:val="none" w:sz="0" w:space="0" w:color="auto"/>
                <w:left w:val="none" w:sz="0" w:space="0" w:color="auto"/>
                <w:bottom w:val="none" w:sz="0" w:space="0" w:color="auto"/>
                <w:right w:val="none" w:sz="0" w:space="0" w:color="auto"/>
              </w:divBdr>
            </w:div>
            <w:div w:id="1515800912">
              <w:marLeft w:val="0"/>
              <w:marRight w:val="0"/>
              <w:marTop w:val="0"/>
              <w:marBottom w:val="0"/>
              <w:divBdr>
                <w:top w:val="none" w:sz="0" w:space="0" w:color="auto"/>
                <w:left w:val="none" w:sz="0" w:space="0" w:color="auto"/>
                <w:bottom w:val="none" w:sz="0" w:space="0" w:color="auto"/>
                <w:right w:val="none" w:sz="0" w:space="0" w:color="auto"/>
              </w:divBdr>
            </w:div>
            <w:div w:id="1515800913">
              <w:marLeft w:val="0"/>
              <w:marRight w:val="0"/>
              <w:marTop w:val="0"/>
              <w:marBottom w:val="0"/>
              <w:divBdr>
                <w:top w:val="none" w:sz="0" w:space="0" w:color="auto"/>
                <w:left w:val="none" w:sz="0" w:space="0" w:color="auto"/>
                <w:bottom w:val="none" w:sz="0" w:space="0" w:color="auto"/>
                <w:right w:val="none" w:sz="0" w:space="0" w:color="auto"/>
              </w:divBdr>
            </w:div>
            <w:div w:id="1515800915">
              <w:marLeft w:val="0"/>
              <w:marRight w:val="0"/>
              <w:marTop w:val="0"/>
              <w:marBottom w:val="0"/>
              <w:divBdr>
                <w:top w:val="none" w:sz="0" w:space="0" w:color="auto"/>
                <w:left w:val="none" w:sz="0" w:space="0" w:color="auto"/>
                <w:bottom w:val="none" w:sz="0" w:space="0" w:color="auto"/>
                <w:right w:val="none" w:sz="0" w:space="0" w:color="auto"/>
              </w:divBdr>
            </w:div>
            <w:div w:id="1515800926">
              <w:marLeft w:val="0"/>
              <w:marRight w:val="0"/>
              <w:marTop w:val="0"/>
              <w:marBottom w:val="0"/>
              <w:divBdr>
                <w:top w:val="none" w:sz="0" w:space="0" w:color="auto"/>
                <w:left w:val="none" w:sz="0" w:space="0" w:color="auto"/>
                <w:bottom w:val="none" w:sz="0" w:space="0" w:color="auto"/>
                <w:right w:val="none" w:sz="0" w:space="0" w:color="auto"/>
              </w:divBdr>
            </w:div>
            <w:div w:id="1515800936">
              <w:marLeft w:val="0"/>
              <w:marRight w:val="0"/>
              <w:marTop w:val="0"/>
              <w:marBottom w:val="0"/>
              <w:divBdr>
                <w:top w:val="none" w:sz="0" w:space="0" w:color="auto"/>
                <w:left w:val="none" w:sz="0" w:space="0" w:color="auto"/>
                <w:bottom w:val="none" w:sz="0" w:space="0" w:color="auto"/>
                <w:right w:val="none" w:sz="0" w:space="0" w:color="auto"/>
              </w:divBdr>
            </w:div>
            <w:div w:id="1515800951">
              <w:marLeft w:val="0"/>
              <w:marRight w:val="0"/>
              <w:marTop w:val="0"/>
              <w:marBottom w:val="0"/>
              <w:divBdr>
                <w:top w:val="none" w:sz="0" w:space="0" w:color="auto"/>
                <w:left w:val="none" w:sz="0" w:space="0" w:color="auto"/>
                <w:bottom w:val="none" w:sz="0" w:space="0" w:color="auto"/>
                <w:right w:val="none" w:sz="0" w:space="0" w:color="auto"/>
              </w:divBdr>
            </w:div>
            <w:div w:id="1515800953">
              <w:marLeft w:val="0"/>
              <w:marRight w:val="0"/>
              <w:marTop w:val="0"/>
              <w:marBottom w:val="0"/>
              <w:divBdr>
                <w:top w:val="none" w:sz="0" w:space="0" w:color="auto"/>
                <w:left w:val="none" w:sz="0" w:space="0" w:color="auto"/>
                <w:bottom w:val="none" w:sz="0" w:space="0" w:color="auto"/>
                <w:right w:val="none" w:sz="0" w:space="0" w:color="auto"/>
              </w:divBdr>
            </w:div>
            <w:div w:id="1515800956">
              <w:marLeft w:val="0"/>
              <w:marRight w:val="0"/>
              <w:marTop w:val="0"/>
              <w:marBottom w:val="0"/>
              <w:divBdr>
                <w:top w:val="none" w:sz="0" w:space="0" w:color="auto"/>
                <w:left w:val="none" w:sz="0" w:space="0" w:color="auto"/>
                <w:bottom w:val="none" w:sz="0" w:space="0" w:color="auto"/>
                <w:right w:val="none" w:sz="0" w:space="0" w:color="auto"/>
              </w:divBdr>
            </w:div>
            <w:div w:id="1515800957">
              <w:marLeft w:val="0"/>
              <w:marRight w:val="0"/>
              <w:marTop w:val="0"/>
              <w:marBottom w:val="0"/>
              <w:divBdr>
                <w:top w:val="none" w:sz="0" w:space="0" w:color="auto"/>
                <w:left w:val="none" w:sz="0" w:space="0" w:color="auto"/>
                <w:bottom w:val="none" w:sz="0" w:space="0" w:color="auto"/>
                <w:right w:val="none" w:sz="0" w:space="0" w:color="auto"/>
              </w:divBdr>
            </w:div>
          </w:divsChild>
        </w:div>
        <w:div w:id="1515800931">
          <w:marLeft w:val="0"/>
          <w:marRight w:val="0"/>
          <w:marTop w:val="0"/>
          <w:marBottom w:val="0"/>
          <w:divBdr>
            <w:top w:val="none" w:sz="0" w:space="0" w:color="auto"/>
            <w:left w:val="none" w:sz="0" w:space="0" w:color="auto"/>
            <w:bottom w:val="none" w:sz="0" w:space="0" w:color="auto"/>
            <w:right w:val="none" w:sz="0" w:space="0" w:color="auto"/>
          </w:divBdr>
          <w:divsChild>
            <w:div w:id="1515800808">
              <w:marLeft w:val="0"/>
              <w:marRight w:val="0"/>
              <w:marTop w:val="0"/>
              <w:marBottom w:val="0"/>
              <w:divBdr>
                <w:top w:val="none" w:sz="0" w:space="0" w:color="auto"/>
                <w:left w:val="none" w:sz="0" w:space="0" w:color="auto"/>
                <w:bottom w:val="none" w:sz="0" w:space="0" w:color="auto"/>
                <w:right w:val="none" w:sz="0" w:space="0" w:color="auto"/>
              </w:divBdr>
            </w:div>
            <w:div w:id="1515800826">
              <w:marLeft w:val="0"/>
              <w:marRight w:val="0"/>
              <w:marTop w:val="0"/>
              <w:marBottom w:val="0"/>
              <w:divBdr>
                <w:top w:val="none" w:sz="0" w:space="0" w:color="auto"/>
                <w:left w:val="none" w:sz="0" w:space="0" w:color="auto"/>
                <w:bottom w:val="none" w:sz="0" w:space="0" w:color="auto"/>
                <w:right w:val="none" w:sz="0" w:space="0" w:color="auto"/>
              </w:divBdr>
            </w:div>
            <w:div w:id="1515800878">
              <w:marLeft w:val="0"/>
              <w:marRight w:val="0"/>
              <w:marTop w:val="0"/>
              <w:marBottom w:val="0"/>
              <w:divBdr>
                <w:top w:val="none" w:sz="0" w:space="0" w:color="auto"/>
                <w:left w:val="none" w:sz="0" w:space="0" w:color="auto"/>
                <w:bottom w:val="none" w:sz="0" w:space="0" w:color="auto"/>
                <w:right w:val="none" w:sz="0" w:space="0" w:color="auto"/>
              </w:divBdr>
            </w:div>
            <w:div w:id="1515800882">
              <w:marLeft w:val="0"/>
              <w:marRight w:val="0"/>
              <w:marTop w:val="0"/>
              <w:marBottom w:val="0"/>
              <w:divBdr>
                <w:top w:val="none" w:sz="0" w:space="0" w:color="auto"/>
                <w:left w:val="none" w:sz="0" w:space="0" w:color="auto"/>
                <w:bottom w:val="none" w:sz="0" w:space="0" w:color="auto"/>
                <w:right w:val="none" w:sz="0" w:space="0" w:color="auto"/>
              </w:divBdr>
            </w:div>
            <w:div w:id="1515800918">
              <w:marLeft w:val="0"/>
              <w:marRight w:val="0"/>
              <w:marTop w:val="0"/>
              <w:marBottom w:val="0"/>
              <w:divBdr>
                <w:top w:val="none" w:sz="0" w:space="0" w:color="auto"/>
                <w:left w:val="none" w:sz="0" w:space="0" w:color="auto"/>
                <w:bottom w:val="none" w:sz="0" w:space="0" w:color="auto"/>
                <w:right w:val="none" w:sz="0" w:space="0" w:color="auto"/>
              </w:divBdr>
            </w:div>
          </w:divsChild>
        </w:div>
        <w:div w:id="1515800932">
          <w:marLeft w:val="0"/>
          <w:marRight w:val="0"/>
          <w:marTop w:val="0"/>
          <w:marBottom w:val="0"/>
          <w:divBdr>
            <w:top w:val="none" w:sz="0" w:space="0" w:color="auto"/>
            <w:left w:val="none" w:sz="0" w:space="0" w:color="auto"/>
            <w:bottom w:val="none" w:sz="0" w:space="0" w:color="auto"/>
            <w:right w:val="none" w:sz="0" w:space="0" w:color="auto"/>
          </w:divBdr>
          <w:divsChild>
            <w:div w:id="1515800889">
              <w:marLeft w:val="0"/>
              <w:marRight w:val="0"/>
              <w:marTop w:val="0"/>
              <w:marBottom w:val="0"/>
              <w:divBdr>
                <w:top w:val="none" w:sz="0" w:space="0" w:color="auto"/>
                <w:left w:val="none" w:sz="0" w:space="0" w:color="auto"/>
                <w:bottom w:val="none" w:sz="0" w:space="0" w:color="auto"/>
                <w:right w:val="none" w:sz="0" w:space="0" w:color="auto"/>
              </w:divBdr>
              <w:divsChild>
                <w:div w:id="15158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0941">
          <w:marLeft w:val="0"/>
          <w:marRight w:val="0"/>
          <w:marTop w:val="0"/>
          <w:marBottom w:val="0"/>
          <w:divBdr>
            <w:top w:val="none" w:sz="0" w:space="0" w:color="auto"/>
            <w:left w:val="none" w:sz="0" w:space="0" w:color="auto"/>
            <w:bottom w:val="none" w:sz="0" w:space="0" w:color="auto"/>
            <w:right w:val="none" w:sz="0" w:space="0" w:color="auto"/>
          </w:divBdr>
        </w:div>
        <w:div w:id="1515800947">
          <w:marLeft w:val="0"/>
          <w:marRight w:val="0"/>
          <w:marTop w:val="0"/>
          <w:marBottom w:val="0"/>
          <w:divBdr>
            <w:top w:val="none" w:sz="0" w:space="0" w:color="auto"/>
            <w:left w:val="none" w:sz="0" w:space="0" w:color="auto"/>
            <w:bottom w:val="none" w:sz="0" w:space="0" w:color="auto"/>
            <w:right w:val="none" w:sz="0" w:space="0" w:color="auto"/>
          </w:divBdr>
        </w:div>
      </w:divsChild>
    </w:div>
    <w:div w:id="1515800935">
      <w:marLeft w:val="0"/>
      <w:marRight w:val="0"/>
      <w:marTop w:val="0"/>
      <w:marBottom w:val="0"/>
      <w:divBdr>
        <w:top w:val="none" w:sz="0" w:space="0" w:color="auto"/>
        <w:left w:val="none" w:sz="0" w:space="0" w:color="auto"/>
        <w:bottom w:val="none" w:sz="0" w:space="0" w:color="auto"/>
        <w:right w:val="none" w:sz="0" w:space="0" w:color="auto"/>
      </w:divBdr>
      <w:divsChild>
        <w:div w:id="1515800834">
          <w:marLeft w:val="0"/>
          <w:marRight w:val="0"/>
          <w:marTop w:val="0"/>
          <w:marBottom w:val="0"/>
          <w:divBdr>
            <w:top w:val="none" w:sz="0" w:space="0" w:color="auto"/>
            <w:left w:val="none" w:sz="0" w:space="0" w:color="auto"/>
            <w:bottom w:val="none" w:sz="0" w:space="0" w:color="auto"/>
            <w:right w:val="none" w:sz="0" w:space="0" w:color="auto"/>
          </w:divBdr>
        </w:div>
      </w:divsChild>
    </w:div>
    <w:div w:id="1515800938">
      <w:marLeft w:val="0"/>
      <w:marRight w:val="0"/>
      <w:marTop w:val="0"/>
      <w:marBottom w:val="0"/>
      <w:divBdr>
        <w:top w:val="none" w:sz="0" w:space="0" w:color="auto"/>
        <w:left w:val="none" w:sz="0" w:space="0" w:color="auto"/>
        <w:bottom w:val="none" w:sz="0" w:space="0" w:color="auto"/>
        <w:right w:val="none" w:sz="0" w:space="0" w:color="auto"/>
      </w:divBdr>
      <w:divsChild>
        <w:div w:id="1515800862">
          <w:marLeft w:val="0"/>
          <w:marRight w:val="0"/>
          <w:marTop w:val="0"/>
          <w:marBottom w:val="0"/>
          <w:divBdr>
            <w:top w:val="none" w:sz="0" w:space="0" w:color="auto"/>
            <w:left w:val="none" w:sz="0" w:space="0" w:color="auto"/>
            <w:bottom w:val="none" w:sz="0" w:space="0" w:color="auto"/>
            <w:right w:val="none" w:sz="0" w:space="0" w:color="auto"/>
          </w:divBdr>
        </w:div>
        <w:div w:id="1515800867">
          <w:marLeft w:val="0"/>
          <w:marRight w:val="0"/>
          <w:marTop w:val="0"/>
          <w:marBottom w:val="0"/>
          <w:divBdr>
            <w:top w:val="none" w:sz="0" w:space="0" w:color="auto"/>
            <w:left w:val="none" w:sz="0" w:space="0" w:color="auto"/>
            <w:bottom w:val="none" w:sz="0" w:space="0" w:color="auto"/>
            <w:right w:val="none" w:sz="0" w:space="0" w:color="auto"/>
          </w:divBdr>
        </w:div>
        <w:div w:id="1515800877">
          <w:marLeft w:val="0"/>
          <w:marRight w:val="0"/>
          <w:marTop w:val="0"/>
          <w:marBottom w:val="0"/>
          <w:divBdr>
            <w:top w:val="none" w:sz="0" w:space="0" w:color="auto"/>
            <w:left w:val="none" w:sz="0" w:space="0" w:color="auto"/>
            <w:bottom w:val="none" w:sz="0" w:space="0" w:color="auto"/>
            <w:right w:val="none" w:sz="0" w:space="0" w:color="auto"/>
          </w:divBdr>
        </w:div>
        <w:div w:id="1515800881">
          <w:marLeft w:val="0"/>
          <w:marRight w:val="0"/>
          <w:marTop w:val="0"/>
          <w:marBottom w:val="0"/>
          <w:divBdr>
            <w:top w:val="none" w:sz="0" w:space="0" w:color="auto"/>
            <w:left w:val="none" w:sz="0" w:space="0" w:color="auto"/>
            <w:bottom w:val="none" w:sz="0" w:space="0" w:color="auto"/>
            <w:right w:val="none" w:sz="0" w:space="0" w:color="auto"/>
          </w:divBdr>
        </w:div>
        <w:div w:id="1515800892">
          <w:marLeft w:val="0"/>
          <w:marRight w:val="0"/>
          <w:marTop w:val="0"/>
          <w:marBottom w:val="0"/>
          <w:divBdr>
            <w:top w:val="none" w:sz="0" w:space="0" w:color="auto"/>
            <w:left w:val="none" w:sz="0" w:space="0" w:color="auto"/>
            <w:bottom w:val="none" w:sz="0" w:space="0" w:color="auto"/>
            <w:right w:val="none" w:sz="0" w:space="0" w:color="auto"/>
          </w:divBdr>
        </w:div>
        <w:div w:id="1515800904">
          <w:marLeft w:val="0"/>
          <w:marRight w:val="0"/>
          <w:marTop w:val="0"/>
          <w:marBottom w:val="0"/>
          <w:divBdr>
            <w:top w:val="none" w:sz="0" w:space="0" w:color="auto"/>
            <w:left w:val="none" w:sz="0" w:space="0" w:color="auto"/>
            <w:bottom w:val="none" w:sz="0" w:space="0" w:color="auto"/>
            <w:right w:val="none" w:sz="0" w:space="0" w:color="auto"/>
          </w:divBdr>
        </w:div>
        <w:div w:id="1515800905">
          <w:marLeft w:val="0"/>
          <w:marRight w:val="0"/>
          <w:marTop w:val="0"/>
          <w:marBottom w:val="0"/>
          <w:divBdr>
            <w:top w:val="none" w:sz="0" w:space="0" w:color="auto"/>
            <w:left w:val="none" w:sz="0" w:space="0" w:color="auto"/>
            <w:bottom w:val="none" w:sz="0" w:space="0" w:color="auto"/>
            <w:right w:val="none" w:sz="0" w:space="0" w:color="auto"/>
          </w:divBdr>
        </w:div>
        <w:div w:id="1515800909">
          <w:marLeft w:val="0"/>
          <w:marRight w:val="0"/>
          <w:marTop w:val="0"/>
          <w:marBottom w:val="0"/>
          <w:divBdr>
            <w:top w:val="none" w:sz="0" w:space="0" w:color="auto"/>
            <w:left w:val="none" w:sz="0" w:space="0" w:color="auto"/>
            <w:bottom w:val="none" w:sz="0" w:space="0" w:color="auto"/>
            <w:right w:val="none" w:sz="0" w:space="0" w:color="auto"/>
          </w:divBdr>
        </w:div>
        <w:div w:id="1515800930">
          <w:marLeft w:val="0"/>
          <w:marRight w:val="0"/>
          <w:marTop w:val="0"/>
          <w:marBottom w:val="0"/>
          <w:divBdr>
            <w:top w:val="none" w:sz="0" w:space="0" w:color="auto"/>
            <w:left w:val="none" w:sz="0" w:space="0" w:color="auto"/>
            <w:bottom w:val="none" w:sz="0" w:space="0" w:color="auto"/>
            <w:right w:val="none" w:sz="0" w:space="0" w:color="auto"/>
          </w:divBdr>
        </w:div>
        <w:div w:id="1515800934">
          <w:marLeft w:val="0"/>
          <w:marRight w:val="0"/>
          <w:marTop w:val="0"/>
          <w:marBottom w:val="0"/>
          <w:divBdr>
            <w:top w:val="none" w:sz="0" w:space="0" w:color="auto"/>
            <w:left w:val="none" w:sz="0" w:space="0" w:color="auto"/>
            <w:bottom w:val="none" w:sz="0" w:space="0" w:color="auto"/>
            <w:right w:val="none" w:sz="0" w:space="0" w:color="auto"/>
          </w:divBdr>
        </w:div>
        <w:div w:id="1515800944">
          <w:marLeft w:val="0"/>
          <w:marRight w:val="0"/>
          <w:marTop w:val="0"/>
          <w:marBottom w:val="0"/>
          <w:divBdr>
            <w:top w:val="none" w:sz="0" w:space="0" w:color="auto"/>
            <w:left w:val="none" w:sz="0" w:space="0" w:color="auto"/>
            <w:bottom w:val="none" w:sz="0" w:space="0" w:color="auto"/>
            <w:right w:val="none" w:sz="0" w:space="0" w:color="auto"/>
          </w:divBdr>
        </w:div>
        <w:div w:id="1515800950">
          <w:marLeft w:val="0"/>
          <w:marRight w:val="0"/>
          <w:marTop w:val="0"/>
          <w:marBottom w:val="0"/>
          <w:divBdr>
            <w:top w:val="none" w:sz="0" w:space="0" w:color="auto"/>
            <w:left w:val="none" w:sz="0" w:space="0" w:color="auto"/>
            <w:bottom w:val="none" w:sz="0" w:space="0" w:color="auto"/>
            <w:right w:val="none" w:sz="0" w:space="0" w:color="auto"/>
          </w:divBdr>
        </w:div>
        <w:div w:id="1515800958">
          <w:marLeft w:val="0"/>
          <w:marRight w:val="0"/>
          <w:marTop w:val="0"/>
          <w:marBottom w:val="0"/>
          <w:divBdr>
            <w:top w:val="none" w:sz="0" w:space="0" w:color="auto"/>
            <w:left w:val="none" w:sz="0" w:space="0" w:color="auto"/>
            <w:bottom w:val="none" w:sz="0" w:space="0" w:color="auto"/>
            <w:right w:val="none" w:sz="0" w:space="0" w:color="auto"/>
          </w:divBdr>
        </w:div>
      </w:divsChild>
    </w:div>
    <w:div w:id="1515800943">
      <w:marLeft w:val="0"/>
      <w:marRight w:val="0"/>
      <w:marTop w:val="0"/>
      <w:marBottom w:val="0"/>
      <w:divBdr>
        <w:top w:val="none" w:sz="0" w:space="0" w:color="auto"/>
        <w:left w:val="none" w:sz="0" w:space="0" w:color="auto"/>
        <w:bottom w:val="none" w:sz="0" w:space="0" w:color="auto"/>
        <w:right w:val="none" w:sz="0" w:space="0" w:color="auto"/>
      </w:divBdr>
      <w:divsChild>
        <w:div w:id="1515800806">
          <w:marLeft w:val="0"/>
          <w:marRight w:val="0"/>
          <w:marTop w:val="0"/>
          <w:marBottom w:val="0"/>
          <w:divBdr>
            <w:top w:val="none" w:sz="0" w:space="0" w:color="auto"/>
            <w:left w:val="none" w:sz="0" w:space="0" w:color="auto"/>
            <w:bottom w:val="none" w:sz="0" w:space="0" w:color="auto"/>
            <w:right w:val="none" w:sz="0" w:space="0" w:color="auto"/>
          </w:divBdr>
        </w:div>
        <w:div w:id="1515800812">
          <w:marLeft w:val="0"/>
          <w:marRight w:val="0"/>
          <w:marTop w:val="0"/>
          <w:marBottom w:val="0"/>
          <w:divBdr>
            <w:top w:val="none" w:sz="0" w:space="0" w:color="auto"/>
            <w:left w:val="none" w:sz="0" w:space="0" w:color="auto"/>
            <w:bottom w:val="none" w:sz="0" w:space="0" w:color="auto"/>
            <w:right w:val="none" w:sz="0" w:space="0" w:color="auto"/>
          </w:divBdr>
        </w:div>
        <w:div w:id="1515800817">
          <w:marLeft w:val="0"/>
          <w:marRight w:val="0"/>
          <w:marTop w:val="0"/>
          <w:marBottom w:val="0"/>
          <w:divBdr>
            <w:top w:val="none" w:sz="0" w:space="0" w:color="auto"/>
            <w:left w:val="none" w:sz="0" w:space="0" w:color="auto"/>
            <w:bottom w:val="none" w:sz="0" w:space="0" w:color="auto"/>
            <w:right w:val="none" w:sz="0" w:space="0" w:color="auto"/>
          </w:divBdr>
        </w:div>
        <w:div w:id="1515800863">
          <w:marLeft w:val="0"/>
          <w:marRight w:val="0"/>
          <w:marTop w:val="0"/>
          <w:marBottom w:val="0"/>
          <w:divBdr>
            <w:top w:val="none" w:sz="0" w:space="0" w:color="auto"/>
            <w:left w:val="none" w:sz="0" w:space="0" w:color="auto"/>
            <w:bottom w:val="none" w:sz="0" w:space="0" w:color="auto"/>
            <w:right w:val="none" w:sz="0" w:space="0" w:color="auto"/>
          </w:divBdr>
        </w:div>
        <w:div w:id="1515800903">
          <w:marLeft w:val="0"/>
          <w:marRight w:val="0"/>
          <w:marTop w:val="0"/>
          <w:marBottom w:val="0"/>
          <w:divBdr>
            <w:top w:val="none" w:sz="0" w:space="0" w:color="auto"/>
            <w:left w:val="none" w:sz="0" w:space="0" w:color="auto"/>
            <w:bottom w:val="none" w:sz="0" w:space="0" w:color="auto"/>
            <w:right w:val="none" w:sz="0" w:space="0" w:color="auto"/>
          </w:divBdr>
        </w:div>
        <w:div w:id="1515800925">
          <w:marLeft w:val="0"/>
          <w:marRight w:val="0"/>
          <w:marTop w:val="0"/>
          <w:marBottom w:val="0"/>
          <w:divBdr>
            <w:top w:val="none" w:sz="0" w:space="0" w:color="auto"/>
            <w:left w:val="none" w:sz="0" w:space="0" w:color="auto"/>
            <w:bottom w:val="none" w:sz="0" w:space="0" w:color="auto"/>
            <w:right w:val="none" w:sz="0" w:space="0" w:color="auto"/>
          </w:divBdr>
        </w:div>
        <w:div w:id="1515800948">
          <w:marLeft w:val="0"/>
          <w:marRight w:val="0"/>
          <w:marTop w:val="0"/>
          <w:marBottom w:val="0"/>
          <w:divBdr>
            <w:top w:val="none" w:sz="0" w:space="0" w:color="auto"/>
            <w:left w:val="none" w:sz="0" w:space="0" w:color="auto"/>
            <w:bottom w:val="none" w:sz="0" w:space="0" w:color="auto"/>
            <w:right w:val="none" w:sz="0" w:space="0" w:color="auto"/>
          </w:divBdr>
        </w:div>
        <w:div w:id="1515800954">
          <w:marLeft w:val="0"/>
          <w:marRight w:val="0"/>
          <w:marTop w:val="0"/>
          <w:marBottom w:val="0"/>
          <w:divBdr>
            <w:top w:val="none" w:sz="0" w:space="0" w:color="auto"/>
            <w:left w:val="none" w:sz="0" w:space="0" w:color="auto"/>
            <w:bottom w:val="none" w:sz="0" w:space="0" w:color="auto"/>
            <w:right w:val="none" w:sz="0" w:space="0" w:color="auto"/>
          </w:divBdr>
        </w:div>
      </w:divsChild>
    </w:div>
    <w:div w:id="1515800959">
      <w:marLeft w:val="0"/>
      <w:marRight w:val="0"/>
      <w:marTop w:val="0"/>
      <w:marBottom w:val="0"/>
      <w:divBdr>
        <w:top w:val="none" w:sz="0" w:space="0" w:color="auto"/>
        <w:left w:val="none" w:sz="0" w:space="0" w:color="auto"/>
        <w:bottom w:val="none" w:sz="0" w:space="0" w:color="auto"/>
        <w:right w:val="none" w:sz="0" w:space="0" w:color="auto"/>
      </w:divBdr>
    </w:div>
    <w:div w:id="1515800960">
      <w:marLeft w:val="0"/>
      <w:marRight w:val="0"/>
      <w:marTop w:val="0"/>
      <w:marBottom w:val="0"/>
      <w:divBdr>
        <w:top w:val="none" w:sz="0" w:space="0" w:color="auto"/>
        <w:left w:val="none" w:sz="0" w:space="0" w:color="auto"/>
        <w:bottom w:val="none" w:sz="0" w:space="0" w:color="auto"/>
        <w:right w:val="none" w:sz="0" w:space="0" w:color="auto"/>
      </w:divBdr>
    </w:div>
    <w:div w:id="1573734690">
      <w:bodyDiv w:val="1"/>
      <w:marLeft w:val="0"/>
      <w:marRight w:val="0"/>
      <w:marTop w:val="0"/>
      <w:marBottom w:val="0"/>
      <w:divBdr>
        <w:top w:val="none" w:sz="0" w:space="0" w:color="auto"/>
        <w:left w:val="none" w:sz="0" w:space="0" w:color="auto"/>
        <w:bottom w:val="none" w:sz="0" w:space="0" w:color="auto"/>
        <w:right w:val="none" w:sz="0" w:space="0" w:color="auto"/>
      </w:divBdr>
    </w:div>
    <w:div w:id="1603338415">
      <w:bodyDiv w:val="1"/>
      <w:marLeft w:val="0"/>
      <w:marRight w:val="0"/>
      <w:marTop w:val="0"/>
      <w:marBottom w:val="0"/>
      <w:divBdr>
        <w:top w:val="none" w:sz="0" w:space="0" w:color="auto"/>
        <w:left w:val="none" w:sz="0" w:space="0" w:color="auto"/>
        <w:bottom w:val="none" w:sz="0" w:space="0" w:color="auto"/>
        <w:right w:val="none" w:sz="0" w:space="0" w:color="auto"/>
      </w:divBdr>
      <w:divsChild>
        <w:div w:id="1723090731">
          <w:marLeft w:val="0"/>
          <w:marRight w:val="0"/>
          <w:marTop w:val="0"/>
          <w:marBottom w:val="0"/>
          <w:divBdr>
            <w:top w:val="none" w:sz="0" w:space="0" w:color="auto"/>
            <w:left w:val="none" w:sz="0" w:space="0" w:color="auto"/>
            <w:bottom w:val="none" w:sz="0" w:space="0" w:color="auto"/>
            <w:right w:val="none" w:sz="0" w:space="0" w:color="auto"/>
          </w:divBdr>
        </w:div>
        <w:div w:id="1245920616">
          <w:marLeft w:val="0"/>
          <w:marRight w:val="0"/>
          <w:marTop w:val="0"/>
          <w:marBottom w:val="0"/>
          <w:divBdr>
            <w:top w:val="none" w:sz="0" w:space="0" w:color="auto"/>
            <w:left w:val="none" w:sz="0" w:space="0" w:color="auto"/>
            <w:bottom w:val="none" w:sz="0" w:space="0" w:color="auto"/>
            <w:right w:val="none" w:sz="0" w:space="0" w:color="auto"/>
          </w:divBdr>
        </w:div>
      </w:divsChild>
    </w:div>
    <w:div w:id="1737238347">
      <w:bodyDiv w:val="1"/>
      <w:marLeft w:val="0"/>
      <w:marRight w:val="0"/>
      <w:marTop w:val="0"/>
      <w:marBottom w:val="0"/>
      <w:divBdr>
        <w:top w:val="none" w:sz="0" w:space="0" w:color="auto"/>
        <w:left w:val="none" w:sz="0" w:space="0" w:color="auto"/>
        <w:bottom w:val="none" w:sz="0" w:space="0" w:color="auto"/>
        <w:right w:val="none" w:sz="0" w:space="0" w:color="auto"/>
      </w:divBdr>
    </w:div>
    <w:div w:id="1786193913">
      <w:bodyDiv w:val="1"/>
      <w:marLeft w:val="0"/>
      <w:marRight w:val="0"/>
      <w:marTop w:val="0"/>
      <w:marBottom w:val="0"/>
      <w:divBdr>
        <w:top w:val="none" w:sz="0" w:space="0" w:color="auto"/>
        <w:left w:val="none" w:sz="0" w:space="0" w:color="auto"/>
        <w:bottom w:val="none" w:sz="0" w:space="0" w:color="auto"/>
        <w:right w:val="none" w:sz="0" w:space="0" w:color="auto"/>
      </w:divBdr>
      <w:divsChild>
        <w:div w:id="12191628">
          <w:marLeft w:val="0"/>
          <w:marRight w:val="0"/>
          <w:marTop w:val="0"/>
          <w:marBottom w:val="0"/>
          <w:divBdr>
            <w:top w:val="none" w:sz="0" w:space="0" w:color="auto"/>
            <w:left w:val="none" w:sz="0" w:space="0" w:color="auto"/>
            <w:bottom w:val="none" w:sz="0" w:space="0" w:color="auto"/>
            <w:right w:val="none" w:sz="0" w:space="0" w:color="auto"/>
          </w:divBdr>
        </w:div>
        <w:div w:id="223956881">
          <w:marLeft w:val="0"/>
          <w:marRight w:val="0"/>
          <w:marTop w:val="0"/>
          <w:marBottom w:val="0"/>
          <w:divBdr>
            <w:top w:val="none" w:sz="0" w:space="0" w:color="auto"/>
            <w:left w:val="none" w:sz="0" w:space="0" w:color="auto"/>
            <w:bottom w:val="none" w:sz="0" w:space="0" w:color="auto"/>
            <w:right w:val="none" w:sz="0" w:space="0" w:color="auto"/>
          </w:divBdr>
        </w:div>
        <w:div w:id="353728733">
          <w:marLeft w:val="0"/>
          <w:marRight w:val="0"/>
          <w:marTop w:val="0"/>
          <w:marBottom w:val="0"/>
          <w:divBdr>
            <w:top w:val="none" w:sz="0" w:space="0" w:color="auto"/>
            <w:left w:val="none" w:sz="0" w:space="0" w:color="auto"/>
            <w:bottom w:val="none" w:sz="0" w:space="0" w:color="auto"/>
            <w:right w:val="none" w:sz="0" w:space="0" w:color="auto"/>
          </w:divBdr>
        </w:div>
        <w:div w:id="1442803933">
          <w:marLeft w:val="0"/>
          <w:marRight w:val="0"/>
          <w:marTop w:val="0"/>
          <w:marBottom w:val="0"/>
          <w:divBdr>
            <w:top w:val="none" w:sz="0" w:space="0" w:color="auto"/>
            <w:left w:val="none" w:sz="0" w:space="0" w:color="auto"/>
            <w:bottom w:val="none" w:sz="0" w:space="0" w:color="auto"/>
            <w:right w:val="none" w:sz="0" w:space="0" w:color="auto"/>
          </w:divBdr>
        </w:div>
        <w:div w:id="1978686282">
          <w:marLeft w:val="0"/>
          <w:marRight w:val="0"/>
          <w:marTop w:val="0"/>
          <w:marBottom w:val="0"/>
          <w:divBdr>
            <w:top w:val="none" w:sz="0" w:space="0" w:color="auto"/>
            <w:left w:val="none" w:sz="0" w:space="0" w:color="auto"/>
            <w:bottom w:val="none" w:sz="0" w:space="0" w:color="auto"/>
            <w:right w:val="none" w:sz="0" w:space="0" w:color="auto"/>
          </w:divBdr>
        </w:div>
        <w:div w:id="1369911391">
          <w:marLeft w:val="0"/>
          <w:marRight w:val="0"/>
          <w:marTop w:val="0"/>
          <w:marBottom w:val="0"/>
          <w:divBdr>
            <w:top w:val="none" w:sz="0" w:space="0" w:color="auto"/>
            <w:left w:val="none" w:sz="0" w:space="0" w:color="auto"/>
            <w:bottom w:val="none" w:sz="0" w:space="0" w:color="auto"/>
            <w:right w:val="none" w:sz="0" w:space="0" w:color="auto"/>
          </w:divBdr>
        </w:div>
        <w:div w:id="1418668028">
          <w:marLeft w:val="0"/>
          <w:marRight w:val="0"/>
          <w:marTop w:val="0"/>
          <w:marBottom w:val="0"/>
          <w:divBdr>
            <w:top w:val="none" w:sz="0" w:space="0" w:color="auto"/>
            <w:left w:val="none" w:sz="0" w:space="0" w:color="auto"/>
            <w:bottom w:val="none" w:sz="0" w:space="0" w:color="auto"/>
            <w:right w:val="none" w:sz="0" w:space="0" w:color="auto"/>
          </w:divBdr>
        </w:div>
        <w:div w:id="329873002">
          <w:marLeft w:val="0"/>
          <w:marRight w:val="0"/>
          <w:marTop w:val="0"/>
          <w:marBottom w:val="0"/>
          <w:divBdr>
            <w:top w:val="none" w:sz="0" w:space="0" w:color="auto"/>
            <w:left w:val="none" w:sz="0" w:space="0" w:color="auto"/>
            <w:bottom w:val="none" w:sz="0" w:space="0" w:color="auto"/>
            <w:right w:val="none" w:sz="0" w:space="0" w:color="auto"/>
          </w:divBdr>
        </w:div>
        <w:div w:id="1513952157">
          <w:marLeft w:val="0"/>
          <w:marRight w:val="0"/>
          <w:marTop w:val="0"/>
          <w:marBottom w:val="0"/>
          <w:divBdr>
            <w:top w:val="none" w:sz="0" w:space="0" w:color="auto"/>
            <w:left w:val="none" w:sz="0" w:space="0" w:color="auto"/>
            <w:bottom w:val="none" w:sz="0" w:space="0" w:color="auto"/>
            <w:right w:val="none" w:sz="0" w:space="0" w:color="auto"/>
          </w:divBdr>
        </w:div>
      </w:divsChild>
    </w:div>
    <w:div w:id="1844279859">
      <w:bodyDiv w:val="1"/>
      <w:marLeft w:val="0"/>
      <w:marRight w:val="0"/>
      <w:marTop w:val="0"/>
      <w:marBottom w:val="0"/>
      <w:divBdr>
        <w:top w:val="none" w:sz="0" w:space="0" w:color="auto"/>
        <w:left w:val="none" w:sz="0" w:space="0" w:color="auto"/>
        <w:bottom w:val="none" w:sz="0" w:space="0" w:color="auto"/>
        <w:right w:val="none" w:sz="0" w:space="0" w:color="auto"/>
      </w:divBdr>
    </w:div>
    <w:div w:id="1849830700">
      <w:bodyDiv w:val="1"/>
      <w:marLeft w:val="0"/>
      <w:marRight w:val="0"/>
      <w:marTop w:val="0"/>
      <w:marBottom w:val="0"/>
      <w:divBdr>
        <w:top w:val="none" w:sz="0" w:space="0" w:color="auto"/>
        <w:left w:val="none" w:sz="0" w:space="0" w:color="auto"/>
        <w:bottom w:val="none" w:sz="0" w:space="0" w:color="auto"/>
        <w:right w:val="none" w:sz="0" w:space="0" w:color="auto"/>
      </w:divBdr>
      <w:divsChild>
        <w:div w:id="631525382">
          <w:marLeft w:val="0"/>
          <w:marRight w:val="0"/>
          <w:marTop w:val="0"/>
          <w:marBottom w:val="0"/>
          <w:divBdr>
            <w:top w:val="none" w:sz="0" w:space="0" w:color="auto"/>
            <w:left w:val="none" w:sz="0" w:space="0" w:color="auto"/>
            <w:bottom w:val="none" w:sz="0" w:space="0" w:color="auto"/>
            <w:right w:val="none" w:sz="0" w:space="0" w:color="auto"/>
          </w:divBdr>
        </w:div>
        <w:div w:id="195780814">
          <w:marLeft w:val="0"/>
          <w:marRight w:val="0"/>
          <w:marTop w:val="0"/>
          <w:marBottom w:val="0"/>
          <w:divBdr>
            <w:top w:val="none" w:sz="0" w:space="0" w:color="auto"/>
            <w:left w:val="none" w:sz="0" w:space="0" w:color="auto"/>
            <w:bottom w:val="none" w:sz="0" w:space="0" w:color="auto"/>
            <w:right w:val="none" w:sz="0" w:space="0" w:color="auto"/>
          </w:divBdr>
        </w:div>
        <w:div w:id="1390302033">
          <w:marLeft w:val="0"/>
          <w:marRight w:val="0"/>
          <w:marTop w:val="0"/>
          <w:marBottom w:val="0"/>
          <w:divBdr>
            <w:top w:val="none" w:sz="0" w:space="0" w:color="auto"/>
            <w:left w:val="none" w:sz="0" w:space="0" w:color="auto"/>
            <w:bottom w:val="none" w:sz="0" w:space="0" w:color="auto"/>
            <w:right w:val="none" w:sz="0" w:space="0" w:color="auto"/>
          </w:divBdr>
        </w:div>
      </w:divsChild>
    </w:div>
    <w:div w:id="2060666048">
      <w:bodyDiv w:val="1"/>
      <w:marLeft w:val="0"/>
      <w:marRight w:val="0"/>
      <w:marTop w:val="0"/>
      <w:marBottom w:val="0"/>
      <w:divBdr>
        <w:top w:val="none" w:sz="0" w:space="0" w:color="auto"/>
        <w:left w:val="none" w:sz="0" w:space="0" w:color="auto"/>
        <w:bottom w:val="none" w:sz="0" w:space="0" w:color="auto"/>
        <w:right w:val="none" w:sz="0" w:space="0" w:color="auto"/>
      </w:divBdr>
    </w:div>
    <w:div w:id="210830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maf.doc.linkToDocument('LCEur+2006+3252',%20'LCEur_2006_3252_A_261',%20'LCEur+2006+3252*A.261',%20'i0ad6adc500000158ce714f895ef54a20',%20'sp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maf.doc.linkToDocument('LCEur+1977+138',%20'.',%20'LCEur+1977+138',%20'i0ad6adc500000158ce714f895ef54a20',%20'sp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maf.doc.linkToDocument('LCEur+1977+138',%20'LCEur_1977_138_A_22',%20'LCEur+1977+138*A.22',%20'i0ad6adc500000158ce714f895ef54a20',%20'spa');" TargetMode="External"/><Relationship Id="rId4" Type="http://schemas.openxmlformats.org/officeDocument/2006/relationships/settings" Target="settings.xml"/><Relationship Id="rId9" Type="http://schemas.openxmlformats.org/officeDocument/2006/relationships/hyperlink" Target="javascript:maf.doc.linkToDocument('LCEur+2006+3252',%20'.',%20'LCEur+2006+3252',%20'i0ad6adc500000158ce714f895ef54a20',%20'sp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CCC0F-7BEB-4FFD-B040-8F9D56F7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3352</TotalTime>
  <Pages>7</Pages>
  <Words>2304</Words>
  <Characters>12674</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PROBLEMÁTICA FISCAL de la </vt:lpstr>
    </vt:vector>
  </TitlesOfParts>
  <Company/>
  <LinksUpToDate>false</LinksUpToDate>
  <CharactersWithSpaces>14949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PROBLEMÁTICA FISCAL de la </dc:title>
  <dc:subject/>
  <dc:creator>Acer</dc:creator>
  <cp:keywords/>
  <dc:description/>
  <cp:lastModifiedBy>JOSÉ MIGUEL MTEZ.-CARRASCO PIGNATELLI</cp:lastModifiedBy>
  <cp:revision>519</cp:revision>
  <cp:lastPrinted>2015-09-25T17:49:00Z</cp:lastPrinted>
  <dcterms:created xsi:type="dcterms:W3CDTF">2014-12-10T13:23:00Z</dcterms:created>
  <dcterms:modified xsi:type="dcterms:W3CDTF">2016-12-05T19:39:00Z</dcterms:modified>
</cp:coreProperties>
</file>