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2104" w14:textId="17BBAE92" w:rsidR="00B825DC" w:rsidRPr="00435EB8" w:rsidRDefault="00360CAB" w:rsidP="00435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This is the accepted</w:t>
      </w:r>
      <w:bookmarkStart w:id="0" w:name="_GoBack"/>
      <w:bookmarkEnd w:id="0"/>
      <w:r w:rsidR="00B825DC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version of: Ferreri, Mara,</w:t>
      </w:r>
      <w:r w:rsidR="00B825DC" w:rsidRPr="00B825DC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2017. </w:t>
      </w:r>
      <w:r w:rsidR="00B825DC" w:rsidRPr="00B825DC"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  <w:t xml:space="preserve">Beyond ‘Staying put’: reflections on discursive strategies in recent anti-gentrification movements, </w:t>
      </w:r>
      <w:r w:rsidR="00B825DC" w:rsidRPr="00B825DC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en-GB" w:eastAsia="en-GB"/>
        </w:rPr>
        <w:t>Urbanistica 3</w:t>
      </w:r>
      <w:r w:rsidR="00B825DC" w:rsidRPr="00B825DC"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  <w:t>, 5(13), pp. 89-93.</w:t>
      </w:r>
      <w:r w:rsidR="00B825DC"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  <w:t xml:space="preserve"> The published version </w:t>
      </w:r>
      <w:r w:rsidR="00435EB8"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  <w:t xml:space="preserve">in the issue ‘Anti-gentrification in (Southern) European Cities’ </w:t>
      </w:r>
      <w:r w:rsidR="00B825DC"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  <w:t xml:space="preserve">can be found here: </w:t>
      </w:r>
      <w:r w:rsidR="00435EB8" w:rsidRPr="00435EB8">
        <w:rPr>
          <w:rFonts w:ascii="Arial" w:eastAsia="Times New Roman" w:hAnsi="Arial" w:cs="Arial"/>
          <w:bCs/>
          <w:iCs/>
          <w:color w:val="000000"/>
          <w:sz w:val="24"/>
          <w:szCs w:val="24"/>
          <w:lang w:val="en-GB" w:eastAsia="en-GB"/>
        </w:rPr>
        <w:t>http://www.urbanisticatre.uniroma3.it/dipsu/?page_id=5358</w:t>
      </w:r>
    </w:p>
    <w:p w14:paraId="25BD5A24" w14:textId="77777777" w:rsidR="002B7AAE" w:rsidRPr="00661415" w:rsidRDefault="002B7AAE" w:rsidP="000162A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67528119" w14:textId="0D4D9857" w:rsidR="00C71AB0" w:rsidRPr="00030D8D" w:rsidRDefault="00235B9E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Beyond ‘Staying put’: </w:t>
      </w:r>
      <w:r w:rsidR="00E24E25">
        <w:rPr>
          <w:rFonts w:ascii="Arial" w:hAnsi="Arial" w:cs="Arial"/>
          <w:b/>
          <w:bCs/>
          <w:i/>
          <w:iCs/>
          <w:sz w:val="24"/>
          <w:szCs w:val="24"/>
        </w:rPr>
        <w:t>reflections</w:t>
      </w:r>
      <w:r w:rsidR="00B862BB">
        <w:rPr>
          <w:rFonts w:ascii="Arial" w:hAnsi="Arial" w:cs="Arial"/>
          <w:b/>
          <w:bCs/>
          <w:i/>
          <w:iCs/>
          <w:sz w:val="24"/>
          <w:szCs w:val="24"/>
        </w:rPr>
        <w:t xml:space="preserve"> on </w:t>
      </w:r>
      <w:r w:rsidR="00DE359B" w:rsidRPr="00030D8D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C71AB0" w:rsidRPr="00030D8D">
        <w:rPr>
          <w:rFonts w:ascii="Arial" w:hAnsi="Arial" w:cs="Arial"/>
          <w:b/>
          <w:bCs/>
          <w:i/>
          <w:iCs/>
          <w:sz w:val="24"/>
          <w:szCs w:val="24"/>
        </w:rPr>
        <w:t>iscursive strategies in</w:t>
      </w:r>
      <w:r w:rsidR="00FA0546">
        <w:rPr>
          <w:rFonts w:ascii="Arial" w:hAnsi="Arial" w:cs="Arial"/>
          <w:b/>
          <w:bCs/>
          <w:i/>
          <w:iCs/>
          <w:sz w:val="24"/>
          <w:szCs w:val="24"/>
        </w:rPr>
        <w:t xml:space="preserve"> recent</w:t>
      </w:r>
      <w:r w:rsidR="00C71AB0" w:rsidRPr="00030D8D">
        <w:rPr>
          <w:rFonts w:ascii="Arial" w:hAnsi="Arial" w:cs="Arial"/>
          <w:b/>
          <w:bCs/>
          <w:i/>
          <w:iCs/>
          <w:sz w:val="24"/>
          <w:szCs w:val="24"/>
        </w:rPr>
        <w:t xml:space="preserve"> anti-gentrification movements</w:t>
      </w:r>
    </w:p>
    <w:p w14:paraId="775A6D9C" w14:textId="77777777" w:rsidR="000601CC" w:rsidRDefault="000601CC" w:rsidP="000601CC">
      <w:pPr>
        <w:rPr>
          <w:rFonts w:ascii="Arial" w:hAnsi="Arial" w:cs="Arial"/>
          <w:i/>
          <w:sz w:val="24"/>
          <w:szCs w:val="24"/>
        </w:rPr>
      </w:pPr>
    </w:p>
    <w:p w14:paraId="31194045" w14:textId="53D39726" w:rsidR="00450DBF" w:rsidRPr="000601CC" w:rsidRDefault="00E35300" w:rsidP="000601CC">
      <w:pPr>
        <w:rPr>
          <w:rFonts w:ascii="Arial" w:hAnsi="Arial" w:cs="Arial"/>
          <w:i/>
          <w:sz w:val="24"/>
          <w:szCs w:val="24"/>
          <w:lang w:val="en-GB" w:eastAsia="en-GB"/>
        </w:rPr>
      </w:pPr>
      <w:r w:rsidRPr="00030D8D">
        <w:rPr>
          <w:rFonts w:ascii="Arial" w:hAnsi="Arial" w:cs="Arial"/>
          <w:i/>
          <w:sz w:val="24"/>
          <w:szCs w:val="24"/>
        </w:rPr>
        <w:t>Introduction</w:t>
      </w:r>
      <w:r w:rsidR="000E27A2" w:rsidRPr="00030D8D">
        <w:rPr>
          <w:rFonts w:ascii="Arial" w:hAnsi="Arial" w:cs="Arial"/>
          <w:i/>
          <w:sz w:val="24"/>
          <w:szCs w:val="24"/>
        </w:rPr>
        <w:t xml:space="preserve"> </w:t>
      </w:r>
    </w:p>
    <w:p w14:paraId="03CE7A46" w14:textId="1CDBC658" w:rsidR="00820C5E" w:rsidRDefault="009F54D8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D8D">
        <w:rPr>
          <w:rFonts w:ascii="Arial" w:hAnsi="Arial" w:cs="Arial"/>
          <w:sz w:val="24"/>
          <w:szCs w:val="24"/>
        </w:rPr>
        <w:t>In research and activist circles, t</w:t>
      </w:r>
      <w:r w:rsidR="004527F1" w:rsidRPr="00030D8D">
        <w:rPr>
          <w:rFonts w:ascii="Arial" w:hAnsi="Arial" w:cs="Arial"/>
          <w:sz w:val="24"/>
          <w:szCs w:val="24"/>
        </w:rPr>
        <w:t>he term ‘gentrification’</w:t>
      </w:r>
      <w:r w:rsidR="00450DBF" w:rsidRPr="00030D8D">
        <w:rPr>
          <w:rFonts w:ascii="Arial" w:hAnsi="Arial" w:cs="Arial"/>
          <w:sz w:val="24"/>
          <w:szCs w:val="24"/>
        </w:rPr>
        <w:t xml:space="preserve"> </w:t>
      </w:r>
      <w:r w:rsidR="00BE1F84" w:rsidRPr="00030D8D">
        <w:rPr>
          <w:rFonts w:ascii="Arial" w:hAnsi="Arial" w:cs="Arial"/>
          <w:sz w:val="24"/>
          <w:szCs w:val="24"/>
        </w:rPr>
        <w:t xml:space="preserve">has been and remains controversial. </w:t>
      </w:r>
      <w:r w:rsidR="00301040" w:rsidRPr="00030D8D">
        <w:rPr>
          <w:rFonts w:ascii="Arial" w:hAnsi="Arial" w:cs="Arial"/>
          <w:sz w:val="24"/>
          <w:szCs w:val="24"/>
        </w:rPr>
        <w:t xml:space="preserve">While some academics have been adapting the term to encompass </w:t>
      </w:r>
      <w:r w:rsidR="00275F1A">
        <w:rPr>
          <w:rFonts w:ascii="Arial" w:hAnsi="Arial" w:cs="Arial"/>
          <w:sz w:val="24"/>
          <w:szCs w:val="24"/>
        </w:rPr>
        <w:t>global</w:t>
      </w:r>
      <w:r w:rsidR="00301040" w:rsidRPr="00030D8D">
        <w:rPr>
          <w:rFonts w:ascii="Arial" w:hAnsi="Arial" w:cs="Arial"/>
          <w:sz w:val="24"/>
          <w:szCs w:val="24"/>
        </w:rPr>
        <w:t xml:space="preserve"> forms of urban </w:t>
      </w:r>
      <w:r w:rsidR="00301040" w:rsidRPr="00275F1A">
        <w:rPr>
          <w:rFonts w:ascii="Arial" w:hAnsi="Arial" w:cs="Arial"/>
          <w:sz w:val="24"/>
          <w:szCs w:val="24"/>
        </w:rPr>
        <w:t>speculation</w:t>
      </w:r>
      <w:r w:rsidRPr="00275F1A">
        <w:rPr>
          <w:rFonts w:ascii="Arial" w:hAnsi="Arial" w:cs="Arial"/>
          <w:sz w:val="24"/>
          <w:szCs w:val="24"/>
        </w:rPr>
        <w:t xml:space="preserve"> </w:t>
      </w:r>
      <w:r w:rsidR="00275F1A" w:rsidRPr="00275F1A">
        <w:rPr>
          <w:rFonts w:ascii="Arial" w:hAnsi="Arial" w:cs="Arial"/>
          <w:sz w:val="24"/>
          <w:szCs w:val="24"/>
        </w:rPr>
        <w:fldChar w:fldCharType="begin"/>
      </w:r>
      <w:r w:rsidR="00275F1A" w:rsidRPr="00275F1A">
        <w:rPr>
          <w:rFonts w:ascii="Arial" w:hAnsi="Arial" w:cs="Arial"/>
          <w:sz w:val="24"/>
          <w:szCs w:val="24"/>
        </w:rPr>
        <w:instrText xml:space="preserve"> ADDIN ZOTERO_ITEM {"citationID":"22krqtio3p","properties":{"formattedCitation":"(Slater, 2017)","plainCitation":"(Slater, 2017)"},"citationItems":[{"id":2450,"uris":["http://zotero.org/users/3284224/items/64F4SUHR"],"uri":["http://zotero.org/users/3284224/items/64F4SUHR"]}]} </w:instrText>
      </w:r>
      <w:r w:rsidR="00275F1A" w:rsidRPr="00275F1A">
        <w:rPr>
          <w:rFonts w:ascii="Arial" w:hAnsi="Arial" w:cs="Arial"/>
          <w:sz w:val="24"/>
          <w:szCs w:val="24"/>
        </w:rPr>
        <w:fldChar w:fldCharType="separate"/>
      </w:r>
      <w:r w:rsidR="00275F1A" w:rsidRPr="00275F1A">
        <w:rPr>
          <w:rFonts w:ascii="Arial" w:hAnsi="Arial" w:cs="Arial"/>
          <w:noProof/>
          <w:sz w:val="24"/>
          <w:szCs w:val="24"/>
        </w:rPr>
        <w:t>(Slater, 2017)</w:t>
      </w:r>
      <w:r w:rsidR="00275F1A" w:rsidRPr="00275F1A">
        <w:rPr>
          <w:rFonts w:ascii="Arial" w:hAnsi="Arial" w:cs="Arial"/>
          <w:sz w:val="24"/>
          <w:szCs w:val="24"/>
        </w:rPr>
        <w:fldChar w:fldCharType="end"/>
      </w:r>
      <w:r w:rsidR="00275F1A">
        <w:rPr>
          <w:rFonts w:ascii="Arial" w:hAnsi="Arial" w:cs="Arial"/>
          <w:sz w:val="24"/>
          <w:szCs w:val="24"/>
        </w:rPr>
        <w:t xml:space="preserve"> </w:t>
      </w:r>
      <w:r w:rsidR="00B408AE">
        <w:rPr>
          <w:rFonts w:ascii="Arial" w:hAnsi="Arial" w:cs="Arial"/>
          <w:sz w:val="24"/>
          <w:szCs w:val="24"/>
        </w:rPr>
        <w:t>others have</w:t>
      </w:r>
      <w:r w:rsidR="00B30379" w:rsidRPr="00030D8D">
        <w:rPr>
          <w:rFonts w:ascii="Arial" w:hAnsi="Arial" w:cs="Arial"/>
          <w:sz w:val="24"/>
          <w:szCs w:val="24"/>
        </w:rPr>
        <w:t xml:space="preserve"> </w:t>
      </w:r>
      <w:r w:rsidR="00E9718F">
        <w:rPr>
          <w:rFonts w:ascii="Arial" w:hAnsi="Arial" w:cs="Arial"/>
          <w:sz w:val="24"/>
          <w:szCs w:val="24"/>
        </w:rPr>
        <w:t>questioned the</w:t>
      </w:r>
      <w:r w:rsidR="00B30379" w:rsidRPr="00030D8D">
        <w:rPr>
          <w:rFonts w:ascii="Arial" w:hAnsi="Arial" w:cs="Arial"/>
          <w:sz w:val="24"/>
          <w:szCs w:val="24"/>
        </w:rPr>
        <w:t xml:space="preserve"> expansion of its remit</w:t>
      </w:r>
      <w:r w:rsidR="00FC7D0E" w:rsidRPr="00030D8D">
        <w:rPr>
          <w:rFonts w:ascii="Arial" w:hAnsi="Arial" w:cs="Arial"/>
          <w:sz w:val="24"/>
          <w:szCs w:val="24"/>
        </w:rPr>
        <w:t>, geogr</w:t>
      </w:r>
      <w:r w:rsidR="00301040" w:rsidRPr="00030D8D">
        <w:rPr>
          <w:rFonts w:ascii="Arial" w:hAnsi="Arial" w:cs="Arial"/>
          <w:sz w:val="24"/>
          <w:szCs w:val="24"/>
        </w:rPr>
        <w:t xml:space="preserve">aphically and historically, </w:t>
      </w:r>
      <w:r w:rsidR="00E9718F">
        <w:rPr>
          <w:rFonts w:ascii="Arial" w:hAnsi="Arial" w:cs="Arial"/>
          <w:sz w:val="24"/>
          <w:szCs w:val="24"/>
        </w:rPr>
        <w:t xml:space="preserve">in terms of </w:t>
      </w:r>
      <w:r w:rsidR="006B0BCA" w:rsidRPr="00030D8D">
        <w:rPr>
          <w:rFonts w:ascii="Arial" w:hAnsi="Arial" w:cs="Arial"/>
          <w:sz w:val="24"/>
          <w:szCs w:val="24"/>
        </w:rPr>
        <w:t xml:space="preserve">its </w:t>
      </w:r>
      <w:r w:rsidR="00301040" w:rsidRPr="00030D8D">
        <w:rPr>
          <w:rFonts w:ascii="Arial" w:hAnsi="Arial" w:cs="Arial"/>
          <w:sz w:val="24"/>
          <w:szCs w:val="24"/>
        </w:rPr>
        <w:t>explanatory power</w:t>
      </w:r>
      <w:r w:rsidR="00820C5E" w:rsidRPr="00030D8D">
        <w:rPr>
          <w:rFonts w:ascii="Arial" w:hAnsi="Arial" w:cs="Arial"/>
          <w:sz w:val="24"/>
          <w:szCs w:val="24"/>
        </w:rPr>
        <w:t>s</w:t>
      </w:r>
      <w:r w:rsidRPr="00030D8D">
        <w:rPr>
          <w:rFonts w:ascii="Arial" w:hAnsi="Arial" w:cs="Arial"/>
          <w:sz w:val="24"/>
          <w:szCs w:val="24"/>
        </w:rPr>
        <w:t xml:space="preserve"> </w:t>
      </w:r>
      <w:r w:rsidR="00E9718F">
        <w:rPr>
          <w:rFonts w:ascii="Arial" w:hAnsi="Arial" w:cs="Arial"/>
          <w:sz w:val="24"/>
          <w:szCs w:val="24"/>
        </w:rPr>
        <w:t xml:space="preserve">in concrete contexts </w:t>
      </w:r>
      <w:r w:rsidRPr="00030D8D">
        <w:rPr>
          <w:rFonts w:ascii="Arial" w:hAnsi="Arial" w:cs="Arial"/>
          <w:sz w:val="24"/>
          <w:szCs w:val="24"/>
        </w:rPr>
        <w:fldChar w:fldCharType="begin"/>
      </w:r>
      <w:r w:rsidR="0002216A" w:rsidRPr="00030D8D">
        <w:rPr>
          <w:rFonts w:ascii="Arial" w:hAnsi="Arial" w:cs="Arial"/>
          <w:sz w:val="24"/>
          <w:szCs w:val="24"/>
        </w:rPr>
        <w:instrText xml:space="preserve"> ADDIN ZOTERO_ITEM {"citationID":"35TgKipB","properties":{"unsorted":true,"formattedCitation":"(Ghertner, 2015; See also Bernt, 2016)","plainCitation":"(Ghertner, 2015; See also Bernt, 2016)"},"citationItems":[{"id":2420,"uris":["http://zotero.org/users/3284224/items/HZ6KRE2S"],"uri":["http://zotero.org/users/3284224/items/HZ6KRE2S"]},{"id":1170,"uris":["http://zotero.org/users/3284224/items/256UDPSX"],"uri":["http://zotero.org/users/3284224/items/256UDPSX"],"prefix":"See also"}]} </w:instrText>
      </w:r>
      <w:r w:rsidRPr="00030D8D">
        <w:rPr>
          <w:rFonts w:ascii="Arial" w:hAnsi="Arial" w:cs="Arial"/>
          <w:sz w:val="24"/>
          <w:szCs w:val="24"/>
        </w:rPr>
        <w:fldChar w:fldCharType="separate"/>
      </w:r>
      <w:r w:rsidR="00267019">
        <w:rPr>
          <w:rFonts w:ascii="Arial" w:hAnsi="Arial" w:cs="Arial"/>
          <w:sz w:val="24"/>
        </w:rPr>
        <w:t>(Ghertner, 2015</w:t>
      </w:r>
      <w:r w:rsidR="0074427F" w:rsidRPr="00030D8D">
        <w:rPr>
          <w:rFonts w:ascii="Arial" w:hAnsi="Arial" w:cs="Arial"/>
          <w:sz w:val="24"/>
        </w:rPr>
        <w:t>)</w:t>
      </w:r>
      <w:r w:rsidRPr="00030D8D">
        <w:rPr>
          <w:rFonts w:ascii="Arial" w:hAnsi="Arial" w:cs="Arial"/>
          <w:sz w:val="24"/>
          <w:szCs w:val="24"/>
        </w:rPr>
        <w:fldChar w:fldCharType="end"/>
      </w:r>
      <w:r w:rsidR="0074427F" w:rsidRPr="00030D8D">
        <w:rPr>
          <w:rFonts w:ascii="Arial" w:hAnsi="Arial" w:cs="Arial"/>
          <w:sz w:val="24"/>
          <w:szCs w:val="24"/>
        </w:rPr>
        <w:t>.</w:t>
      </w:r>
      <w:r w:rsidRPr="00030D8D">
        <w:rPr>
          <w:rFonts w:ascii="Arial" w:hAnsi="Arial" w:cs="Arial"/>
          <w:sz w:val="24"/>
          <w:szCs w:val="24"/>
        </w:rPr>
        <w:t xml:space="preserve"> </w:t>
      </w:r>
      <w:r w:rsidR="0074427F" w:rsidRPr="00030D8D">
        <w:rPr>
          <w:rFonts w:ascii="Arial" w:hAnsi="Arial" w:cs="Arial"/>
          <w:sz w:val="24"/>
          <w:szCs w:val="24"/>
        </w:rPr>
        <w:t>Beyond scholarly debates, researchers and activists seeking to educate and self-educate about dynamics of speculation and its effects</w:t>
      </w:r>
      <w:r w:rsidR="00820C5E" w:rsidRPr="00030D8D">
        <w:rPr>
          <w:rFonts w:ascii="Arial" w:hAnsi="Arial" w:cs="Arial"/>
          <w:sz w:val="24"/>
          <w:szCs w:val="24"/>
        </w:rPr>
        <w:t xml:space="preserve"> </w:t>
      </w:r>
      <w:r w:rsidR="0074427F" w:rsidRPr="00030D8D">
        <w:rPr>
          <w:rFonts w:ascii="Arial" w:hAnsi="Arial" w:cs="Arial"/>
          <w:sz w:val="24"/>
          <w:szCs w:val="24"/>
        </w:rPr>
        <w:t>often</w:t>
      </w:r>
      <w:r w:rsidR="00820C5E" w:rsidRPr="00030D8D">
        <w:rPr>
          <w:rFonts w:ascii="Arial" w:hAnsi="Arial" w:cs="Arial"/>
          <w:sz w:val="24"/>
          <w:szCs w:val="24"/>
        </w:rPr>
        <w:t xml:space="preserve"> fi</w:t>
      </w:r>
      <w:r w:rsidR="00AE5175">
        <w:rPr>
          <w:rFonts w:ascii="Arial" w:hAnsi="Arial" w:cs="Arial"/>
          <w:sz w:val="24"/>
          <w:szCs w:val="24"/>
        </w:rPr>
        <w:t>nd that the use of</w:t>
      </w:r>
      <w:r w:rsidR="0074427F" w:rsidRPr="00030D8D">
        <w:rPr>
          <w:rFonts w:ascii="Arial" w:hAnsi="Arial" w:cs="Arial"/>
          <w:sz w:val="24"/>
          <w:szCs w:val="24"/>
        </w:rPr>
        <w:t xml:space="preserve"> term</w:t>
      </w:r>
      <w:r w:rsidR="007D4078">
        <w:rPr>
          <w:rFonts w:ascii="Arial" w:hAnsi="Arial" w:cs="Arial"/>
          <w:sz w:val="24"/>
          <w:szCs w:val="24"/>
        </w:rPr>
        <w:t xml:space="preserve"> gentrification</w:t>
      </w:r>
      <w:r w:rsidR="00E04746">
        <w:rPr>
          <w:rFonts w:ascii="Arial" w:hAnsi="Arial" w:cs="Arial"/>
          <w:sz w:val="24"/>
          <w:szCs w:val="24"/>
        </w:rPr>
        <w:t xml:space="preserve"> </w:t>
      </w:r>
      <w:r w:rsidR="00AE5175">
        <w:rPr>
          <w:rFonts w:ascii="Arial" w:hAnsi="Arial" w:cs="Arial"/>
          <w:sz w:val="24"/>
          <w:szCs w:val="24"/>
        </w:rPr>
        <w:t xml:space="preserve">is </w:t>
      </w:r>
      <w:r w:rsidR="00FB5628" w:rsidRPr="00030D8D">
        <w:rPr>
          <w:rFonts w:ascii="Arial" w:hAnsi="Arial" w:cs="Arial"/>
          <w:sz w:val="24"/>
          <w:szCs w:val="24"/>
        </w:rPr>
        <w:t>too imprecise</w:t>
      </w:r>
      <w:r w:rsidR="00C94E2B" w:rsidRPr="00030D8D">
        <w:rPr>
          <w:rFonts w:ascii="Arial" w:hAnsi="Arial" w:cs="Arial"/>
          <w:sz w:val="24"/>
          <w:szCs w:val="24"/>
        </w:rPr>
        <w:t xml:space="preserve"> </w:t>
      </w:r>
      <w:r w:rsidR="00C94E2B" w:rsidRPr="00030D8D">
        <w:rPr>
          <w:rFonts w:ascii="Arial" w:hAnsi="Arial" w:cs="Arial"/>
          <w:sz w:val="24"/>
          <w:szCs w:val="24"/>
        </w:rPr>
        <w:fldChar w:fldCharType="begin"/>
      </w:r>
      <w:r w:rsidR="00C94E2B" w:rsidRPr="00030D8D">
        <w:rPr>
          <w:rFonts w:ascii="Arial" w:hAnsi="Arial" w:cs="Arial"/>
          <w:sz w:val="24"/>
          <w:szCs w:val="24"/>
        </w:rPr>
        <w:instrText xml:space="preserve"> ADDIN ZOTERO_ITEM {"citationID":"2kmdi7vnsj","properties":{"formattedCitation":"(Tracy, 2014)","plainCitation":"(Tracy, 2014)"},"citationItems":[{"id":2435,"uris":["http://zotero.org/users/3284224/items/GFXC5PUN"],"uri":["http://zotero.org/users/3284224/items/GFXC5PUN"]}]} </w:instrText>
      </w:r>
      <w:r w:rsidR="00C94E2B" w:rsidRPr="00030D8D">
        <w:rPr>
          <w:rFonts w:ascii="Arial" w:hAnsi="Arial" w:cs="Arial"/>
          <w:sz w:val="24"/>
          <w:szCs w:val="24"/>
        </w:rPr>
        <w:fldChar w:fldCharType="separate"/>
      </w:r>
      <w:r w:rsidR="00C94E2B" w:rsidRPr="00030D8D">
        <w:rPr>
          <w:rFonts w:ascii="Arial" w:hAnsi="Arial" w:cs="Arial"/>
          <w:noProof/>
          <w:sz w:val="24"/>
          <w:szCs w:val="24"/>
        </w:rPr>
        <w:t>(Tracy, 2014)</w:t>
      </w:r>
      <w:r w:rsidR="00C94E2B" w:rsidRPr="00030D8D">
        <w:rPr>
          <w:rFonts w:ascii="Arial" w:hAnsi="Arial" w:cs="Arial"/>
          <w:sz w:val="24"/>
          <w:szCs w:val="24"/>
        </w:rPr>
        <w:fldChar w:fldCharType="end"/>
      </w:r>
      <w:r w:rsidR="00AE5175">
        <w:rPr>
          <w:rFonts w:ascii="Arial" w:hAnsi="Arial" w:cs="Arial"/>
          <w:sz w:val="24"/>
          <w:szCs w:val="24"/>
        </w:rPr>
        <w:t>, too academic</w:t>
      </w:r>
      <w:r w:rsidR="00FB5628" w:rsidRPr="00030D8D">
        <w:rPr>
          <w:rFonts w:ascii="Arial" w:hAnsi="Arial" w:cs="Arial"/>
          <w:sz w:val="24"/>
          <w:szCs w:val="24"/>
        </w:rPr>
        <w:t xml:space="preserve"> or </w:t>
      </w:r>
      <w:r w:rsidR="00AE5175">
        <w:rPr>
          <w:rFonts w:ascii="Arial" w:hAnsi="Arial" w:cs="Arial"/>
          <w:sz w:val="24"/>
          <w:szCs w:val="24"/>
        </w:rPr>
        <w:t xml:space="preserve">foreign-sounding </w:t>
      </w:r>
      <w:r w:rsidR="00C94E2B" w:rsidRPr="00030D8D">
        <w:rPr>
          <w:rFonts w:ascii="Arial" w:hAnsi="Arial" w:cs="Arial"/>
          <w:sz w:val="24"/>
          <w:szCs w:val="24"/>
        </w:rPr>
        <w:fldChar w:fldCharType="begin"/>
      </w:r>
      <w:r w:rsidR="00C94E2B" w:rsidRPr="00030D8D">
        <w:rPr>
          <w:rFonts w:ascii="Arial" w:hAnsi="Arial" w:cs="Arial"/>
          <w:sz w:val="24"/>
          <w:szCs w:val="24"/>
        </w:rPr>
        <w:instrText xml:space="preserve"> ADDIN ZOTERO_ITEM {"citationID":"1ori18hmd8","properties":{"formattedCitation":"(Left Hand Rotation, 2017)","plainCitation":"(Left Hand Rotation, 2017)"},"citationItems":[{"id":2422,"uris":["http://zotero.org/users/3284224/items/TAAU48XP"],"uri":["http://zotero.org/users/3284224/items/TAAU48XP"]}]} </w:instrText>
      </w:r>
      <w:r w:rsidR="00C94E2B" w:rsidRPr="00030D8D">
        <w:rPr>
          <w:rFonts w:ascii="Arial" w:hAnsi="Arial" w:cs="Arial"/>
          <w:sz w:val="24"/>
          <w:szCs w:val="24"/>
        </w:rPr>
        <w:fldChar w:fldCharType="separate"/>
      </w:r>
      <w:r w:rsidR="00C94E2B" w:rsidRPr="00030D8D">
        <w:rPr>
          <w:rFonts w:ascii="Arial" w:hAnsi="Arial" w:cs="Arial"/>
          <w:noProof/>
          <w:sz w:val="24"/>
          <w:szCs w:val="24"/>
        </w:rPr>
        <w:t>(Left Hand Rotation, 2017)</w:t>
      </w:r>
      <w:r w:rsidR="00C94E2B" w:rsidRPr="00030D8D">
        <w:rPr>
          <w:rFonts w:ascii="Arial" w:hAnsi="Arial" w:cs="Arial"/>
          <w:sz w:val="24"/>
          <w:szCs w:val="24"/>
        </w:rPr>
        <w:fldChar w:fldCharType="end"/>
      </w:r>
      <w:r w:rsidR="00AE5175">
        <w:rPr>
          <w:rFonts w:ascii="Arial" w:hAnsi="Arial" w:cs="Arial"/>
          <w:sz w:val="24"/>
          <w:szCs w:val="24"/>
        </w:rPr>
        <w:t xml:space="preserve"> for effective analysis and organising</w:t>
      </w:r>
      <w:r w:rsidR="0050319B" w:rsidRPr="00030D8D">
        <w:rPr>
          <w:rFonts w:ascii="Arial" w:hAnsi="Arial" w:cs="Arial"/>
          <w:sz w:val="24"/>
          <w:szCs w:val="24"/>
        </w:rPr>
        <w:t xml:space="preserve">. </w:t>
      </w:r>
      <w:r w:rsidR="00ED330B">
        <w:rPr>
          <w:rFonts w:ascii="Arial" w:hAnsi="Arial" w:cs="Arial"/>
          <w:sz w:val="24"/>
          <w:szCs w:val="24"/>
        </w:rPr>
        <w:t>E</w:t>
      </w:r>
      <w:r w:rsidR="00ED330B" w:rsidRPr="00030D8D">
        <w:rPr>
          <w:rFonts w:ascii="Arial" w:hAnsi="Arial" w:cs="Arial"/>
          <w:sz w:val="24"/>
          <w:szCs w:val="24"/>
        </w:rPr>
        <w:t>ffective political communication about social justice issues is based on careful narrative choice</w:t>
      </w:r>
      <w:r w:rsidR="00ED330B">
        <w:rPr>
          <w:rFonts w:ascii="Arial" w:hAnsi="Arial" w:cs="Arial"/>
          <w:sz w:val="24"/>
          <w:szCs w:val="24"/>
        </w:rPr>
        <w:t>s</w:t>
      </w:r>
      <w:r w:rsidR="00ED330B" w:rsidRPr="00030D8D">
        <w:rPr>
          <w:rFonts w:ascii="Arial" w:hAnsi="Arial" w:cs="Arial"/>
          <w:sz w:val="24"/>
          <w:szCs w:val="24"/>
        </w:rPr>
        <w:t xml:space="preserve"> between </w:t>
      </w:r>
      <w:r w:rsidR="00ED330B">
        <w:rPr>
          <w:rFonts w:ascii="Arial" w:hAnsi="Arial" w:cs="Arial"/>
          <w:sz w:val="24"/>
          <w:szCs w:val="24"/>
        </w:rPr>
        <w:t>naming issues or their causes</w:t>
      </w:r>
      <w:r w:rsidR="00B150DC">
        <w:rPr>
          <w:rFonts w:ascii="Arial" w:hAnsi="Arial" w:cs="Arial"/>
          <w:sz w:val="24"/>
          <w:szCs w:val="24"/>
        </w:rPr>
        <w:t xml:space="preserve">. </w:t>
      </w:r>
      <w:r w:rsidR="005D5F17" w:rsidRPr="00030D8D">
        <w:rPr>
          <w:rFonts w:ascii="Arial" w:hAnsi="Arial" w:cs="Arial"/>
          <w:sz w:val="24"/>
          <w:szCs w:val="24"/>
        </w:rPr>
        <w:t xml:space="preserve">In movements for housing and urban justice, </w:t>
      </w:r>
      <w:r w:rsidR="005D5F17">
        <w:rPr>
          <w:rFonts w:ascii="Arial" w:hAnsi="Arial" w:cs="Arial"/>
          <w:sz w:val="24"/>
          <w:szCs w:val="24"/>
        </w:rPr>
        <w:t>across both ‘northern’ and ‘southern’ experiences, the use of the term</w:t>
      </w:r>
      <w:r w:rsidR="005D5F17" w:rsidRPr="00030D8D">
        <w:rPr>
          <w:rFonts w:ascii="Arial" w:hAnsi="Arial" w:cs="Arial"/>
          <w:sz w:val="24"/>
          <w:szCs w:val="24"/>
        </w:rPr>
        <w:t xml:space="preserve"> gentrification </w:t>
      </w:r>
      <w:r w:rsidR="005D5F17">
        <w:rPr>
          <w:rFonts w:ascii="Arial" w:hAnsi="Arial" w:cs="Arial"/>
          <w:sz w:val="24"/>
          <w:szCs w:val="24"/>
        </w:rPr>
        <w:t xml:space="preserve">ebbs and wanes between appeals to particularism and claims to universalism </w:t>
      </w:r>
      <w:r w:rsidR="005D5F17">
        <w:rPr>
          <w:rFonts w:ascii="Arial" w:hAnsi="Arial" w:cs="Arial"/>
          <w:sz w:val="24"/>
          <w:szCs w:val="24"/>
        </w:rPr>
        <w:fldChar w:fldCharType="begin"/>
      </w:r>
      <w:r w:rsidR="005D5F17">
        <w:rPr>
          <w:rFonts w:ascii="Arial" w:hAnsi="Arial" w:cs="Arial"/>
          <w:sz w:val="24"/>
          <w:szCs w:val="24"/>
        </w:rPr>
        <w:instrText xml:space="preserve"> ADDIN ZOTERO_ITEM {"citationID":"1eu0r05tti","properties":{"formattedCitation":"(Bernt, 2016)","plainCitation":"(Bernt, 2016)"},"citationItems":[{"id":1170,"uris":["http://zotero.org/users/3284224/items/256UDPSX"],"uri":["http://zotero.org/users/3284224/items/256UDPSX"]}]} </w:instrText>
      </w:r>
      <w:r w:rsidR="005D5F17">
        <w:rPr>
          <w:rFonts w:ascii="Arial" w:hAnsi="Arial" w:cs="Arial"/>
          <w:sz w:val="24"/>
          <w:szCs w:val="24"/>
        </w:rPr>
        <w:fldChar w:fldCharType="separate"/>
      </w:r>
      <w:r w:rsidR="005D5F17">
        <w:rPr>
          <w:rFonts w:ascii="Arial" w:hAnsi="Arial" w:cs="Arial"/>
          <w:noProof/>
          <w:sz w:val="24"/>
          <w:szCs w:val="24"/>
        </w:rPr>
        <w:t>(Bernt, 2016)</w:t>
      </w:r>
      <w:r w:rsidR="005D5F17">
        <w:rPr>
          <w:rFonts w:ascii="Arial" w:hAnsi="Arial" w:cs="Arial"/>
          <w:sz w:val="24"/>
          <w:szCs w:val="24"/>
        </w:rPr>
        <w:fldChar w:fldCharType="end"/>
      </w:r>
      <w:r w:rsidR="005D5F17">
        <w:rPr>
          <w:rFonts w:ascii="Arial" w:hAnsi="Arial" w:cs="Arial"/>
          <w:sz w:val="24"/>
          <w:szCs w:val="24"/>
        </w:rPr>
        <w:t xml:space="preserve">. </w:t>
      </w:r>
    </w:p>
    <w:p w14:paraId="1AAD5508" w14:textId="77777777" w:rsidR="00E04746" w:rsidRPr="00030D8D" w:rsidRDefault="00E04746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68E2FF" w14:textId="77777777" w:rsidR="00B6764F" w:rsidRDefault="00FE0C48" w:rsidP="00B6764F">
      <w:pPr>
        <w:pStyle w:val="p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D8D">
        <w:rPr>
          <w:rFonts w:ascii="Arial" w:hAnsi="Arial" w:cs="Arial"/>
          <w:sz w:val="24"/>
          <w:szCs w:val="24"/>
        </w:rPr>
        <w:t>With this</w:t>
      </w:r>
      <w:r w:rsidR="0002216A" w:rsidRPr="00030D8D">
        <w:rPr>
          <w:rFonts w:ascii="Arial" w:hAnsi="Arial" w:cs="Arial"/>
          <w:sz w:val="24"/>
          <w:szCs w:val="24"/>
        </w:rPr>
        <w:t xml:space="preserve"> article</w:t>
      </w:r>
      <w:r w:rsidR="00AB569D">
        <w:rPr>
          <w:rFonts w:ascii="Arial" w:hAnsi="Arial" w:cs="Arial"/>
          <w:sz w:val="24"/>
          <w:szCs w:val="24"/>
        </w:rPr>
        <w:t>,</w:t>
      </w:r>
      <w:r w:rsidRPr="00030D8D">
        <w:rPr>
          <w:rFonts w:ascii="Arial" w:hAnsi="Arial" w:cs="Arial"/>
          <w:sz w:val="24"/>
          <w:szCs w:val="24"/>
        </w:rPr>
        <w:t xml:space="preserve"> I </w:t>
      </w:r>
      <w:r w:rsidR="005B58A5">
        <w:rPr>
          <w:rFonts w:ascii="Arial" w:hAnsi="Arial" w:cs="Arial"/>
          <w:sz w:val="24"/>
          <w:szCs w:val="24"/>
        </w:rPr>
        <w:t xml:space="preserve">want to </w:t>
      </w:r>
      <w:r w:rsidR="00966BF2">
        <w:rPr>
          <w:rFonts w:ascii="Arial" w:hAnsi="Arial" w:cs="Arial"/>
          <w:sz w:val="24"/>
          <w:szCs w:val="24"/>
        </w:rPr>
        <w:t>offer a reflection on</w:t>
      </w:r>
      <w:r w:rsidRPr="00030D8D">
        <w:rPr>
          <w:rFonts w:ascii="Arial" w:hAnsi="Arial" w:cs="Arial"/>
          <w:sz w:val="24"/>
          <w:szCs w:val="24"/>
        </w:rPr>
        <w:t xml:space="preserve"> the rationale and politics of using ‘gentrification’ in </w:t>
      </w:r>
      <w:r w:rsidR="00C94E2B" w:rsidRPr="00030D8D">
        <w:rPr>
          <w:rFonts w:ascii="Arial" w:hAnsi="Arial" w:cs="Arial"/>
          <w:sz w:val="24"/>
          <w:szCs w:val="24"/>
        </w:rPr>
        <w:t>urban social justice mobilisation</w:t>
      </w:r>
      <w:r w:rsidR="00743C2B">
        <w:rPr>
          <w:rFonts w:ascii="Arial" w:hAnsi="Arial" w:cs="Arial"/>
          <w:sz w:val="24"/>
          <w:szCs w:val="24"/>
        </w:rPr>
        <w:t>. The discussion is grounded</w:t>
      </w:r>
      <w:r w:rsidRPr="00030D8D">
        <w:rPr>
          <w:rFonts w:ascii="Arial" w:hAnsi="Arial" w:cs="Arial"/>
          <w:sz w:val="24"/>
          <w:szCs w:val="24"/>
        </w:rPr>
        <w:t xml:space="preserve"> </w:t>
      </w:r>
      <w:r w:rsidR="00743C2B">
        <w:rPr>
          <w:rFonts w:ascii="Arial" w:hAnsi="Arial" w:cs="Arial"/>
          <w:sz w:val="24"/>
          <w:szCs w:val="24"/>
        </w:rPr>
        <w:t>in the</w:t>
      </w:r>
      <w:r w:rsidR="00A80344" w:rsidRPr="00030D8D">
        <w:rPr>
          <w:rFonts w:ascii="Arial" w:hAnsi="Arial" w:cs="Arial"/>
          <w:sz w:val="24"/>
          <w:szCs w:val="24"/>
        </w:rPr>
        <w:t xml:space="preserve"> experience of producing ‘Staying put: an anti-gentrification handbook for council estates in London’ </w:t>
      </w:r>
      <w:r w:rsidR="0002216A" w:rsidRPr="00030D8D">
        <w:rPr>
          <w:rFonts w:ascii="Arial" w:hAnsi="Arial" w:cs="Arial"/>
          <w:sz w:val="24"/>
          <w:szCs w:val="24"/>
        </w:rPr>
        <w:fldChar w:fldCharType="begin"/>
      </w:r>
      <w:r w:rsidR="008746C3">
        <w:rPr>
          <w:rFonts w:ascii="Arial" w:hAnsi="Arial" w:cs="Arial"/>
          <w:sz w:val="24"/>
          <w:szCs w:val="24"/>
        </w:rPr>
        <w:instrText xml:space="preserve"> ADDIN ZOTERO_ITEM {"citationID":"MhIYXzZT","properties":{"unsorted":true,"formattedCitation":"(London Tenants Federation et al., 2014; See also Lees and Ferreri, 2016)","plainCitation":"(London Tenants Federation et al., 2014; See also Lees and Ferreri, 2016)"},"citationItems":[{"id":1792,"uris":["http://zotero.org/users/3284224/items/U87JG44C"],"uri":["http://zotero.org/users/3284224/items/U87JG44C"]},{"id":165,"uris":["http://zotero.org/users/3284224/items/B5TAZD6Q"],"uri":["http://zotero.org/users/3284224/items/B5TAZD6Q"],"prefix":"See also"}]} </w:instrText>
      </w:r>
      <w:r w:rsidR="0002216A" w:rsidRPr="00030D8D">
        <w:rPr>
          <w:rFonts w:ascii="Arial" w:hAnsi="Arial" w:cs="Arial"/>
          <w:sz w:val="24"/>
          <w:szCs w:val="24"/>
        </w:rPr>
        <w:fldChar w:fldCharType="separate"/>
      </w:r>
      <w:r w:rsidR="008746C3">
        <w:rPr>
          <w:rFonts w:ascii="Arial" w:hAnsi="Arial" w:cs="Arial"/>
          <w:noProof/>
          <w:sz w:val="24"/>
          <w:szCs w:val="24"/>
        </w:rPr>
        <w:t>(London Tenants Federation et al., 2014; see also Lees and Ferreri, 2016)</w:t>
      </w:r>
      <w:r w:rsidR="0002216A" w:rsidRPr="00030D8D">
        <w:rPr>
          <w:rFonts w:ascii="Arial" w:hAnsi="Arial" w:cs="Arial"/>
          <w:sz w:val="24"/>
          <w:szCs w:val="24"/>
        </w:rPr>
        <w:fldChar w:fldCharType="end"/>
      </w:r>
      <w:r w:rsidR="001863C7">
        <w:rPr>
          <w:rFonts w:ascii="Arial" w:hAnsi="Arial" w:cs="Arial"/>
          <w:sz w:val="24"/>
          <w:szCs w:val="24"/>
        </w:rPr>
        <w:t xml:space="preserve">. </w:t>
      </w:r>
      <w:r w:rsidR="00EC203C">
        <w:rPr>
          <w:rFonts w:ascii="Arial" w:hAnsi="Arial" w:cs="Arial"/>
          <w:sz w:val="24"/>
          <w:szCs w:val="24"/>
        </w:rPr>
        <w:t>Moving b</w:t>
      </w:r>
      <w:r w:rsidR="0032247C" w:rsidRPr="00030D8D">
        <w:rPr>
          <w:rFonts w:ascii="Arial" w:hAnsi="Arial" w:cs="Arial"/>
          <w:sz w:val="24"/>
          <w:szCs w:val="24"/>
        </w:rPr>
        <w:t xml:space="preserve">eyond the </w:t>
      </w:r>
      <w:r w:rsidR="002E5B4A">
        <w:rPr>
          <w:rFonts w:ascii="Arial" w:hAnsi="Arial" w:cs="Arial"/>
          <w:sz w:val="24"/>
          <w:szCs w:val="24"/>
        </w:rPr>
        <w:t xml:space="preserve">particularism of the </w:t>
      </w:r>
      <w:r w:rsidR="0032247C" w:rsidRPr="00030D8D">
        <w:rPr>
          <w:rFonts w:ascii="Arial" w:hAnsi="Arial" w:cs="Arial"/>
          <w:sz w:val="24"/>
          <w:szCs w:val="24"/>
        </w:rPr>
        <w:t>paradigmatic ‘global north’ examp</w:t>
      </w:r>
      <w:r w:rsidR="000E5408">
        <w:rPr>
          <w:rFonts w:ascii="Arial" w:hAnsi="Arial" w:cs="Arial"/>
          <w:sz w:val="24"/>
          <w:szCs w:val="24"/>
        </w:rPr>
        <w:t>le of London, I widen</w:t>
      </w:r>
      <w:r w:rsidR="0095482F">
        <w:rPr>
          <w:rFonts w:ascii="Arial" w:hAnsi="Arial" w:cs="Arial"/>
          <w:sz w:val="24"/>
          <w:szCs w:val="24"/>
        </w:rPr>
        <w:t xml:space="preserve"> my</w:t>
      </w:r>
      <w:r w:rsidR="0032247C" w:rsidRPr="00030D8D">
        <w:rPr>
          <w:rFonts w:ascii="Arial" w:hAnsi="Arial" w:cs="Arial"/>
          <w:sz w:val="24"/>
          <w:szCs w:val="24"/>
        </w:rPr>
        <w:t xml:space="preserve"> reflection </w:t>
      </w:r>
      <w:r w:rsidR="000528BA">
        <w:rPr>
          <w:rFonts w:ascii="Arial" w:hAnsi="Arial" w:cs="Arial"/>
          <w:sz w:val="24"/>
          <w:szCs w:val="24"/>
        </w:rPr>
        <w:t>by engaging with</w:t>
      </w:r>
      <w:r w:rsidR="0095482F">
        <w:rPr>
          <w:rFonts w:ascii="Arial" w:hAnsi="Arial" w:cs="Arial"/>
          <w:sz w:val="24"/>
          <w:szCs w:val="24"/>
        </w:rPr>
        <w:t xml:space="preserve"> anti-gentrification, anti-displacement and anti-eviction</w:t>
      </w:r>
      <w:r w:rsidR="0032247C" w:rsidRPr="00030D8D">
        <w:rPr>
          <w:rFonts w:ascii="Arial" w:hAnsi="Arial" w:cs="Arial"/>
          <w:sz w:val="24"/>
          <w:szCs w:val="24"/>
        </w:rPr>
        <w:t xml:space="preserve"> </w:t>
      </w:r>
      <w:r w:rsidR="00BF1827">
        <w:rPr>
          <w:rFonts w:ascii="Arial" w:hAnsi="Arial" w:cs="Arial"/>
          <w:sz w:val="24"/>
          <w:szCs w:val="24"/>
        </w:rPr>
        <w:t xml:space="preserve">projects and </w:t>
      </w:r>
      <w:r w:rsidR="0032247C" w:rsidRPr="00030D8D">
        <w:rPr>
          <w:rFonts w:ascii="Arial" w:hAnsi="Arial" w:cs="Arial"/>
          <w:sz w:val="24"/>
          <w:szCs w:val="24"/>
        </w:rPr>
        <w:t>mobilisations</w:t>
      </w:r>
      <w:r w:rsidR="000528BA">
        <w:rPr>
          <w:rFonts w:ascii="Arial" w:hAnsi="Arial" w:cs="Arial"/>
          <w:sz w:val="24"/>
          <w:szCs w:val="24"/>
        </w:rPr>
        <w:t xml:space="preserve"> that have emerged since the publication of the booklet</w:t>
      </w:r>
      <w:r w:rsidR="0032247C" w:rsidRPr="00030D8D">
        <w:rPr>
          <w:rFonts w:ascii="Arial" w:hAnsi="Arial" w:cs="Arial"/>
          <w:sz w:val="24"/>
          <w:szCs w:val="24"/>
        </w:rPr>
        <w:t>.</w:t>
      </w:r>
      <w:r w:rsidR="00A80344" w:rsidRPr="00030D8D">
        <w:rPr>
          <w:rFonts w:ascii="Arial" w:hAnsi="Arial" w:cs="Arial"/>
          <w:sz w:val="24"/>
          <w:szCs w:val="24"/>
        </w:rPr>
        <w:t xml:space="preserve"> </w:t>
      </w:r>
      <w:r w:rsidR="00BE0FD2">
        <w:rPr>
          <w:rFonts w:ascii="Arial" w:hAnsi="Arial" w:cs="Arial"/>
          <w:sz w:val="24"/>
          <w:szCs w:val="24"/>
        </w:rPr>
        <w:t>Understanding how</w:t>
      </w:r>
      <w:r w:rsidR="00C66DFE">
        <w:rPr>
          <w:rFonts w:ascii="Arial" w:hAnsi="Arial" w:cs="Arial"/>
          <w:sz w:val="24"/>
          <w:szCs w:val="24"/>
        </w:rPr>
        <w:t xml:space="preserve"> different</w:t>
      </w:r>
      <w:r w:rsidR="0032247C" w:rsidRPr="00030D8D">
        <w:rPr>
          <w:rFonts w:ascii="Arial" w:hAnsi="Arial" w:cs="Arial"/>
          <w:sz w:val="24"/>
          <w:szCs w:val="24"/>
        </w:rPr>
        <w:t xml:space="preserve"> </w:t>
      </w:r>
      <w:r w:rsidR="0032247C" w:rsidRPr="00030D8D">
        <w:rPr>
          <w:rFonts w:ascii="Arial" w:hAnsi="Arial" w:cs="Arial"/>
          <w:sz w:val="24"/>
          <w:szCs w:val="24"/>
        </w:rPr>
        <w:lastRenderedPageBreak/>
        <w:t xml:space="preserve">discursive strategies </w:t>
      </w:r>
      <w:r w:rsidR="00BE0FD2">
        <w:rPr>
          <w:rFonts w:ascii="Arial" w:hAnsi="Arial" w:cs="Arial"/>
          <w:sz w:val="24"/>
          <w:szCs w:val="24"/>
        </w:rPr>
        <w:t xml:space="preserve">are </w:t>
      </w:r>
      <w:r w:rsidR="0032247C" w:rsidRPr="00030D8D">
        <w:rPr>
          <w:rFonts w:ascii="Arial" w:hAnsi="Arial" w:cs="Arial"/>
          <w:sz w:val="24"/>
          <w:szCs w:val="24"/>
        </w:rPr>
        <w:t xml:space="preserve">deployed </w:t>
      </w:r>
      <w:r w:rsidR="00455F33">
        <w:rPr>
          <w:rFonts w:ascii="Arial" w:hAnsi="Arial" w:cs="Arial"/>
          <w:sz w:val="24"/>
          <w:szCs w:val="24"/>
        </w:rPr>
        <w:t>has significant</w:t>
      </w:r>
      <w:r w:rsidR="00A02FC3" w:rsidRPr="00030D8D">
        <w:rPr>
          <w:rFonts w:ascii="Arial" w:hAnsi="Arial" w:cs="Arial"/>
          <w:sz w:val="24"/>
          <w:szCs w:val="24"/>
        </w:rPr>
        <w:t xml:space="preserve"> political implications </w:t>
      </w:r>
      <w:r w:rsidR="0032247C" w:rsidRPr="00030D8D">
        <w:rPr>
          <w:rFonts w:ascii="Arial" w:hAnsi="Arial" w:cs="Arial"/>
          <w:sz w:val="24"/>
          <w:szCs w:val="24"/>
        </w:rPr>
        <w:t>as the naming</w:t>
      </w:r>
      <w:r w:rsidR="00A80344" w:rsidRPr="00030D8D">
        <w:rPr>
          <w:rFonts w:ascii="Arial" w:hAnsi="Arial" w:cs="Arial"/>
          <w:sz w:val="24"/>
          <w:szCs w:val="24"/>
        </w:rPr>
        <w:t xml:space="preserve"> </w:t>
      </w:r>
      <w:r w:rsidR="0032247C" w:rsidRPr="00030D8D">
        <w:rPr>
          <w:rFonts w:ascii="Arial" w:hAnsi="Arial" w:cs="Arial"/>
          <w:sz w:val="24"/>
          <w:szCs w:val="24"/>
        </w:rPr>
        <w:t>of causes and symptoms give visibility to some</w:t>
      </w:r>
      <w:r w:rsidR="00A80344" w:rsidRPr="00030D8D">
        <w:rPr>
          <w:rFonts w:ascii="Arial" w:hAnsi="Arial" w:cs="Arial"/>
          <w:sz w:val="24"/>
          <w:szCs w:val="24"/>
        </w:rPr>
        <w:t xml:space="preserve"> pr</w:t>
      </w:r>
      <w:r w:rsidR="00492AE8" w:rsidRPr="00030D8D">
        <w:rPr>
          <w:rFonts w:ascii="Arial" w:hAnsi="Arial" w:cs="Arial"/>
          <w:sz w:val="24"/>
          <w:szCs w:val="24"/>
        </w:rPr>
        <w:t>ocesses</w:t>
      </w:r>
      <w:r w:rsidR="0032247C" w:rsidRPr="00030D8D">
        <w:rPr>
          <w:rFonts w:ascii="Arial" w:hAnsi="Arial" w:cs="Arial"/>
          <w:sz w:val="24"/>
          <w:szCs w:val="24"/>
        </w:rPr>
        <w:t xml:space="preserve"> while</w:t>
      </w:r>
      <w:r w:rsidR="00492AE8" w:rsidRPr="00030D8D">
        <w:rPr>
          <w:rFonts w:ascii="Arial" w:hAnsi="Arial" w:cs="Arial"/>
          <w:sz w:val="24"/>
          <w:szCs w:val="24"/>
        </w:rPr>
        <w:t xml:space="preserve"> obscuring others. </w:t>
      </w:r>
    </w:p>
    <w:p w14:paraId="764C8608" w14:textId="58D91A4A" w:rsidR="00742ECC" w:rsidRPr="00B6764F" w:rsidRDefault="00357392" w:rsidP="00B6764F">
      <w:pPr>
        <w:pStyle w:val="p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D8D">
        <w:rPr>
          <w:rFonts w:ascii="Arial" w:hAnsi="Arial" w:cs="Arial"/>
          <w:i/>
          <w:sz w:val="24"/>
          <w:szCs w:val="24"/>
        </w:rPr>
        <w:t>Urban ‘centrifugation’</w:t>
      </w:r>
      <w:r w:rsidR="000A53C4" w:rsidRPr="00030D8D">
        <w:rPr>
          <w:rFonts w:ascii="Arial" w:hAnsi="Arial" w:cs="Arial"/>
          <w:i/>
          <w:sz w:val="24"/>
          <w:szCs w:val="24"/>
        </w:rPr>
        <w:t xml:space="preserve"> </w:t>
      </w:r>
    </w:p>
    <w:p w14:paraId="380127EE" w14:textId="6A3871CB" w:rsidR="00982AD2" w:rsidRPr="0071171D" w:rsidRDefault="00742ECC" w:rsidP="00A272A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 w:eastAsia="en-GB"/>
        </w:rPr>
        <w:t>P</w:t>
      </w:r>
      <w:r w:rsidR="00F53B32">
        <w:rPr>
          <w:rFonts w:ascii="Arial" w:hAnsi="Arial" w:cs="Arial"/>
          <w:sz w:val="24"/>
          <w:szCs w:val="24"/>
          <w:lang w:val="en-GB"/>
        </w:rPr>
        <w:t>articipation</w:t>
      </w:r>
      <w:r w:rsidR="00225101" w:rsidRPr="00030D8D">
        <w:rPr>
          <w:rFonts w:ascii="Arial" w:hAnsi="Arial" w:cs="Arial"/>
          <w:sz w:val="24"/>
          <w:szCs w:val="24"/>
          <w:lang w:val="en-GB"/>
        </w:rPr>
        <w:t xml:space="preserve"> in</w:t>
      </w:r>
      <w:r w:rsidR="00C9490D" w:rsidRPr="00030D8D">
        <w:rPr>
          <w:rFonts w:ascii="Arial" w:hAnsi="Arial" w:cs="Arial"/>
          <w:sz w:val="24"/>
          <w:szCs w:val="24"/>
          <w:lang w:val="en-GB"/>
        </w:rPr>
        <w:t xml:space="preserve"> public debates</w:t>
      </w:r>
      <w:r w:rsidR="00225101" w:rsidRPr="00030D8D">
        <w:rPr>
          <w:rFonts w:ascii="Arial" w:hAnsi="Arial" w:cs="Arial"/>
          <w:sz w:val="24"/>
          <w:szCs w:val="24"/>
          <w:lang w:val="en-GB"/>
        </w:rPr>
        <w:t xml:space="preserve"> on gentrification</w:t>
      </w:r>
      <w:r w:rsidR="00C9490D" w:rsidRPr="00030D8D">
        <w:rPr>
          <w:rFonts w:ascii="Arial" w:hAnsi="Arial" w:cs="Arial"/>
          <w:sz w:val="24"/>
          <w:szCs w:val="24"/>
          <w:lang w:val="en-GB"/>
        </w:rPr>
        <w:t xml:space="preserve"> in</w:t>
      </w:r>
      <w:r w:rsidR="00225101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957E6B" w:rsidRPr="00030D8D">
        <w:rPr>
          <w:rFonts w:ascii="Arial" w:hAnsi="Arial" w:cs="Arial"/>
          <w:sz w:val="24"/>
          <w:szCs w:val="24"/>
          <w:lang w:val="en-GB"/>
        </w:rPr>
        <w:t>non-</w:t>
      </w:r>
      <w:r w:rsidR="00F53B32">
        <w:rPr>
          <w:rFonts w:ascii="Arial" w:hAnsi="Arial" w:cs="Arial"/>
          <w:sz w:val="24"/>
          <w:szCs w:val="24"/>
          <w:lang w:val="en-GB"/>
        </w:rPr>
        <w:t>English speaking countries has brought me to observe</w:t>
      </w:r>
      <w:r w:rsidR="0032247C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C9490D" w:rsidRPr="00030D8D">
        <w:rPr>
          <w:rFonts w:ascii="Arial" w:hAnsi="Arial" w:cs="Arial"/>
          <w:sz w:val="24"/>
          <w:szCs w:val="24"/>
          <w:lang w:val="en-GB"/>
        </w:rPr>
        <w:t>how</w:t>
      </w:r>
      <w:r w:rsidR="00957E6B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C9490D" w:rsidRPr="00030D8D">
        <w:rPr>
          <w:rFonts w:ascii="Arial" w:hAnsi="Arial" w:cs="Arial"/>
          <w:sz w:val="24"/>
          <w:szCs w:val="24"/>
          <w:lang w:val="en-GB"/>
        </w:rPr>
        <w:t xml:space="preserve">the </w:t>
      </w:r>
      <w:r w:rsidR="00957E6B" w:rsidRPr="00030D8D">
        <w:rPr>
          <w:rFonts w:ascii="Arial" w:hAnsi="Arial" w:cs="Arial"/>
          <w:sz w:val="24"/>
          <w:szCs w:val="24"/>
          <w:lang w:val="en-GB"/>
        </w:rPr>
        <w:t>word</w:t>
      </w:r>
      <w:r w:rsidR="00C9490D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C9490D" w:rsidRPr="00030D8D">
        <w:rPr>
          <w:rFonts w:ascii="Arial" w:hAnsi="Arial" w:cs="Arial"/>
          <w:i/>
          <w:sz w:val="24"/>
          <w:szCs w:val="24"/>
          <w:lang w:val="en-GB"/>
        </w:rPr>
        <w:t>gentrification</w:t>
      </w:r>
      <w:r w:rsidR="00957E6B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DC2B5E" w:rsidRPr="00030D8D">
        <w:rPr>
          <w:rFonts w:ascii="Arial" w:hAnsi="Arial" w:cs="Arial"/>
          <w:sz w:val="24"/>
          <w:szCs w:val="24"/>
          <w:lang w:val="en-GB"/>
        </w:rPr>
        <w:t xml:space="preserve">is </w:t>
      </w:r>
      <w:r w:rsidR="00E6659F">
        <w:rPr>
          <w:rFonts w:ascii="Arial" w:hAnsi="Arial" w:cs="Arial"/>
          <w:sz w:val="24"/>
          <w:szCs w:val="24"/>
          <w:lang w:val="en-GB"/>
        </w:rPr>
        <w:t xml:space="preserve">frequently </w:t>
      </w:r>
      <w:r w:rsidR="00957E6B" w:rsidRPr="00030D8D">
        <w:rPr>
          <w:rFonts w:ascii="Arial" w:hAnsi="Arial" w:cs="Arial"/>
          <w:sz w:val="24"/>
          <w:szCs w:val="24"/>
          <w:lang w:val="en-GB"/>
        </w:rPr>
        <w:t>mish</w:t>
      </w:r>
      <w:r w:rsidR="0071171D">
        <w:rPr>
          <w:rFonts w:ascii="Arial" w:hAnsi="Arial" w:cs="Arial"/>
          <w:sz w:val="24"/>
          <w:szCs w:val="24"/>
          <w:lang w:val="en-GB"/>
        </w:rPr>
        <w:t xml:space="preserve">eard or </w:t>
      </w:r>
      <w:r w:rsidR="008C03DE">
        <w:rPr>
          <w:rFonts w:ascii="Arial" w:hAnsi="Arial" w:cs="Arial"/>
          <w:sz w:val="24"/>
          <w:szCs w:val="24"/>
          <w:lang w:val="en-GB"/>
        </w:rPr>
        <w:t>met with incomprehension</w:t>
      </w:r>
      <w:r w:rsidR="0071171D">
        <w:rPr>
          <w:rFonts w:ascii="Arial" w:hAnsi="Arial" w:cs="Arial"/>
          <w:sz w:val="24"/>
          <w:szCs w:val="24"/>
          <w:lang w:val="en-GB"/>
        </w:rPr>
        <w:t xml:space="preserve">. 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Attempts at </w:t>
      </w:r>
      <w:r w:rsidR="0071171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popularisation 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have at times resorted to humour, as with the </w:t>
      </w:r>
      <w:r w:rsidR="0071171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international 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t>workshops ‘Gentrificación no es un nombre de señora’ (Spanish for ´Gentrif</w:t>
      </w:r>
      <w:r w:rsidR="0071171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ication is not a lady’s name´) 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ran by </w:t>
      </w:r>
      <w:r w:rsidR="0071171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collective’s Left Hand Rotation 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fldChar w:fldCharType="begin"/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instrText xml:space="preserve"> ADDIN ZOTERO_ITEM {"citationID":"1i1krhell5","properties":{"formattedCitation":"(Left Hand Rotation, 2017)","plainCitation":"(Left Hand Rotation, 2017)"},"citationItems":[{"id":2422,"uris":["http://zotero.org/users/3284224/items/TAAU48XP"],"uri":["http://zotero.org/users/3284224/items/TAAU48XP"]}]} </w:instrTex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fldChar w:fldCharType="separate"/>
      </w:r>
      <w:r w:rsidR="0071171D" w:rsidRPr="00030D8D">
        <w:rPr>
          <w:rFonts w:ascii="Arial" w:eastAsia="Times New Roman" w:hAnsi="Arial" w:cs="Arial"/>
          <w:noProof/>
          <w:sz w:val="24"/>
          <w:szCs w:val="24"/>
          <w:lang w:val="en-GB" w:eastAsia="en-GB"/>
        </w:rPr>
        <w:t>(Left Hand Rotation, 2017)</w:t>
      </w:r>
      <w:r w:rsidR="0071171D" w:rsidRPr="00030D8D">
        <w:rPr>
          <w:rFonts w:ascii="Arial" w:eastAsia="Times New Roman" w:hAnsi="Arial" w:cs="Arial"/>
          <w:sz w:val="24"/>
          <w:szCs w:val="24"/>
          <w:lang w:val="en-GB" w:eastAsia="en-GB"/>
        </w:rPr>
        <w:fldChar w:fldCharType="end"/>
      </w:r>
      <w:r w:rsidR="00E312CA">
        <w:rPr>
          <w:rFonts w:ascii="Arial" w:hAnsi="Arial" w:cs="Arial"/>
          <w:sz w:val="24"/>
          <w:szCs w:val="24"/>
          <w:lang w:val="en-GB"/>
        </w:rPr>
        <w:t>. O</w:t>
      </w:r>
      <w:r w:rsidR="0071171D">
        <w:rPr>
          <w:rFonts w:ascii="Arial" w:hAnsi="Arial" w:cs="Arial"/>
          <w:sz w:val="24"/>
          <w:szCs w:val="24"/>
          <w:lang w:val="en-GB"/>
        </w:rPr>
        <w:t>ther</w:t>
      </w:r>
      <w:r w:rsidR="00E6659F">
        <w:rPr>
          <w:rFonts w:ascii="Arial" w:hAnsi="Arial" w:cs="Arial"/>
          <w:sz w:val="24"/>
          <w:szCs w:val="24"/>
          <w:lang w:val="en-GB"/>
        </w:rPr>
        <w:t xml:space="preserve"> times</w:t>
      </w:r>
      <w:r w:rsidR="00E312CA">
        <w:rPr>
          <w:rFonts w:ascii="Arial" w:hAnsi="Arial" w:cs="Arial"/>
          <w:sz w:val="24"/>
          <w:szCs w:val="24"/>
          <w:lang w:val="en-GB"/>
        </w:rPr>
        <w:t>, the term is interestingly</w:t>
      </w:r>
      <w:r w:rsidR="00E6659F">
        <w:rPr>
          <w:rFonts w:ascii="Arial" w:hAnsi="Arial" w:cs="Arial"/>
          <w:sz w:val="24"/>
          <w:szCs w:val="24"/>
          <w:lang w:val="en-GB"/>
        </w:rPr>
        <w:t xml:space="preserve"> </w:t>
      </w:r>
      <w:r w:rsidR="002650FD" w:rsidRPr="00030D8D">
        <w:rPr>
          <w:rFonts w:ascii="Arial" w:hAnsi="Arial" w:cs="Arial"/>
          <w:sz w:val="24"/>
          <w:szCs w:val="24"/>
          <w:lang w:val="en-GB"/>
        </w:rPr>
        <w:t>t</w:t>
      </w:r>
      <w:r w:rsidR="004910B0" w:rsidRPr="00030D8D">
        <w:rPr>
          <w:rFonts w:ascii="Arial" w:hAnsi="Arial" w:cs="Arial"/>
          <w:sz w:val="24"/>
          <w:szCs w:val="24"/>
          <w:lang w:val="en-GB"/>
        </w:rPr>
        <w:t>ransliterated</w:t>
      </w:r>
      <w:r w:rsidR="00EC54EC" w:rsidRPr="00030D8D">
        <w:rPr>
          <w:rFonts w:ascii="Arial" w:hAnsi="Arial" w:cs="Arial"/>
          <w:sz w:val="24"/>
          <w:szCs w:val="24"/>
          <w:lang w:val="en-GB"/>
        </w:rPr>
        <w:t xml:space="preserve"> into the more</w:t>
      </w:r>
      <w:r w:rsidR="00957E6B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EC54EC" w:rsidRPr="00030D8D">
        <w:rPr>
          <w:rFonts w:ascii="Arial" w:hAnsi="Arial" w:cs="Arial"/>
          <w:sz w:val="24"/>
          <w:szCs w:val="24"/>
          <w:lang w:val="en-GB"/>
        </w:rPr>
        <w:t xml:space="preserve">current word </w:t>
      </w:r>
      <w:r w:rsidR="0032247C" w:rsidRPr="00030D8D">
        <w:rPr>
          <w:rFonts w:ascii="Arial" w:hAnsi="Arial" w:cs="Arial"/>
          <w:sz w:val="24"/>
          <w:szCs w:val="24"/>
          <w:lang w:val="en-GB"/>
        </w:rPr>
        <w:t xml:space="preserve">‘centrifugation’. 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>Outside the Anglophone worl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>d</w:t>
      </w:r>
      <w:r w:rsidR="00E6659F">
        <w:rPr>
          <w:rFonts w:ascii="Arial" w:eastAsia="Times New Roman" w:hAnsi="Arial" w:cs="Arial"/>
          <w:sz w:val="24"/>
          <w:szCs w:val="24"/>
          <w:lang w:val="en-GB" w:eastAsia="en-GB"/>
        </w:rPr>
        <w:t>,</w:t>
      </w:r>
      <w:r w:rsidR="00A15326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>few</w:t>
      </w:r>
      <w:r w:rsidR="00A15326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can easily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grasp</w:t>
      </w:r>
      <w:r w:rsidR="009D14AB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Ruth Glass’s</w:t>
      </w:r>
      <w:r w:rsidR="00A15326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tongue-in-cheek reference to</w:t>
      </w:r>
      <w:r w:rsidR="00225101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the</w:t>
      </w:r>
      <w:r w:rsidR="00A15326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‘gentry’. </w:t>
      </w:r>
      <w:r w:rsidR="009D14AB">
        <w:rPr>
          <w:rFonts w:ascii="Arial" w:eastAsia="Times New Roman" w:hAnsi="Arial" w:cs="Arial"/>
          <w:sz w:val="24"/>
          <w:szCs w:val="24"/>
          <w:lang w:val="en-GB" w:eastAsia="en-GB"/>
        </w:rPr>
        <w:t>In contrast</w:t>
      </w:r>
      <w:r w:rsidR="00A15326" w:rsidRPr="00030D8D">
        <w:rPr>
          <w:rFonts w:ascii="Arial" w:eastAsia="Times New Roman" w:hAnsi="Arial" w:cs="Arial"/>
          <w:sz w:val="24"/>
          <w:szCs w:val="24"/>
          <w:lang w:val="en-GB" w:eastAsia="en-GB"/>
        </w:rPr>
        <w:t>,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E6659F">
        <w:rPr>
          <w:rFonts w:ascii="Arial" w:eastAsia="Times New Roman" w:hAnsi="Arial" w:cs="Arial"/>
          <w:sz w:val="24"/>
          <w:szCs w:val="24"/>
          <w:lang w:val="en-GB" w:eastAsia="en-GB"/>
        </w:rPr>
        <w:t>observers of the</w:t>
      </w:r>
      <w:r w:rsidR="00E6659F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effects of </w:t>
      </w:r>
      <w:r w:rsidR="00E6659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urban </w:t>
      </w:r>
      <w:r w:rsidR="00E6659F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speculation </w:t>
      </w:r>
      <w:r w:rsidR="00E6659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can </w:t>
      </w:r>
      <w:r w:rsidR="00A15326" w:rsidRPr="00030D8D">
        <w:rPr>
          <w:rFonts w:ascii="Arial" w:eastAsia="Times New Roman" w:hAnsi="Arial" w:cs="Arial"/>
          <w:sz w:val="24"/>
          <w:szCs w:val="24"/>
          <w:lang w:val="en-GB" w:eastAsia="en-GB"/>
        </w:rPr>
        <w:t>easily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recognise that the p</w:t>
      </w:r>
      <w:r w:rsidR="00714107">
        <w:rPr>
          <w:rFonts w:ascii="Arial" w:eastAsia="Times New Roman" w:hAnsi="Arial" w:cs="Arial"/>
          <w:sz w:val="24"/>
          <w:szCs w:val="24"/>
          <w:lang w:val="en-GB" w:eastAsia="en-GB"/>
        </w:rPr>
        <w:t>henomenon involves a force separating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some</w:t>
      </w:r>
      <w:r w:rsidR="0071410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residents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from others, who</w:t>
      </w:r>
      <w:r w:rsidR="003279BB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are pushed away from central neighbourhoods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As commented </w:t>
      </w:r>
      <w:r w:rsidR="00A04E1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>by a Gothenborg</w:t>
      </w:r>
      <w:r w:rsidR="00FE655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resident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r w:rsidR="00531B4A">
        <w:rPr>
          <w:rFonts w:ascii="Arial" w:eastAsia="Times New Roman" w:hAnsi="Arial" w:cs="Arial"/>
          <w:sz w:val="24"/>
          <w:szCs w:val="24"/>
          <w:lang w:val="en-GB" w:eastAsia="en-GB"/>
        </w:rPr>
        <w:t>thinking of the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displacement of low income populations from </w:t>
      </w:r>
      <w:r w:rsidR="00531B4A">
        <w:rPr>
          <w:rFonts w:ascii="Arial" w:eastAsia="Times New Roman" w:hAnsi="Arial" w:cs="Arial"/>
          <w:sz w:val="24"/>
          <w:szCs w:val="24"/>
          <w:lang w:val="en-GB" w:eastAsia="en-GB"/>
        </w:rPr>
        <w:t>city centre as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CF1A09">
        <w:rPr>
          <w:rFonts w:ascii="Arial" w:eastAsia="Times New Roman" w:hAnsi="Arial" w:cs="Arial"/>
          <w:sz w:val="24"/>
          <w:szCs w:val="24"/>
          <w:lang w:val="en-GB" w:eastAsia="en-GB"/>
        </w:rPr>
        <w:t>‘centrifugation’ makes</w:t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perfect sense.</w:t>
      </w:r>
      <w:r w:rsidR="0032247C" w:rsidRPr="000601CC">
        <w:rPr>
          <w:rStyle w:val="FootnoteReference"/>
        </w:rPr>
        <w:footnoteReference w:id="1"/>
      </w:r>
      <w:r w:rsidR="0032247C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820C5E" w:rsidRPr="00030D8D">
        <w:rPr>
          <w:rFonts w:ascii="Arial" w:hAnsi="Arial" w:cs="Arial"/>
          <w:sz w:val="24"/>
          <w:szCs w:val="24"/>
          <w:lang w:val="en-GB"/>
        </w:rPr>
        <w:t>A</w:t>
      </w:r>
      <w:r w:rsidR="005C1178">
        <w:rPr>
          <w:rFonts w:ascii="Arial" w:hAnsi="Arial" w:cs="Arial"/>
          <w:sz w:val="24"/>
          <w:szCs w:val="24"/>
          <w:lang w:val="en-GB"/>
        </w:rPr>
        <w:t>nd a</w:t>
      </w:r>
      <w:r w:rsidR="00606BBF" w:rsidRPr="00030D8D">
        <w:rPr>
          <w:rFonts w:ascii="Arial" w:hAnsi="Arial" w:cs="Arial"/>
          <w:sz w:val="24"/>
          <w:szCs w:val="24"/>
          <w:lang w:val="en-GB"/>
        </w:rPr>
        <w:t>s recently as June 2017,</w:t>
      </w:r>
      <w:r w:rsidR="00820C5E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5C1178">
        <w:rPr>
          <w:rFonts w:ascii="Arial" w:hAnsi="Arial" w:cs="Arial"/>
          <w:sz w:val="24"/>
          <w:szCs w:val="24"/>
          <w:lang w:val="en-GB"/>
        </w:rPr>
        <w:t>in global</w:t>
      </w:r>
      <w:r w:rsidR="00606BBF" w:rsidRPr="00030D8D">
        <w:rPr>
          <w:rFonts w:ascii="Arial" w:hAnsi="Arial" w:cs="Arial"/>
          <w:sz w:val="24"/>
          <w:szCs w:val="24"/>
          <w:lang w:val="en-GB"/>
        </w:rPr>
        <w:t xml:space="preserve"> Barcelona,</w:t>
      </w:r>
      <w:r w:rsidR="00820C5E" w:rsidRPr="00030D8D">
        <w:rPr>
          <w:rFonts w:ascii="Arial" w:hAnsi="Arial" w:cs="Arial"/>
          <w:sz w:val="24"/>
          <w:szCs w:val="24"/>
          <w:lang w:val="en-GB"/>
        </w:rPr>
        <w:t xml:space="preserve"> the newspaper </w:t>
      </w:r>
      <w:r w:rsidR="00820C5E" w:rsidRPr="00030D8D">
        <w:rPr>
          <w:rFonts w:ascii="Arial" w:hAnsi="Arial" w:cs="Arial"/>
          <w:i/>
          <w:sz w:val="24"/>
          <w:szCs w:val="24"/>
          <w:lang w:val="en-GB"/>
        </w:rPr>
        <w:t>El periódico</w:t>
      </w:r>
      <w:r w:rsidR="00820C5E" w:rsidRPr="00030D8D">
        <w:rPr>
          <w:rFonts w:ascii="Arial" w:hAnsi="Arial" w:cs="Arial"/>
          <w:sz w:val="24"/>
          <w:szCs w:val="24"/>
          <w:lang w:val="en-GB"/>
        </w:rPr>
        <w:t xml:space="preserve"> </w:t>
      </w:r>
      <w:r w:rsidR="00606BBF" w:rsidRPr="00030D8D">
        <w:rPr>
          <w:rFonts w:ascii="Arial" w:hAnsi="Arial" w:cs="Arial"/>
          <w:sz w:val="24"/>
          <w:szCs w:val="24"/>
          <w:lang w:val="en-GB"/>
        </w:rPr>
        <w:t>commented that</w:t>
      </w:r>
      <w:r w:rsidR="00820C5E" w:rsidRPr="00030D8D">
        <w:rPr>
          <w:rFonts w:ascii="Arial" w:hAnsi="Arial" w:cs="Arial"/>
          <w:sz w:val="24"/>
          <w:szCs w:val="24"/>
          <w:lang w:val="en-GB"/>
        </w:rPr>
        <w:t xml:space="preserve"> a</w:t>
      </w:r>
      <w:r w:rsidR="00617AD3" w:rsidRPr="00030D8D">
        <w:rPr>
          <w:rFonts w:ascii="Arial" w:hAnsi="Arial" w:cs="Arial"/>
          <w:sz w:val="24"/>
          <w:szCs w:val="24"/>
          <w:lang w:val="en-GB"/>
        </w:rPr>
        <w:t xml:space="preserve"> demonstration for the </w:t>
      </w:r>
      <w:r w:rsidR="00820C5E" w:rsidRPr="00030D8D">
        <w:rPr>
          <w:rFonts w:ascii="Arial" w:hAnsi="Arial" w:cs="Arial"/>
          <w:sz w:val="24"/>
          <w:szCs w:val="24"/>
          <w:lang w:val="en-GB"/>
        </w:rPr>
        <w:t>right to housing allegedly highlighted</w:t>
      </w:r>
      <w:r w:rsidR="00812F32" w:rsidRPr="00030D8D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7543DA" w:rsidRPr="00030D8D">
        <w:rPr>
          <w:rFonts w:ascii="Arial" w:hAnsi="Arial" w:cs="Arial"/>
          <w:sz w:val="24"/>
          <w:szCs w:val="24"/>
          <w:lang w:val="en-GB"/>
        </w:rPr>
        <w:t>“</w:t>
      </w:r>
      <w:r w:rsidR="00B76D9F" w:rsidRPr="00030D8D">
        <w:rPr>
          <w:rFonts w:ascii="Arial" w:eastAsia="Times New Roman" w:hAnsi="Arial" w:cs="Arial"/>
          <w:sz w:val="24"/>
          <w:szCs w:val="24"/>
          <w:lang w:val="en-GB" w:eastAsia="en-GB"/>
        </w:rPr>
        <w:t>e</w:t>
      </w:r>
      <w:r w:rsidR="007543DA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l 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>fenómeno de la centrifugación ve</w:t>
      </w:r>
      <w:r w:rsidR="007543DA" w:rsidRPr="00030D8D">
        <w:rPr>
          <w:rFonts w:ascii="Arial" w:eastAsia="Times New Roman" w:hAnsi="Arial" w:cs="Arial"/>
          <w:sz w:val="24"/>
          <w:szCs w:val="24"/>
          <w:lang w:val="en-GB" w:eastAsia="en-GB"/>
        </w:rPr>
        <w:t>cinal”</w:t>
      </w:r>
      <w:r w:rsidR="00820C5E" w:rsidRPr="00030D8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(the phenomenon of neighbourhood centrifugation)</w:t>
      </w:r>
      <w:r w:rsidR="001C5D2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6D5E2C" w:rsidRPr="00030D8D">
        <w:rPr>
          <w:rFonts w:ascii="Arial" w:eastAsia="Times New Roman" w:hAnsi="Arial" w:cs="Arial"/>
          <w:sz w:val="24"/>
          <w:szCs w:val="24"/>
          <w:lang w:val="en-GB" w:eastAsia="en-GB"/>
        </w:rPr>
        <w:fldChar w:fldCharType="begin"/>
      </w:r>
      <w:r w:rsidR="0002216A" w:rsidRPr="00030D8D">
        <w:rPr>
          <w:rFonts w:ascii="Arial" w:eastAsia="Times New Roman" w:hAnsi="Arial" w:cs="Arial"/>
          <w:sz w:val="24"/>
          <w:szCs w:val="24"/>
          <w:lang w:val="en-GB" w:eastAsia="en-GB"/>
        </w:rPr>
        <w:instrText xml:space="preserve"> ADDIN ZOTERO_ITEM {"citationID":"c072pgm1m","properties":{"formattedCitation":"{\\rtf (S\\uc0\\u225{}nchez, 2017)}","plainCitation":"(Sánchez, 2017)"},"citationItems":[{"id":2406,"uris":["http://zotero.org/users/3284224/items/WK49BHEG"],"uri":["http://zotero.org/users/3284224/items/WK49BHEG"]}]} </w:instrText>
      </w:r>
      <w:r w:rsidR="006D5E2C" w:rsidRPr="00030D8D">
        <w:rPr>
          <w:rFonts w:ascii="Arial" w:eastAsia="Times New Roman" w:hAnsi="Arial" w:cs="Arial"/>
          <w:sz w:val="24"/>
          <w:szCs w:val="24"/>
          <w:lang w:val="en-GB" w:eastAsia="en-GB"/>
        </w:rPr>
        <w:fldChar w:fldCharType="separate"/>
      </w:r>
      <w:r w:rsidR="00617AD3" w:rsidRPr="00030D8D">
        <w:rPr>
          <w:rFonts w:ascii="Arial" w:eastAsia="Times New Roman" w:hAnsi="Arial" w:cs="Arial"/>
          <w:sz w:val="24"/>
          <w:lang w:val="en-GB"/>
        </w:rPr>
        <w:t>(Sánchez, 2017)</w:t>
      </w:r>
      <w:r w:rsidR="006D5E2C" w:rsidRPr="00030D8D">
        <w:rPr>
          <w:rFonts w:ascii="Arial" w:eastAsia="Times New Roman" w:hAnsi="Arial" w:cs="Arial"/>
          <w:sz w:val="24"/>
          <w:szCs w:val="24"/>
          <w:lang w:val="en-GB" w:eastAsia="en-GB"/>
        </w:rPr>
        <w:fldChar w:fldCharType="end"/>
      </w:r>
      <w:r w:rsidR="0017008E" w:rsidRPr="00030D8D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5F9D4A58" w14:textId="77777777" w:rsidR="00A272A8" w:rsidRPr="00030D8D" w:rsidRDefault="00A272A8" w:rsidP="00A272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618F1C6" w14:textId="48BFE05C" w:rsidR="00C6698D" w:rsidRPr="00030D8D" w:rsidRDefault="006C0305" w:rsidP="00A272A8">
      <w:pPr>
        <w:pStyle w:val="p2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Beyond </w:t>
      </w:r>
      <w:r w:rsidR="00212DF4">
        <w:rPr>
          <w:rFonts w:ascii="Arial" w:eastAsia="Times New Roman" w:hAnsi="Arial" w:cs="Arial"/>
          <w:sz w:val="24"/>
          <w:szCs w:val="24"/>
        </w:rPr>
        <w:t xml:space="preserve">questions of </w:t>
      </w:r>
      <w:r>
        <w:rPr>
          <w:rFonts w:ascii="Arial" w:eastAsia="Times New Roman" w:hAnsi="Arial" w:cs="Arial"/>
          <w:sz w:val="24"/>
          <w:szCs w:val="24"/>
        </w:rPr>
        <w:t>translation, s</w:t>
      </w:r>
      <w:r w:rsidR="004910B0" w:rsidRPr="00030D8D">
        <w:rPr>
          <w:rFonts w:ascii="Arial" w:eastAsia="Times New Roman" w:hAnsi="Arial" w:cs="Arial"/>
          <w:sz w:val="24"/>
          <w:szCs w:val="24"/>
        </w:rPr>
        <w:t>uch</w:t>
      </w:r>
      <w:r w:rsidR="002650FD" w:rsidRPr="00030D8D">
        <w:rPr>
          <w:rFonts w:ascii="Arial" w:eastAsia="Times New Roman" w:hAnsi="Arial" w:cs="Arial"/>
          <w:sz w:val="24"/>
          <w:szCs w:val="24"/>
        </w:rPr>
        <w:t xml:space="preserve"> </w:t>
      </w:r>
      <w:r w:rsidR="002D6956">
        <w:rPr>
          <w:rFonts w:ascii="Arial" w:eastAsia="Times New Roman" w:hAnsi="Arial" w:cs="Arial"/>
          <w:sz w:val="24"/>
          <w:szCs w:val="24"/>
        </w:rPr>
        <w:t xml:space="preserve">transliterations may be </w:t>
      </w:r>
      <w:r w:rsidR="002650FD" w:rsidRPr="00030D8D">
        <w:rPr>
          <w:rFonts w:ascii="Arial" w:eastAsia="Times New Roman" w:hAnsi="Arial" w:cs="Arial"/>
          <w:sz w:val="24"/>
          <w:szCs w:val="24"/>
        </w:rPr>
        <w:t>reveal</w:t>
      </w:r>
      <w:r w:rsidR="00B7296A">
        <w:rPr>
          <w:rFonts w:ascii="Arial" w:eastAsia="Times New Roman" w:hAnsi="Arial" w:cs="Arial"/>
          <w:sz w:val="24"/>
          <w:szCs w:val="24"/>
        </w:rPr>
        <w:t>ing</w:t>
      </w:r>
      <w:r w:rsidR="002D6956">
        <w:rPr>
          <w:rFonts w:ascii="Arial" w:eastAsia="Times New Roman" w:hAnsi="Arial" w:cs="Arial"/>
          <w:sz w:val="24"/>
          <w:szCs w:val="24"/>
        </w:rPr>
        <w:t xml:space="preserve"> something more cultura</w:t>
      </w:r>
      <w:r w:rsidR="00B7296A">
        <w:rPr>
          <w:rFonts w:ascii="Arial" w:eastAsia="Times New Roman" w:hAnsi="Arial" w:cs="Arial"/>
          <w:sz w:val="24"/>
          <w:szCs w:val="24"/>
        </w:rPr>
        <w:t>l and politically significant</w:t>
      </w:r>
      <w:r w:rsidR="002D6956">
        <w:rPr>
          <w:rFonts w:ascii="Arial" w:eastAsia="Times New Roman" w:hAnsi="Arial" w:cs="Arial"/>
          <w:sz w:val="24"/>
          <w:szCs w:val="24"/>
        </w:rPr>
        <w:t>:</w:t>
      </w:r>
      <w:r w:rsidR="002650FD" w:rsidRPr="00030D8D">
        <w:rPr>
          <w:rFonts w:ascii="Arial" w:eastAsia="Times New Roman" w:hAnsi="Arial" w:cs="Arial"/>
          <w:sz w:val="24"/>
          <w:szCs w:val="24"/>
        </w:rPr>
        <w:t xml:space="preserve"> an attempt to making </w:t>
      </w:r>
      <w:r w:rsidR="007A1F5A">
        <w:rPr>
          <w:rFonts w:ascii="Arial" w:eastAsia="Times New Roman" w:hAnsi="Arial" w:cs="Arial"/>
          <w:sz w:val="24"/>
          <w:szCs w:val="24"/>
        </w:rPr>
        <w:t>‘</w:t>
      </w:r>
      <w:r w:rsidR="002650FD" w:rsidRPr="00030D8D">
        <w:rPr>
          <w:rFonts w:ascii="Arial" w:eastAsia="Times New Roman" w:hAnsi="Arial" w:cs="Arial"/>
          <w:sz w:val="24"/>
          <w:szCs w:val="24"/>
        </w:rPr>
        <w:t>gentrification</w:t>
      </w:r>
      <w:r w:rsidR="007A1F5A">
        <w:rPr>
          <w:rFonts w:ascii="Arial" w:eastAsia="Times New Roman" w:hAnsi="Arial" w:cs="Arial"/>
          <w:sz w:val="24"/>
          <w:szCs w:val="24"/>
        </w:rPr>
        <w:t>’</w:t>
      </w:r>
      <w:r w:rsidR="002650FD" w:rsidRPr="00030D8D">
        <w:rPr>
          <w:rFonts w:ascii="Arial" w:eastAsia="Times New Roman" w:hAnsi="Arial" w:cs="Arial"/>
          <w:sz w:val="24"/>
          <w:szCs w:val="24"/>
        </w:rPr>
        <w:t xml:space="preserve"> more tangible by showing the centrality of the experience of </w:t>
      </w:r>
      <w:r w:rsidR="00B50EB0">
        <w:rPr>
          <w:rFonts w:ascii="Arial" w:eastAsia="Times New Roman" w:hAnsi="Arial" w:cs="Arial"/>
          <w:sz w:val="24"/>
          <w:szCs w:val="24"/>
        </w:rPr>
        <w:t xml:space="preserve">physical </w:t>
      </w:r>
      <w:r w:rsidR="002650FD" w:rsidRPr="00030D8D">
        <w:rPr>
          <w:rFonts w:ascii="Arial" w:eastAsia="Times New Roman" w:hAnsi="Arial" w:cs="Arial"/>
          <w:sz w:val="24"/>
          <w:szCs w:val="24"/>
        </w:rPr>
        <w:t xml:space="preserve">displacement. As reminded by Slater, </w:t>
      </w:r>
      <w:r w:rsidR="002650FD" w:rsidRPr="00030D8D">
        <w:rPr>
          <w:rFonts w:ascii="Arial" w:hAnsi="Arial" w:cs="Arial"/>
          <w:sz w:val="24"/>
          <w:szCs w:val="24"/>
        </w:rPr>
        <w:t xml:space="preserve">“definitions have both analytical and political usage” </w:t>
      </w:r>
      <w:r w:rsidR="002650FD" w:rsidRPr="00030D8D">
        <w:rPr>
          <w:rFonts w:ascii="Arial" w:hAnsi="Arial" w:cs="Arial"/>
          <w:sz w:val="24"/>
          <w:szCs w:val="24"/>
        </w:rPr>
        <w:fldChar w:fldCharType="begin"/>
      </w:r>
      <w:r w:rsidR="0002216A" w:rsidRPr="00030D8D">
        <w:rPr>
          <w:rFonts w:ascii="Arial" w:hAnsi="Arial" w:cs="Arial"/>
          <w:sz w:val="24"/>
          <w:szCs w:val="24"/>
        </w:rPr>
        <w:instrText xml:space="preserve"> ADDIN ZOTERO_ITEM {"citationID":"ljOSZ5EC","properties":{"formattedCitation":"(Slater, 2009, p. 295)","plainCitation":"(Slater, 2009, p. 295)"},"citationItems":[{"id":2421,"uris":["http://zotero.org/users/3284224/items/PJ92EXHX"],"uri":["http://zotero.org/users/3284224/items/PJ92EXHX"],"locator":"295"}]} </w:instrText>
      </w:r>
      <w:r w:rsidR="002650FD" w:rsidRPr="00030D8D">
        <w:rPr>
          <w:rFonts w:ascii="Arial" w:hAnsi="Arial" w:cs="Arial"/>
          <w:sz w:val="24"/>
          <w:szCs w:val="24"/>
        </w:rPr>
        <w:fldChar w:fldCharType="separate"/>
      </w:r>
      <w:r w:rsidR="002650FD" w:rsidRPr="00030D8D">
        <w:rPr>
          <w:rFonts w:ascii="Arial" w:hAnsi="Arial" w:cs="Arial"/>
          <w:sz w:val="24"/>
        </w:rPr>
        <w:t>(Slater, 2009, p. 295)</w:t>
      </w:r>
      <w:r w:rsidR="002650FD" w:rsidRPr="00030D8D">
        <w:rPr>
          <w:rFonts w:ascii="Arial" w:hAnsi="Arial" w:cs="Arial"/>
          <w:sz w:val="24"/>
          <w:szCs w:val="24"/>
        </w:rPr>
        <w:fldChar w:fldCharType="end"/>
      </w:r>
      <w:r w:rsidR="002650FD" w:rsidRPr="00030D8D">
        <w:rPr>
          <w:rFonts w:ascii="Arial" w:hAnsi="Arial" w:cs="Arial"/>
          <w:sz w:val="24"/>
          <w:szCs w:val="24"/>
        </w:rPr>
        <w:t xml:space="preserve">, and </w:t>
      </w:r>
      <w:r w:rsidR="002650FD" w:rsidRPr="00030D8D">
        <w:rPr>
          <w:rFonts w:ascii="Arial" w:eastAsia="Times New Roman" w:hAnsi="Arial" w:cs="Arial"/>
          <w:sz w:val="24"/>
          <w:szCs w:val="24"/>
        </w:rPr>
        <w:t xml:space="preserve">defining gentrification through displacement is </w:t>
      </w:r>
      <w:r w:rsidR="002650FD" w:rsidRPr="00030D8D">
        <w:rPr>
          <w:rFonts w:ascii="Arial" w:hAnsi="Arial" w:cs="Arial"/>
          <w:sz w:val="24"/>
          <w:szCs w:val="24"/>
        </w:rPr>
        <w:t xml:space="preserve">indeed key not only to critical urban scholarship </w:t>
      </w:r>
      <w:r w:rsidR="00FA670F" w:rsidRPr="00030D8D">
        <w:rPr>
          <w:rFonts w:ascii="Arial" w:hAnsi="Arial" w:cs="Arial"/>
          <w:sz w:val="24"/>
          <w:szCs w:val="24"/>
        </w:rPr>
        <w:fldChar w:fldCharType="begin"/>
      </w:r>
      <w:r w:rsidR="0002216A" w:rsidRPr="00030D8D">
        <w:rPr>
          <w:rFonts w:ascii="Arial" w:hAnsi="Arial" w:cs="Arial"/>
          <w:sz w:val="24"/>
          <w:szCs w:val="24"/>
        </w:rPr>
        <w:instrText xml:space="preserve"> ADDIN ZOTERO_ITEM {"citationID":"12mf9sg1u4","properties":{"formattedCitation":"(Marcuse, 1985)","plainCitation":"(Marcuse, 1985)"},"citationItems":[{"id":2414,"uris":["http://zotero.org/users/3284224/items/5U64H223"],"uri":["http://zotero.org/users/3284224/items/5U64H223"]}]} </w:instrText>
      </w:r>
      <w:r w:rsidR="00FA670F" w:rsidRPr="00030D8D">
        <w:rPr>
          <w:rFonts w:ascii="Arial" w:hAnsi="Arial" w:cs="Arial"/>
          <w:sz w:val="24"/>
          <w:szCs w:val="24"/>
        </w:rPr>
        <w:fldChar w:fldCharType="separate"/>
      </w:r>
      <w:r w:rsidR="00FA670F" w:rsidRPr="00030D8D">
        <w:rPr>
          <w:rFonts w:ascii="Arial" w:hAnsi="Arial" w:cs="Arial"/>
          <w:noProof/>
          <w:sz w:val="24"/>
          <w:szCs w:val="24"/>
        </w:rPr>
        <w:t>(Marcuse, 1985)</w:t>
      </w:r>
      <w:r w:rsidR="00FA670F" w:rsidRPr="00030D8D">
        <w:rPr>
          <w:rFonts w:ascii="Arial" w:hAnsi="Arial" w:cs="Arial"/>
          <w:sz w:val="24"/>
          <w:szCs w:val="24"/>
        </w:rPr>
        <w:fldChar w:fldCharType="end"/>
      </w:r>
      <w:r w:rsidR="002650FD" w:rsidRPr="00030D8D">
        <w:rPr>
          <w:rFonts w:ascii="Arial" w:hAnsi="Arial" w:cs="Arial"/>
          <w:sz w:val="24"/>
          <w:szCs w:val="24"/>
        </w:rPr>
        <w:t xml:space="preserve"> but also to </w:t>
      </w:r>
      <w:r w:rsidR="002134CC" w:rsidRPr="00030D8D">
        <w:rPr>
          <w:rFonts w:ascii="Arial" w:hAnsi="Arial" w:cs="Arial"/>
          <w:sz w:val="24"/>
          <w:szCs w:val="24"/>
        </w:rPr>
        <w:t xml:space="preserve">organised </w:t>
      </w:r>
      <w:r w:rsidR="002650FD" w:rsidRPr="00030D8D">
        <w:rPr>
          <w:rFonts w:ascii="Arial" w:hAnsi="Arial" w:cs="Arial"/>
          <w:sz w:val="24"/>
          <w:szCs w:val="24"/>
        </w:rPr>
        <w:t xml:space="preserve">attempts at </w:t>
      </w:r>
      <w:r w:rsidR="002134CC" w:rsidRPr="00030D8D">
        <w:rPr>
          <w:rFonts w:ascii="Arial" w:hAnsi="Arial" w:cs="Arial"/>
          <w:sz w:val="24"/>
          <w:szCs w:val="24"/>
        </w:rPr>
        <w:t>understanding and resisting</w:t>
      </w:r>
      <w:r w:rsidR="002650FD" w:rsidRPr="00030D8D">
        <w:rPr>
          <w:rFonts w:ascii="Arial" w:hAnsi="Arial" w:cs="Arial"/>
          <w:sz w:val="24"/>
          <w:szCs w:val="24"/>
        </w:rPr>
        <w:t xml:space="preserve"> those “forces outside the household [that] make living there impossible, hazardous, or </w:t>
      </w:r>
      <w:r w:rsidR="002650FD" w:rsidRPr="00030D8D">
        <w:rPr>
          <w:rFonts w:ascii="Arial" w:hAnsi="Arial" w:cs="Arial"/>
          <w:sz w:val="24"/>
          <w:szCs w:val="24"/>
        </w:rPr>
        <w:lastRenderedPageBreak/>
        <w:t xml:space="preserve">unaffordable”  </w:t>
      </w:r>
      <w:r w:rsidR="002650FD" w:rsidRPr="00030D8D">
        <w:rPr>
          <w:rFonts w:ascii="Arial" w:hAnsi="Arial" w:cs="Arial"/>
          <w:sz w:val="24"/>
          <w:szCs w:val="24"/>
        </w:rPr>
        <w:fldChar w:fldCharType="begin"/>
      </w:r>
      <w:r w:rsidR="0002216A" w:rsidRPr="00030D8D">
        <w:rPr>
          <w:rFonts w:ascii="Arial" w:hAnsi="Arial" w:cs="Arial"/>
          <w:sz w:val="24"/>
          <w:szCs w:val="24"/>
        </w:rPr>
        <w:instrText xml:space="preserve"> ADDIN ZOTERO_ITEM {"citationID":"xAeP9b7S","properties":{"formattedCitation":"(Hartman et al., 1982 in; Slater, 2009)","plainCitation":"(Hartman et al., 1982 in; Slater, 2009)"},"citationItems":[{"id":2419,"uris":["http://zotero.org/users/3284224/items/9SVI5RFR"],"uri":["http://zotero.org/users/3284224/items/9SVI5RFR"],"suffix":"in"},{"id":2421,"uris":["http://zotero.org/users/3284224/items/PJ92EXHX"],"uri":["http://zotero.org/users/3284224/items/PJ92EXHX"]}]} </w:instrText>
      </w:r>
      <w:r w:rsidR="002650FD" w:rsidRPr="00030D8D">
        <w:rPr>
          <w:rFonts w:ascii="Arial" w:hAnsi="Arial" w:cs="Arial"/>
          <w:sz w:val="24"/>
          <w:szCs w:val="24"/>
        </w:rPr>
        <w:fldChar w:fldCharType="separate"/>
      </w:r>
      <w:r w:rsidR="00C70314" w:rsidRPr="00030D8D">
        <w:rPr>
          <w:rFonts w:ascii="Arial" w:hAnsi="Arial" w:cs="Arial"/>
          <w:sz w:val="24"/>
        </w:rPr>
        <w:t>(Hartman et al., 1982, p.3, in Slater, 2009)</w:t>
      </w:r>
      <w:r w:rsidR="002650FD" w:rsidRPr="00030D8D">
        <w:rPr>
          <w:rFonts w:ascii="Arial" w:hAnsi="Arial" w:cs="Arial"/>
          <w:sz w:val="24"/>
          <w:szCs w:val="24"/>
        </w:rPr>
        <w:fldChar w:fldCharType="end"/>
      </w:r>
      <w:r w:rsidR="00C70314" w:rsidRPr="00030D8D">
        <w:rPr>
          <w:rFonts w:ascii="Arial" w:hAnsi="Arial" w:cs="Arial"/>
          <w:sz w:val="24"/>
          <w:szCs w:val="24"/>
        </w:rPr>
        <w:t>.</w:t>
      </w:r>
      <w:r w:rsidR="000D61CB" w:rsidRPr="00030D8D">
        <w:rPr>
          <w:rFonts w:ascii="Arial" w:hAnsi="Arial" w:cs="Arial"/>
          <w:sz w:val="24"/>
          <w:szCs w:val="24"/>
        </w:rPr>
        <w:t xml:space="preserve"> </w:t>
      </w:r>
      <w:r w:rsidR="00982AD2" w:rsidRPr="00030D8D">
        <w:rPr>
          <w:rFonts w:ascii="Arial" w:eastAsia="Times New Roman" w:hAnsi="Arial" w:cs="Arial"/>
          <w:sz w:val="24"/>
          <w:szCs w:val="24"/>
        </w:rPr>
        <w:t>Even the case of the work of Left Hand Rotation,</w:t>
      </w:r>
      <w:r w:rsidR="00001E6E" w:rsidRPr="00030D8D">
        <w:rPr>
          <w:rFonts w:ascii="Arial" w:eastAsia="Times New Roman" w:hAnsi="Arial" w:cs="Arial"/>
          <w:sz w:val="24"/>
          <w:szCs w:val="24"/>
        </w:rPr>
        <w:t xml:space="preserve"> the </w:t>
      </w:r>
      <w:r w:rsidR="00210AF0" w:rsidRPr="00030D8D">
        <w:rPr>
          <w:rFonts w:ascii="Arial" w:eastAsia="Times New Roman" w:hAnsi="Arial" w:cs="Arial"/>
          <w:sz w:val="24"/>
          <w:szCs w:val="24"/>
        </w:rPr>
        <w:t>case study</w:t>
      </w:r>
      <w:r w:rsidR="00001E6E" w:rsidRPr="00030D8D">
        <w:rPr>
          <w:rFonts w:ascii="Arial" w:eastAsia="Times New Roman" w:hAnsi="Arial" w:cs="Arial"/>
          <w:sz w:val="24"/>
          <w:szCs w:val="24"/>
        </w:rPr>
        <w:t xml:space="preserve"> </w:t>
      </w:r>
      <w:r w:rsidR="00740348" w:rsidRPr="00030D8D">
        <w:rPr>
          <w:rFonts w:ascii="Arial" w:eastAsia="Times New Roman" w:hAnsi="Arial" w:cs="Arial"/>
          <w:sz w:val="24"/>
          <w:szCs w:val="24"/>
        </w:rPr>
        <w:t>counterpart of</w:t>
      </w:r>
      <w:r w:rsidR="00001E6E" w:rsidRPr="00030D8D">
        <w:rPr>
          <w:rFonts w:ascii="Arial" w:eastAsia="Times New Roman" w:hAnsi="Arial" w:cs="Arial"/>
          <w:sz w:val="24"/>
          <w:szCs w:val="24"/>
        </w:rPr>
        <w:t xml:space="preserve"> the project is the transnational </w:t>
      </w:r>
      <w:r w:rsidR="00740348" w:rsidRPr="00030D8D">
        <w:rPr>
          <w:rFonts w:ascii="Arial" w:eastAsia="Times New Roman" w:hAnsi="Arial" w:cs="Arial"/>
          <w:sz w:val="24"/>
          <w:szCs w:val="24"/>
        </w:rPr>
        <w:t xml:space="preserve">digital </w:t>
      </w:r>
      <w:r w:rsidR="00001E6E" w:rsidRPr="00030D8D">
        <w:rPr>
          <w:rFonts w:ascii="Arial" w:eastAsia="Times New Roman" w:hAnsi="Arial" w:cs="Arial"/>
          <w:sz w:val="24"/>
          <w:szCs w:val="24"/>
        </w:rPr>
        <w:t xml:space="preserve">platform ´Museo de los desplazados´, the Museum of </w:t>
      </w:r>
      <w:r w:rsidR="008A59E9" w:rsidRPr="00030D8D">
        <w:rPr>
          <w:rFonts w:ascii="Arial" w:eastAsia="Times New Roman" w:hAnsi="Arial" w:cs="Arial"/>
          <w:sz w:val="24"/>
          <w:szCs w:val="24"/>
        </w:rPr>
        <w:t xml:space="preserve">the </w:t>
      </w:r>
      <w:r w:rsidR="00001E6E" w:rsidRPr="00030D8D">
        <w:rPr>
          <w:rFonts w:ascii="Arial" w:eastAsia="Times New Roman" w:hAnsi="Arial" w:cs="Arial"/>
          <w:sz w:val="24"/>
          <w:szCs w:val="24"/>
        </w:rPr>
        <w:t>Displace</w:t>
      </w:r>
      <w:r w:rsidR="008A59E9" w:rsidRPr="00030D8D">
        <w:rPr>
          <w:rFonts w:ascii="Arial" w:eastAsia="Times New Roman" w:hAnsi="Arial" w:cs="Arial"/>
          <w:sz w:val="24"/>
          <w:szCs w:val="24"/>
        </w:rPr>
        <w:t>d</w:t>
      </w:r>
      <w:r w:rsidR="00001E6E" w:rsidRPr="000601CC">
        <w:rPr>
          <w:rStyle w:val="FootnoteReference"/>
        </w:rPr>
        <w:footnoteReference w:id="2"/>
      </w:r>
      <w:r w:rsidR="00210AF0" w:rsidRPr="00030D8D">
        <w:rPr>
          <w:rFonts w:ascii="Arial" w:eastAsia="Times New Roman" w:hAnsi="Arial" w:cs="Arial"/>
          <w:sz w:val="24"/>
          <w:szCs w:val="24"/>
        </w:rPr>
        <w:t xml:space="preserve">, once again </w:t>
      </w:r>
      <w:r w:rsidR="000222B1" w:rsidRPr="00030D8D">
        <w:rPr>
          <w:rFonts w:ascii="Arial" w:eastAsia="Times New Roman" w:hAnsi="Arial" w:cs="Arial"/>
          <w:sz w:val="24"/>
          <w:szCs w:val="24"/>
        </w:rPr>
        <w:t>defining</w:t>
      </w:r>
      <w:r w:rsidR="00567B8F" w:rsidRPr="00030D8D">
        <w:rPr>
          <w:rFonts w:ascii="Arial" w:eastAsia="Times New Roman" w:hAnsi="Arial" w:cs="Arial"/>
          <w:sz w:val="24"/>
          <w:szCs w:val="24"/>
        </w:rPr>
        <w:t xml:space="preserve"> gentrification from its most visible </w:t>
      </w:r>
      <w:r w:rsidR="000222B1" w:rsidRPr="00030D8D">
        <w:rPr>
          <w:rFonts w:ascii="Arial" w:eastAsia="Times New Roman" w:hAnsi="Arial" w:cs="Arial"/>
          <w:sz w:val="24"/>
          <w:szCs w:val="24"/>
        </w:rPr>
        <w:t>consequences</w:t>
      </w:r>
      <w:r w:rsidR="00FE43C8" w:rsidRPr="00030D8D">
        <w:rPr>
          <w:rFonts w:ascii="Arial" w:eastAsia="Times New Roman" w:hAnsi="Arial" w:cs="Arial"/>
          <w:sz w:val="24"/>
          <w:szCs w:val="24"/>
        </w:rPr>
        <w:t>,</w:t>
      </w:r>
      <w:r w:rsidR="000222B1" w:rsidRPr="00030D8D">
        <w:rPr>
          <w:rFonts w:ascii="Arial" w:eastAsia="Times New Roman" w:hAnsi="Arial" w:cs="Arial"/>
          <w:sz w:val="24"/>
          <w:szCs w:val="24"/>
        </w:rPr>
        <w:t xml:space="preserve"> displacement.</w:t>
      </w:r>
    </w:p>
    <w:p w14:paraId="6BED4EF9" w14:textId="77777777" w:rsidR="00B8671C" w:rsidRPr="00030D8D" w:rsidRDefault="00B8671C" w:rsidP="000162A7">
      <w:pPr>
        <w:pStyle w:val="p2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FB9162" w14:textId="744FA047" w:rsidR="00B8671C" w:rsidRPr="00030D8D" w:rsidRDefault="00B6764F" w:rsidP="000162A7">
      <w:pPr>
        <w:pStyle w:val="p2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Fighting g</w:t>
      </w:r>
      <w:r w:rsidR="00D3379E">
        <w:rPr>
          <w:rFonts w:ascii="Arial" w:eastAsia="Times New Roman" w:hAnsi="Arial" w:cs="Arial"/>
          <w:i/>
          <w:sz w:val="24"/>
          <w:szCs w:val="24"/>
        </w:rPr>
        <w:t>entrification, displacement or evictions?</w:t>
      </w:r>
    </w:p>
    <w:p w14:paraId="69FB459A" w14:textId="1ACE4FAD" w:rsidR="009846CD" w:rsidRPr="00030D8D" w:rsidRDefault="001F3344" w:rsidP="000162A7">
      <w:pPr>
        <w:pStyle w:val="p2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Displacement was</w:t>
      </w:r>
      <w:r w:rsidR="000222B1" w:rsidRPr="00030D8D">
        <w:rPr>
          <w:rFonts w:ascii="Arial" w:hAnsi="Arial" w:cs="Arial"/>
          <w:sz w:val="24"/>
          <w:szCs w:val="24"/>
        </w:rPr>
        <w:t xml:space="preserve"> </w:t>
      </w:r>
      <w:r w:rsidR="006E5466">
        <w:rPr>
          <w:rFonts w:ascii="Arial" w:hAnsi="Arial" w:cs="Arial"/>
          <w:sz w:val="24"/>
          <w:szCs w:val="24"/>
        </w:rPr>
        <w:t>key, too, to our</w:t>
      </w:r>
      <w:r w:rsidR="00D237BA">
        <w:rPr>
          <w:rFonts w:ascii="Arial" w:hAnsi="Arial" w:cs="Arial"/>
          <w:sz w:val="24"/>
          <w:szCs w:val="24"/>
        </w:rPr>
        <w:t xml:space="preserve"> definition of gentrification in</w:t>
      </w:r>
      <w:r w:rsidR="000222B1" w:rsidRPr="00030D8D">
        <w:rPr>
          <w:rFonts w:ascii="Arial" w:hAnsi="Arial" w:cs="Arial"/>
          <w:sz w:val="24"/>
          <w:szCs w:val="24"/>
        </w:rPr>
        <w:t xml:space="preserve"> the </w:t>
      </w:r>
      <w:r w:rsidR="00C70314" w:rsidRPr="00030D8D">
        <w:rPr>
          <w:rFonts w:ascii="Arial" w:hAnsi="Arial" w:cs="Arial"/>
          <w:sz w:val="24"/>
          <w:szCs w:val="24"/>
        </w:rPr>
        <w:t>production of ‘Staying Put’</w:t>
      </w:r>
      <w:r w:rsidR="000222B1" w:rsidRPr="00030D8D">
        <w:rPr>
          <w:rFonts w:ascii="Arial" w:hAnsi="Arial" w:cs="Arial"/>
          <w:sz w:val="24"/>
          <w:szCs w:val="24"/>
        </w:rPr>
        <w:t>, from the active spatiality of the title to</w:t>
      </w:r>
      <w:r w:rsidR="00201132">
        <w:rPr>
          <w:rFonts w:ascii="Arial" w:hAnsi="Arial" w:cs="Arial"/>
          <w:sz w:val="24"/>
          <w:szCs w:val="24"/>
        </w:rPr>
        <w:t xml:space="preserve"> the inclusion of</w:t>
      </w:r>
      <w:r w:rsidR="000222B1" w:rsidRPr="00030D8D">
        <w:rPr>
          <w:rFonts w:ascii="Arial" w:hAnsi="Arial" w:cs="Arial"/>
          <w:sz w:val="24"/>
          <w:szCs w:val="24"/>
        </w:rPr>
        <w:t xml:space="preserve"> </w:t>
      </w:r>
      <w:r w:rsidR="00FE27C0" w:rsidRPr="00030D8D">
        <w:rPr>
          <w:rFonts w:ascii="Arial" w:hAnsi="Arial" w:cs="Arial"/>
          <w:sz w:val="24"/>
          <w:szCs w:val="24"/>
        </w:rPr>
        <w:t xml:space="preserve">the data visualisation </w:t>
      </w:r>
      <w:r w:rsidR="00382BBE">
        <w:rPr>
          <w:rFonts w:ascii="Arial" w:hAnsi="Arial" w:cs="Arial"/>
          <w:sz w:val="24"/>
          <w:szCs w:val="24"/>
        </w:rPr>
        <w:t>of</w:t>
      </w:r>
      <w:r w:rsidR="000222B1" w:rsidRPr="00030D8D">
        <w:rPr>
          <w:rFonts w:ascii="Arial" w:hAnsi="Arial" w:cs="Arial"/>
          <w:sz w:val="24"/>
          <w:szCs w:val="24"/>
        </w:rPr>
        <w:t xml:space="preserve"> the displacement of </w:t>
      </w:r>
      <w:r w:rsidR="00FE27C0" w:rsidRPr="00030D8D">
        <w:rPr>
          <w:rFonts w:ascii="Arial" w:hAnsi="Arial" w:cs="Arial"/>
          <w:sz w:val="24"/>
          <w:szCs w:val="24"/>
        </w:rPr>
        <w:t>the Heygate Estate</w:t>
      </w:r>
      <w:r w:rsidR="000222B1" w:rsidRPr="00030D8D">
        <w:rPr>
          <w:rFonts w:ascii="Arial" w:hAnsi="Arial" w:cs="Arial"/>
          <w:sz w:val="24"/>
          <w:szCs w:val="24"/>
        </w:rPr>
        <w:t>´s</w:t>
      </w:r>
      <w:r w:rsidR="00FE27C0" w:rsidRPr="00030D8D">
        <w:rPr>
          <w:rFonts w:ascii="Arial" w:hAnsi="Arial" w:cs="Arial"/>
          <w:sz w:val="24"/>
          <w:szCs w:val="24"/>
        </w:rPr>
        <w:t xml:space="preserve">  </w:t>
      </w:r>
      <w:r w:rsidR="009B0F88">
        <w:rPr>
          <w:rFonts w:ascii="Arial" w:hAnsi="Arial" w:cs="Arial"/>
          <w:sz w:val="24"/>
          <w:szCs w:val="24"/>
        </w:rPr>
        <w:t>residents in the first section</w:t>
      </w:r>
      <w:r w:rsidR="00DF4068">
        <w:rPr>
          <w:rFonts w:ascii="Arial" w:hAnsi="Arial" w:cs="Arial"/>
          <w:sz w:val="24"/>
          <w:szCs w:val="24"/>
        </w:rPr>
        <w:t xml:space="preserve"> ‘What’s going on?’</w:t>
      </w:r>
      <w:r w:rsidR="000222B1" w:rsidRPr="00030D8D">
        <w:rPr>
          <w:rFonts w:ascii="Arial" w:hAnsi="Arial" w:cs="Arial"/>
          <w:sz w:val="24"/>
          <w:szCs w:val="24"/>
        </w:rPr>
        <w:t>.</w:t>
      </w:r>
      <w:r w:rsidR="00032460" w:rsidRPr="000601CC">
        <w:rPr>
          <w:rStyle w:val="FootnoteReference"/>
        </w:rPr>
        <w:footnoteReference w:id="3"/>
      </w:r>
      <w:r w:rsidR="00FE27C0" w:rsidRPr="00030D8D">
        <w:rPr>
          <w:rFonts w:ascii="Arial" w:hAnsi="Arial" w:cs="Arial"/>
          <w:sz w:val="24"/>
          <w:szCs w:val="24"/>
        </w:rPr>
        <w:t xml:space="preserve"> </w:t>
      </w:r>
      <w:r w:rsidR="00382BBE">
        <w:rPr>
          <w:rFonts w:ascii="Arial" w:hAnsi="Arial" w:cs="Arial"/>
          <w:sz w:val="24"/>
          <w:szCs w:val="24"/>
        </w:rPr>
        <w:t xml:space="preserve">Different versions of these displacement </w:t>
      </w:r>
      <w:r w:rsidR="009C6EB3" w:rsidRPr="00030D8D">
        <w:rPr>
          <w:rFonts w:ascii="Arial" w:hAnsi="Arial" w:cs="Arial"/>
          <w:sz w:val="24"/>
          <w:szCs w:val="24"/>
        </w:rPr>
        <w:t xml:space="preserve">maps have been </w:t>
      </w:r>
      <w:r w:rsidR="000322F6" w:rsidRPr="00030D8D">
        <w:rPr>
          <w:rFonts w:ascii="Arial" w:hAnsi="Arial" w:cs="Arial"/>
          <w:sz w:val="24"/>
          <w:szCs w:val="24"/>
        </w:rPr>
        <w:t>reposted and republished across a range of digital</w:t>
      </w:r>
      <w:r w:rsidR="00E233C9" w:rsidRPr="00030D8D">
        <w:rPr>
          <w:rFonts w:ascii="Arial" w:hAnsi="Arial" w:cs="Arial"/>
          <w:sz w:val="24"/>
          <w:szCs w:val="24"/>
        </w:rPr>
        <w:t xml:space="preserve"> </w:t>
      </w:r>
      <w:r w:rsidR="00E30386" w:rsidRPr="00030D8D">
        <w:rPr>
          <w:rFonts w:ascii="Arial" w:hAnsi="Arial" w:cs="Arial"/>
          <w:sz w:val="24"/>
          <w:szCs w:val="24"/>
        </w:rPr>
        <w:t xml:space="preserve">and printed media </w:t>
      </w:r>
      <w:r w:rsidR="00E30386" w:rsidRPr="00030D8D">
        <w:rPr>
          <w:rFonts w:ascii="Arial" w:hAnsi="Arial" w:cs="Arial"/>
          <w:sz w:val="24"/>
          <w:szCs w:val="24"/>
        </w:rPr>
        <w:fldChar w:fldCharType="begin"/>
      </w:r>
      <w:r w:rsidR="004645BB" w:rsidRPr="00030D8D">
        <w:rPr>
          <w:rFonts w:ascii="Arial" w:hAnsi="Arial" w:cs="Arial"/>
          <w:sz w:val="24"/>
          <w:szCs w:val="24"/>
        </w:rPr>
        <w:instrText xml:space="preserve"> ADDIN ZOTERO_ITEM {"citationID":"Rxuoh07W","properties":{"formattedCitation":"(Abley, 2015; Minton, 2017)","plainCitation":"(Abley, 2015; Minton, 2017)"},"citationItems":[{"id":2437,"uris":["http://zotero.org/users/3284224/items/E9KA98X2"],"uri":["http://zotero.org/users/3284224/items/E9KA98X2"]},{"id":2439,"uris":["http://zotero.org/users/3284224/items/6H69JJ34"],"uri":["http://zotero.org/users/3284224/items/6H69JJ34"]}]} </w:instrText>
      </w:r>
      <w:r w:rsidR="00E30386" w:rsidRPr="00030D8D">
        <w:rPr>
          <w:rFonts w:ascii="Arial" w:hAnsi="Arial" w:cs="Arial"/>
          <w:sz w:val="24"/>
          <w:szCs w:val="24"/>
        </w:rPr>
        <w:fldChar w:fldCharType="separate"/>
      </w:r>
      <w:r w:rsidR="004645BB" w:rsidRPr="00030D8D">
        <w:rPr>
          <w:rFonts w:ascii="Arial" w:hAnsi="Arial" w:cs="Arial"/>
          <w:noProof/>
          <w:sz w:val="24"/>
          <w:szCs w:val="24"/>
        </w:rPr>
        <w:t>(Abley, 2015; Minton, 2017)</w:t>
      </w:r>
      <w:r w:rsidR="00E30386" w:rsidRPr="00030D8D">
        <w:rPr>
          <w:rFonts w:ascii="Arial" w:hAnsi="Arial" w:cs="Arial"/>
          <w:sz w:val="24"/>
          <w:szCs w:val="24"/>
        </w:rPr>
        <w:fldChar w:fldCharType="end"/>
      </w:r>
      <w:r w:rsidR="004645BB" w:rsidRPr="00030D8D">
        <w:rPr>
          <w:rFonts w:ascii="Arial" w:hAnsi="Arial" w:cs="Arial"/>
          <w:sz w:val="24"/>
          <w:szCs w:val="24"/>
        </w:rPr>
        <w:t xml:space="preserve">. As the booklet </w:t>
      </w:r>
      <w:r w:rsidR="00FB7FDE">
        <w:rPr>
          <w:rFonts w:ascii="Arial" w:hAnsi="Arial" w:cs="Arial"/>
          <w:sz w:val="24"/>
          <w:szCs w:val="24"/>
        </w:rPr>
        <w:t xml:space="preserve">circulated online and </w:t>
      </w:r>
      <w:r w:rsidR="004645BB" w:rsidRPr="00030D8D">
        <w:rPr>
          <w:rFonts w:ascii="Arial" w:hAnsi="Arial" w:cs="Arial"/>
          <w:sz w:val="24"/>
          <w:szCs w:val="24"/>
        </w:rPr>
        <w:t xml:space="preserve">across council estates in London, </w:t>
      </w:r>
      <w:r w:rsidR="00686A2B">
        <w:rPr>
          <w:rFonts w:ascii="Arial" w:hAnsi="Arial" w:cs="Arial"/>
          <w:sz w:val="24"/>
          <w:szCs w:val="24"/>
        </w:rPr>
        <w:t>the</w:t>
      </w:r>
      <w:r w:rsidR="004645BB" w:rsidRPr="00030D8D">
        <w:rPr>
          <w:rFonts w:ascii="Arial" w:hAnsi="Arial" w:cs="Arial"/>
          <w:sz w:val="24"/>
          <w:szCs w:val="24"/>
        </w:rPr>
        <w:t xml:space="preserve"> maps were</w:t>
      </w:r>
      <w:r w:rsidR="00686A2B">
        <w:rPr>
          <w:rFonts w:ascii="Arial" w:hAnsi="Arial" w:cs="Arial"/>
          <w:sz w:val="24"/>
          <w:szCs w:val="24"/>
        </w:rPr>
        <w:t xml:space="preserve"> apparently</w:t>
      </w:r>
      <w:r w:rsidR="004645BB" w:rsidRPr="00030D8D">
        <w:rPr>
          <w:rFonts w:ascii="Arial" w:hAnsi="Arial" w:cs="Arial"/>
          <w:sz w:val="24"/>
          <w:szCs w:val="24"/>
        </w:rPr>
        <w:t xml:space="preserve"> </w:t>
      </w:r>
      <w:r w:rsidR="00E80FDA">
        <w:rPr>
          <w:rFonts w:ascii="Arial" w:hAnsi="Arial" w:cs="Arial"/>
          <w:sz w:val="24"/>
          <w:szCs w:val="24"/>
        </w:rPr>
        <w:t>a highly effective</w:t>
      </w:r>
      <w:r w:rsidR="00075691">
        <w:rPr>
          <w:rFonts w:ascii="Arial" w:hAnsi="Arial" w:cs="Arial"/>
          <w:sz w:val="24"/>
          <w:szCs w:val="24"/>
        </w:rPr>
        <w:t xml:space="preserve"> for </w:t>
      </w:r>
      <w:r w:rsidR="004645BB" w:rsidRPr="00030D8D">
        <w:rPr>
          <w:rFonts w:ascii="Arial" w:hAnsi="Arial" w:cs="Arial"/>
          <w:sz w:val="24"/>
          <w:szCs w:val="24"/>
        </w:rPr>
        <w:t>residents, and particularly l</w:t>
      </w:r>
      <w:r w:rsidR="00E80FDA">
        <w:rPr>
          <w:rFonts w:ascii="Arial" w:hAnsi="Arial" w:cs="Arial"/>
          <w:sz w:val="24"/>
          <w:szCs w:val="24"/>
        </w:rPr>
        <w:t>easeholders,</w:t>
      </w:r>
      <w:r w:rsidR="004645BB" w:rsidRPr="00030D8D">
        <w:rPr>
          <w:rFonts w:ascii="Arial" w:hAnsi="Arial" w:cs="Arial"/>
          <w:sz w:val="24"/>
          <w:szCs w:val="24"/>
        </w:rPr>
        <w:t xml:space="preserve"> </w:t>
      </w:r>
      <w:r w:rsidR="008E7D3D">
        <w:rPr>
          <w:rFonts w:ascii="Arial" w:hAnsi="Arial" w:cs="Arial"/>
          <w:sz w:val="24"/>
          <w:szCs w:val="24"/>
        </w:rPr>
        <w:t xml:space="preserve">to understand </w:t>
      </w:r>
      <w:r w:rsidR="004645BB" w:rsidRPr="00030D8D">
        <w:rPr>
          <w:rFonts w:ascii="Arial" w:hAnsi="Arial" w:cs="Arial"/>
          <w:sz w:val="24"/>
          <w:szCs w:val="24"/>
        </w:rPr>
        <w:t>the displaceme</w:t>
      </w:r>
      <w:r w:rsidR="002F5BA2">
        <w:rPr>
          <w:rFonts w:ascii="Arial" w:hAnsi="Arial" w:cs="Arial"/>
          <w:sz w:val="24"/>
          <w:szCs w:val="24"/>
        </w:rPr>
        <w:t>nt effects of regeneration schemes</w:t>
      </w:r>
      <w:r w:rsidR="004645BB" w:rsidRPr="00030D8D">
        <w:rPr>
          <w:rFonts w:ascii="Arial" w:hAnsi="Arial" w:cs="Arial"/>
          <w:sz w:val="24"/>
          <w:szCs w:val="24"/>
        </w:rPr>
        <w:t xml:space="preserve"> that did not guarantee the right to stay or to return under the same conditions. </w:t>
      </w:r>
      <w:r w:rsidR="006C5771">
        <w:rPr>
          <w:rFonts w:ascii="Arial" w:hAnsi="Arial" w:cs="Arial"/>
          <w:sz w:val="24"/>
          <w:szCs w:val="24"/>
        </w:rPr>
        <w:t>The centrality of displacement and its power of communication were</w:t>
      </w:r>
      <w:r w:rsidR="005D710C" w:rsidRPr="00030D8D">
        <w:rPr>
          <w:rFonts w:ascii="Arial" w:hAnsi="Arial" w:cs="Arial"/>
          <w:sz w:val="24"/>
          <w:szCs w:val="24"/>
        </w:rPr>
        <w:t xml:space="preserve"> such that we even </w:t>
      </w:r>
      <w:r w:rsidR="00FC2FB5" w:rsidRPr="00030D8D">
        <w:rPr>
          <w:rFonts w:ascii="Arial" w:hAnsi="Arial" w:cs="Arial"/>
          <w:sz w:val="24"/>
          <w:szCs w:val="24"/>
        </w:rPr>
        <w:t>considered and debated, as research</w:t>
      </w:r>
      <w:r w:rsidR="00FF4279" w:rsidRPr="00030D8D">
        <w:rPr>
          <w:rFonts w:ascii="Arial" w:hAnsi="Arial" w:cs="Arial"/>
          <w:sz w:val="24"/>
          <w:szCs w:val="24"/>
        </w:rPr>
        <w:t>-activist</w:t>
      </w:r>
      <w:r w:rsidR="005D710C" w:rsidRPr="00030D8D">
        <w:rPr>
          <w:rFonts w:ascii="Arial" w:hAnsi="Arial" w:cs="Arial"/>
          <w:sz w:val="24"/>
          <w:szCs w:val="24"/>
        </w:rPr>
        <w:t xml:space="preserve"> </w:t>
      </w:r>
      <w:r w:rsidR="00FC2FB5" w:rsidRPr="00030D8D">
        <w:rPr>
          <w:rFonts w:ascii="Arial" w:hAnsi="Arial" w:cs="Arial"/>
          <w:sz w:val="24"/>
          <w:szCs w:val="24"/>
        </w:rPr>
        <w:t xml:space="preserve">partners, whether </w:t>
      </w:r>
      <w:r w:rsidR="009E0B8C">
        <w:rPr>
          <w:rFonts w:ascii="Arial" w:hAnsi="Arial" w:cs="Arial"/>
          <w:sz w:val="24"/>
          <w:szCs w:val="24"/>
        </w:rPr>
        <w:t xml:space="preserve">it was more appropriate </w:t>
      </w:r>
      <w:r w:rsidR="007F0ADA" w:rsidRPr="00030D8D">
        <w:rPr>
          <w:rFonts w:ascii="Arial" w:hAnsi="Arial" w:cs="Arial"/>
          <w:sz w:val="24"/>
          <w:szCs w:val="24"/>
        </w:rPr>
        <w:t>to talk about</w:t>
      </w:r>
      <w:r w:rsidR="00FC2FB5" w:rsidRPr="00030D8D">
        <w:rPr>
          <w:rFonts w:ascii="Arial" w:hAnsi="Arial" w:cs="Arial"/>
          <w:sz w:val="24"/>
          <w:szCs w:val="24"/>
        </w:rPr>
        <w:t xml:space="preserve"> ‘anti-displacement´, r</w:t>
      </w:r>
      <w:r w:rsidR="009E0B8C">
        <w:rPr>
          <w:rFonts w:ascii="Arial" w:hAnsi="Arial" w:cs="Arial"/>
          <w:sz w:val="24"/>
          <w:szCs w:val="24"/>
        </w:rPr>
        <w:t xml:space="preserve">ather than anti-gentrification, </w:t>
      </w:r>
      <w:r w:rsidR="009E0B8C" w:rsidRPr="00030D8D">
        <w:rPr>
          <w:rFonts w:ascii="Arial" w:hAnsi="Arial" w:cs="Arial"/>
          <w:sz w:val="24"/>
          <w:szCs w:val="24"/>
        </w:rPr>
        <w:t xml:space="preserve">in the title of the </w:t>
      </w:r>
      <w:r w:rsidR="009E0B8C">
        <w:rPr>
          <w:rFonts w:ascii="Arial" w:hAnsi="Arial" w:cs="Arial"/>
          <w:sz w:val="24"/>
          <w:szCs w:val="24"/>
        </w:rPr>
        <w:t>handbook.</w:t>
      </w:r>
    </w:p>
    <w:p w14:paraId="5482B295" w14:textId="77777777" w:rsidR="005D361C" w:rsidRDefault="007F0ADA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D8D">
        <w:rPr>
          <w:rFonts w:ascii="Arial" w:hAnsi="Arial" w:cs="Arial"/>
          <w:sz w:val="24"/>
          <w:szCs w:val="24"/>
        </w:rPr>
        <w:t xml:space="preserve">There are </w:t>
      </w:r>
      <w:r w:rsidR="00F76733" w:rsidRPr="00030D8D">
        <w:rPr>
          <w:rFonts w:ascii="Arial" w:hAnsi="Arial" w:cs="Arial"/>
          <w:sz w:val="24"/>
          <w:szCs w:val="24"/>
        </w:rPr>
        <w:t>analytical and political reasons</w:t>
      </w:r>
      <w:r w:rsidRPr="00030D8D">
        <w:rPr>
          <w:rFonts w:ascii="Arial" w:hAnsi="Arial" w:cs="Arial"/>
          <w:sz w:val="24"/>
          <w:szCs w:val="24"/>
        </w:rPr>
        <w:t xml:space="preserve"> why </w:t>
      </w:r>
      <w:r w:rsidR="00144EE6">
        <w:rPr>
          <w:rFonts w:ascii="Arial" w:hAnsi="Arial" w:cs="Arial"/>
          <w:sz w:val="24"/>
          <w:szCs w:val="24"/>
        </w:rPr>
        <w:t>(anti-)</w:t>
      </w:r>
      <w:r w:rsidRPr="00030D8D">
        <w:rPr>
          <w:rFonts w:ascii="Arial" w:hAnsi="Arial" w:cs="Arial"/>
          <w:sz w:val="24"/>
          <w:szCs w:val="24"/>
        </w:rPr>
        <w:t>gentrification</w:t>
      </w:r>
      <w:r w:rsidR="00554631" w:rsidRPr="00030D8D">
        <w:rPr>
          <w:rFonts w:ascii="Arial" w:hAnsi="Arial" w:cs="Arial"/>
          <w:sz w:val="24"/>
          <w:szCs w:val="24"/>
        </w:rPr>
        <w:t xml:space="preserve"> remained.</w:t>
      </w:r>
      <w:r w:rsidR="00F527B1">
        <w:rPr>
          <w:rFonts w:ascii="Arial" w:hAnsi="Arial" w:cs="Arial"/>
          <w:sz w:val="24"/>
          <w:szCs w:val="24"/>
        </w:rPr>
        <w:t xml:space="preserve"> Firstly</w:t>
      </w:r>
      <w:r w:rsidRPr="00030D8D">
        <w:rPr>
          <w:rFonts w:ascii="Arial" w:hAnsi="Arial" w:cs="Arial"/>
          <w:sz w:val="24"/>
          <w:szCs w:val="24"/>
        </w:rPr>
        <w:t xml:space="preserve">, </w:t>
      </w:r>
      <w:r w:rsidR="00837F02" w:rsidRPr="00030D8D">
        <w:rPr>
          <w:rFonts w:ascii="Arial" w:hAnsi="Arial" w:cs="Arial"/>
          <w:sz w:val="24"/>
          <w:szCs w:val="24"/>
        </w:rPr>
        <w:t>we wanted to expose</w:t>
      </w:r>
      <w:r w:rsidRPr="00030D8D">
        <w:rPr>
          <w:rFonts w:ascii="Arial" w:hAnsi="Arial" w:cs="Arial"/>
          <w:sz w:val="24"/>
          <w:szCs w:val="24"/>
        </w:rPr>
        <w:t xml:space="preserve"> the industry of</w:t>
      </w:r>
      <w:r w:rsidR="00244F95" w:rsidRPr="00030D8D">
        <w:rPr>
          <w:rFonts w:ascii="Arial" w:hAnsi="Arial" w:cs="Arial"/>
          <w:sz w:val="24"/>
          <w:szCs w:val="24"/>
        </w:rPr>
        <w:t xml:space="preserve"> council-estate ‘regeneration’ </w:t>
      </w:r>
      <w:r w:rsidRPr="00030D8D">
        <w:rPr>
          <w:rFonts w:ascii="Arial" w:hAnsi="Arial" w:cs="Arial"/>
          <w:sz w:val="24"/>
          <w:szCs w:val="24"/>
        </w:rPr>
        <w:t xml:space="preserve">and its </w:t>
      </w:r>
      <w:r w:rsidR="00082C47" w:rsidRPr="00030D8D">
        <w:rPr>
          <w:rFonts w:ascii="Arial" w:hAnsi="Arial" w:cs="Arial"/>
          <w:sz w:val="24"/>
          <w:szCs w:val="24"/>
        </w:rPr>
        <w:t>repercussions</w:t>
      </w:r>
      <w:r w:rsidR="00C67F2D" w:rsidRPr="00030D8D">
        <w:rPr>
          <w:rFonts w:ascii="Arial" w:hAnsi="Arial" w:cs="Arial"/>
          <w:sz w:val="24"/>
          <w:szCs w:val="24"/>
        </w:rPr>
        <w:t xml:space="preserve"> on the lives on low-income individuals</w:t>
      </w:r>
      <w:r w:rsidR="00737141" w:rsidRPr="00030D8D">
        <w:rPr>
          <w:rFonts w:ascii="Arial" w:hAnsi="Arial" w:cs="Arial"/>
          <w:sz w:val="24"/>
          <w:szCs w:val="24"/>
        </w:rPr>
        <w:t xml:space="preserve"> and families</w:t>
      </w:r>
      <w:r w:rsidRPr="00030D8D">
        <w:rPr>
          <w:rFonts w:ascii="Arial" w:hAnsi="Arial" w:cs="Arial"/>
          <w:sz w:val="24"/>
          <w:szCs w:val="24"/>
        </w:rPr>
        <w:t xml:space="preserve">. </w:t>
      </w:r>
      <w:r w:rsidR="00A90EA5" w:rsidRPr="00030D8D">
        <w:rPr>
          <w:rFonts w:ascii="Arial" w:hAnsi="Arial" w:cs="Arial"/>
          <w:sz w:val="24"/>
          <w:szCs w:val="24"/>
        </w:rPr>
        <w:t>Most r</w:t>
      </w:r>
      <w:r w:rsidRPr="00030D8D">
        <w:rPr>
          <w:rFonts w:ascii="Arial" w:hAnsi="Arial" w:cs="Arial"/>
          <w:sz w:val="24"/>
          <w:szCs w:val="24"/>
        </w:rPr>
        <w:t>egeneration</w:t>
      </w:r>
      <w:r w:rsidR="00A90EA5" w:rsidRPr="00030D8D">
        <w:rPr>
          <w:rFonts w:ascii="Arial" w:hAnsi="Arial" w:cs="Arial"/>
          <w:sz w:val="24"/>
          <w:szCs w:val="24"/>
        </w:rPr>
        <w:t>-</w:t>
      </w:r>
      <w:r w:rsidRPr="00030D8D">
        <w:rPr>
          <w:rFonts w:ascii="Arial" w:hAnsi="Arial" w:cs="Arial"/>
          <w:sz w:val="24"/>
          <w:szCs w:val="24"/>
        </w:rPr>
        <w:t>by</w:t>
      </w:r>
      <w:r w:rsidR="00A90EA5" w:rsidRPr="00030D8D">
        <w:rPr>
          <w:rFonts w:ascii="Arial" w:hAnsi="Arial" w:cs="Arial"/>
          <w:sz w:val="24"/>
          <w:szCs w:val="24"/>
        </w:rPr>
        <w:t>-</w:t>
      </w:r>
      <w:r w:rsidRPr="00030D8D">
        <w:rPr>
          <w:rFonts w:ascii="Arial" w:hAnsi="Arial" w:cs="Arial"/>
          <w:sz w:val="24"/>
          <w:szCs w:val="24"/>
        </w:rPr>
        <w:t>demolition schemes</w:t>
      </w:r>
      <w:r w:rsidR="009721F9" w:rsidRPr="00030D8D">
        <w:rPr>
          <w:rFonts w:ascii="Arial" w:hAnsi="Arial" w:cs="Arial"/>
          <w:sz w:val="24"/>
          <w:szCs w:val="24"/>
        </w:rPr>
        <w:t xml:space="preserve"> </w:t>
      </w:r>
      <w:r w:rsidR="00FD73D2">
        <w:rPr>
          <w:rFonts w:ascii="Arial" w:hAnsi="Arial" w:cs="Arial"/>
          <w:sz w:val="24"/>
          <w:szCs w:val="24"/>
        </w:rPr>
        <w:t xml:space="preserve">which </w:t>
      </w:r>
      <w:r w:rsidR="009721F9" w:rsidRPr="00030D8D">
        <w:rPr>
          <w:rFonts w:ascii="Arial" w:hAnsi="Arial" w:cs="Arial"/>
          <w:sz w:val="24"/>
          <w:szCs w:val="24"/>
        </w:rPr>
        <w:t xml:space="preserve">have, at </w:t>
      </w:r>
      <w:r w:rsidR="00A90EA5" w:rsidRPr="00030D8D">
        <w:rPr>
          <w:rFonts w:ascii="Arial" w:hAnsi="Arial" w:cs="Arial"/>
          <w:sz w:val="24"/>
          <w:szCs w:val="24"/>
        </w:rPr>
        <w:t>their core, a</w:t>
      </w:r>
      <w:r w:rsidR="009721F9" w:rsidRPr="00030D8D">
        <w:rPr>
          <w:rFonts w:ascii="Arial" w:hAnsi="Arial" w:cs="Arial"/>
          <w:sz w:val="24"/>
          <w:szCs w:val="24"/>
        </w:rPr>
        <w:t xml:space="preserve"> strategy of</w:t>
      </w:r>
      <w:r w:rsidRPr="00030D8D">
        <w:rPr>
          <w:rFonts w:ascii="Arial" w:hAnsi="Arial" w:cs="Arial"/>
          <w:sz w:val="24"/>
          <w:szCs w:val="24"/>
        </w:rPr>
        <w:t xml:space="preserve">  ‘poverty deconcentration’ </w:t>
      </w:r>
      <w:r w:rsidR="00E46158" w:rsidRPr="00030D8D">
        <w:rPr>
          <w:rFonts w:ascii="Arial" w:hAnsi="Arial" w:cs="Arial"/>
          <w:sz w:val="24"/>
          <w:szCs w:val="24"/>
        </w:rPr>
        <w:fldChar w:fldCharType="begin"/>
      </w:r>
      <w:r w:rsidR="00E46158" w:rsidRPr="00030D8D">
        <w:rPr>
          <w:rFonts w:ascii="Arial" w:hAnsi="Arial" w:cs="Arial"/>
          <w:sz w:val="24"/>
          <w:szCs w:val="24"/>
        </w:rPr>
        <w:instrText xml:space="preserve"> ADDIN ZOTERO_ITEM {"citationID":"dc8denaqn","properties":{"formattedCitation":"(Lees, 2014)","plainCitation":"(Lees, 2014)"},"citationItems":[{"id":2081,"uris":["http://zotero.org/users/3284224/items/R96GS8NV"],"uri":["http://zotero.org/users/3284224/items/R96GS8NV"]}]} </w:instrText>
      </w:r>
      <w:r w:rsidR="00E46158" w:rsidRPr="00030D8D">
        <w:rPr>
          <w:rFonts w:ascii="Arial" w:hAnsi="Arial" w:cs="Arial"/>
          <w:sz w:val="24"/>
          <w:szCs w:val="24"/>
        </w:rPr>
        <w:fldChar w:fldCharType="separate"/>
      </w:r>
      <w:r w:rsidR="00E46158" w:rsidRPr="00030D8D">
        <w:rPr>
          <w:rFonts w:ascii="Arial" w:hAnsi="Arial" w:cs="Arial"/>
          <w:noProof/>
          <w:sz w:val="24"/>
          <w:szCs w:val="24"/>
        </w:rPr>
        <w:t>(Lees, 2014)</w:t>
      </w:r>
      <w:r w:rsidR="00E46158" w:rsidRPr="00030D8D">
        <w:rPr>
          <w:rFonts w:ascii="Arial" w:hAnsi="Arial" w:cs="Arial"/>
          <w:sz w:val="24"/>
          <w:szCs w:val="24"/>
        </w:rPr>
        <w:fldChar w:fldCharType="end"/>
      </w:r>
      <w:r w:rsidR="00244F95" w:rsidRPr="00030D8D">
        <w:rPr>
          <w:rFonts w:ascii="Arial" w:hAnsi="Arial" w:cs="Arial"/>
          <w:sz w:val="24"/>
          <w:szCs w:val="24"/>
        </w:rPr>
        <w:t>.</w:t>
      </w:r>
      <w:r w:rsidR="00160D19" w:rsidRPr="00030D8D">
        <w:rPr>
          <w:rFonts w:ascii="Arial" w:hAnsi="Arial" w:cs="Arial"/>
          <w:sz w:val="24"/>
          <w:szCs w:val="24"/>
        </w:rPr>
        <w:t xml:space="preserve"> </w:t>
      </w:r>
      <w:r w:rsidR="00A07A1E" w:rsidRPr="00030D8D">
        <w:rPr>
          <w:rFonts w:ascii="Arial" w:hAnsi="Arial" w:cs="Arial"/>
          <w:sz w:val="24"/>
          <w:szCs w:val="24"/>
        </w:rPr>
        <w:t xml:space="preserve">In the UK, regeneration schemes </w:t>
      </w:r>
      <w:r w:rsidR="00C9240B" w:rsidRPr="00030D8D">
        <w:rPr>
          <w:rFonts w:ascii="Arial" w:hAnsi="Arial" w:cs="Arial"/>
          <w:sz w:val="24"/>
          <w:szCs w:val="24"/>
        </w:rPr>
        <w:t xml:space="preserve">initiated and carried out by the public sector often </w:t>
      </w:r>
      <w:r w:rsidR="00641920">
        <w:rPr>
          <w:rFonts w:ascii="Arial" w:hAnsi="Arial" w:cs="Arial"/>
          <w:sz w:val="24"/>
          <w:szCs w:val="24"/>
        </w:rPr>
        <w:t xml:space="preserve">fail to guarantee return of low-income residents </w:t>
      </w:r>
      <w:r w:rsidR="00C9240B" w:rsidRPr="00030D8D">
        <w:rPr>
          <w:rFonts w:ascii="Arial" w:hAnsi="Arial" w:cs="Arial"/>
          <w:sz w:val="24"/>
          <w:szCs w:val="24"/>
        </w:rPr>
        <w:t xml:space="preserve">and </w:t>
      </w:r>
      <w:r w:rsidR="00F92579">
        <w:rPr>
          <w:rFonts w:ascii="Arial" w:hAnsi="Arial" w:cs="Arial"/>
          <w:sz w:val="24"/>
          <w:szCs w:val="24"/>
        </w:rPr>
        <w:t>could be best</w:t>
      </w:r>
      <w:r w:rsidR="00C9240B" w:rsidRPr="00030D8D">
        <w:rPr>
          <w:rFonts w:ascii="Arial" w:hAnsi="Arial" w:cs="Arial"/>
          <w:sz w:val="24"/>
          <w:szCs w:val="24"/>
        </w:rPr>
        <w:t xml:space="preserve"> described as examples of</w:t>
      </w:r>
      <w:r w:rsidR="00A07A1E" w:rsidRPr="00030D8D">
        <w:rPr>
          <w:rFonts w:ascii="Arial" w:hAnsi="Arial" w:cs="Arial"/>
          <w:sz w:val="24"/>
          <w:szCs w:val="24"/>
        </w:rPr>
        <w:t xml:space="preserve"> ‘state-led gentrification’ (Watt, 2009). </w:t>
      </w:r>
      <w:r w:rsidR="00281DDC">
        <w:rPr>
          <w:rFonts w:ascii="Arial" w:hAnsi="Arial" w:cs="Arial"/>
          <w:sz w:val="24"/>
          <w:szCs w:val="24"/>
        </w:rPr>
        <w:t>The regeneration-by-demolition consensus</w:t>
      </w:r>
      <w:r w:rsidR="007C70B5" w:rsidRPr="00030D8D">
        <w:rPr>
          <w:rFonts w:ascii="Arial" w:hAnsi="Arial" w:cs="Arial"/>
          <w:sz w:val="24"/>
          <w:szCs w:val="24"/>
        </w:rPr>
        <w:t xml:space="preserve"> comes at</w:t>
      </w:r>
      <w:r w:rsidR="0038134A" w:rsidRPr="00030D8D">
        <w:rPr>
          <w:rFonts w:ascii="Arial" w:hAnsi="Arial" w:cs="Arial"/>
          <w:sz w:val="24"/>
          <w:szCs w:val="24"/>
        </w:rPr>
        <w:t xml:space="preserve"> the end of a long ‘eclipse’ of municipal housing for rent </w:t>
      </w:r>
      <w:r w:rsidR="0038134A" w:rsidRPr="00030D8D">
        <w:rPr>
          <w:rFonts w:ascii="Arial" w:hAnsi="Arial" w:cs="Arial"/>
          <w:sz w:val="24"/>
          <w:szCs w:val="24"/>
        </w:rPr>
        <w:fldChar w:fldCharType="begin"/>
      </w:r>
      <w:r w:rsidR="0002216A" w:rsidRPr="00030D8D">
        <w:rPr>
          <w:rFonts w:ascii="Arial" w:hAnsi="Arial" w:cs="Arial"/>
          <w:sz w:val="24"/>
          <w:szCs w:val="24"/>
        </w:rPr>
        <w:instrText xml:space="preserve"> ADDIN ZOTERO_ITEM {"citationID":"at3f9t0vrf","properties":{"formattedCitation":"(Cole and Furbey, 1994)","plainCitation":"(Cole and Furbey, 1994)"},"citationItems":[{"id":1064,"uris":["http://zotero.org/users/3284224/items/EBX884KC"],"uri":["http://zotero.org/users/3284224/items/EBX884KC"]}]} </w:instrText>
      </w:r>
      <w:r w:rsidR="0038134A" w:rsidRPr="00030D8D">
        <w:rPr>
          <w:rFonts w:ascii="Arial" w:hAnsi="Arial" w:cs="Arial"/>
          <w:sz w:val="24"/>
          <w:szCs w:val="24"/>
        </w:rPr>
        <w:fldChar w:fldCharType="separate"/>
      </w:r>
      <w:r w:rsidR="0038134A" w:rsidRPr="00030D8D">
        <w:rPr>
          <w:rFonts w:ascii="Arial" w:hAnsi="Arial" w:cs="Arial"/>
          <w:sz w:val="24"/>
        </w:rPr>
        <w:t>(Cole and Furbey, 1994)</w:t>
      </w:r>
      <w:r w:rsidR="0038134A" w:rsidRPr="00030D8D">
        <w:rPr>
          <w:rFonts w:ascii="Arial" w:hAnsi="Arial" w:cs="Arial"/>
          <w:sz w:val="24"/>
          <w:szCs w:val="24"/>
        </w:rPr>
        <w:fldChar w:fldCharType="end"/>
      </w:r>
      <w:r w:rsidR="00AA1D2A">
        <w:rPr>
          <w:rFonts w:ascii="Arial" w:hAnsi="Arial" w:cs="Arial"/>
          <w:sz w:val="24"/>
          <w:szCs w:val="24"/>
        </w:rPr>
        <w:t xml:space="preserve">. </w:t>
      </w:r>
      <w:r w:rsidR="00415A46">
        <w:rPr>
          <w:rFonts w:ascii="Arial" w:hAnsi="Arial" w:cs="Arial"/>
          <w:sz w:val="24"/>
          <w:szCs w:val="24"/>
        </w:rPr>
        <w:t>S</w:t>
      </w:r>
      <w:r w:rsidR="0038134A" w:rsidRPr="00030D8D">
        <w:rPr>
          <w:rFonts w:ascii="Arial" w:hAnsi="Arial" w:cs="Arial"/>
          <w:sz w:val="24"/>
          <w:szCs w:val="24"/>
        </w:rPr>
        <w:t>uch demolitions can be seen to constitut</w:t>
      </w:r>
      <w:r w:rsidR="00160D19" w:rsidRPr="00030D8D">
        <w:rPr>
          <w:rFonts w:ascii="Arial" w:hAnsi="Arial" w:cs="Arial"/>
          <w:sz w:val="24"/>
          <w:szCs w:val="24"/>
        </w:rPr>
        <w:t>e a new frontier of</w:t>
      </w:r>
      <w:r w:rsidR="0038134A" w:rsidRPr="00030D8D">
        <w:rPr>
          <w:rFonts w:ascii="Arial" w:hAnsi="Arial" w:cs="Arial"/>
          <w:sz w:val="24"/>
          <w:szCs w:val="24"/>
        </w:rPr>
        <w:t xml:space="preserve"> gentrification (Lees and </w:t>
      </w:r>
      <w:r w:rsidR="0038134A" w:rsidRPr="00030D8D">
        <w:rPr>
          <w:rFonts w:ascii="Arial" w:hAnsi="Arial" w:cs="Arial"/>
          <w:sz w:val="24"/>
          <w:szCs w:val="24"/>
        </w:rPr>
        <w:lastRenderedPageBreak/>
        <w:t>Ferreri, 2016)</w:t>
      </w:r>
      <w:r w:rsidR="00367BB8">
        <w:rPr>
          <w:rFonts w:ascii="Arial" w:hAnsi="Arial" w:cs="Arial"/>
          <w:sz w:val="24"/>
          <w:szCs w:val="24"/>
        </w:rPr>
        <w:t xml:space="preserve"> </w:t>
      </w:r>
      <w:r w:rsidR="00AA1D2A">
        <w:rPr>
          <w:rFonts w:ascii="Arial" w:hAnsi="Arial" w:cs="Arial"/>
          <w:sz w:val="24"/>
          <w:szCs w:val="24"/>
        </w:rPr>
        <w:t xml:space="preserve">and a significant aspect of </w:t>
      </w:r>
      <w:r w:rsidR="00415A46">
        <w:rPr>
          <w:rFonts w:ascii="Arial" w:hAnsi="Arial" w:cs="Arial"/>
          <w:sz w:val="24"/>
          <w:szCs w:val="24"/>
        </w:rPr>
        <w:t>a wider</w:t>
      </w:r>
      <w:r w:rsidR="00415A46" w:rsidRPr="00030D8D">
        <w:rPr>
          <w:rFonts w:ascii="Arial" w:hAnsi="Arial" w:cs="Arial"/>
          <w:sz w:val="24"/>
          <w:szCs w:val="24"/>
        </w:rPr>
        <w:t xml:space="preserve"> housing crisis (Edwards, 2016)</w:t>
      </w:r>
      <w:r w:rsidR="00367BB8">
        <w:rPr>
          <w:rFonts w:ascii="Arial" w:hAnsi="Arial" w:cs="Arial"/>
          <w:sz w:val="24"/>
          <w:szCs w:val="24"/>
        </w:rPr>
        <w:t>, particularly in inner London,</w:t>
      </w:r>
      <w:r w:rsidR="00367BB8" w:rsidRPr="00AA1D2A">
        <w:rPr>
          <w:rFonts w:ascii="Arial" w:hAnsi="Arial" w:cs="Arial"/>
          <w:sz w:val="24"/>
          <w:szCs w:val="24"/>
        </w:rPr>
        <w:t xml:space="preserve"> </w:t>
      </w:r>
      <w:r w:rsidR="00367BB8" w:rsidRPr="00030D8D">
        <w:rPr>
          <w:rFonts w:ascii="Arial" w:hAnsi="Arial" w:cs="Arial"/>
          <w:sz w:val="24"/>
          <w:szCs w:val="24"/>
        </w:rPr>
        <w:t>where in 2014 council housing still made up 33% of all housing (ONS, 2014)</w:t>
      </w:r>
      <w:r w:rsidR="00196AA5">
        <w:rPr>
          <w:rFonts w:ascii="Arial" w:hAnsi="Arial" w:cs="Arial"/>
          <w:sz w:val="24"/>
          <w:szCs w:val="24"/>
        </w:rPr>
        <w:t>.</w:t>
      </w:r>
    </w:p>
    <w:p w14:paraId="72394101" w14:textId="2BF18D48" w:rsidR="005E7BEF" w:rsidRPr="00030D8D" w:rsidRDefault="00091331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D8D">
        <w:rPr>
          <w:rFonts w:ascii="Arial" w:hAnsi="Arial" w:cs="Arial"/>
          <w:sz w:val="24"/>
          <w:szCs w:val="24"/>
        </w:rPr>
        <w:t xml:space="preserve">Secondly, </w:t>
      </w:r>
      <w:r w:rsidR="00234A8D" w:rsidRPr="00030D8D">
        <w:rPr>
          <w:rFonts w:ascii="Arial" w:hAnsi="Arial" w:cs="Arial"/>
          <w:sz w:val="24"/>
          <w:szCs w:val="24"/>
        </w:rPr>
        <w:t xml:space="preserve">insisting on gentrification </w:t>
      </w:r>
      <w:r w:rsidR="00E9039B">
        <w:rPr>
          <w:rFonts w:ascii="Arial" w:hAnsi="Arial" w:cs="Arial"/>
          <w:sz w:val="24"/>
          <w:szCs w:val="24"/>
        </w:rPr>
        <w:t>enabled</w:t>
      </w:r>
      <w:r w:rsidR="005E7BEF" w:rsidRPr="00030D8D">
        <w:rPr>
          <w:rFonts w:ascii="Arial" w:hAnsi="Arial" w:cs="Arial"/>
          <w:sz w:val="24"/>
          <w:szCs w:val="24"/>
        </w:rPr>
        <w:t xml:space="preserve"> to </w:t>
      </w:r>
      <w:r w:rsidR="004E508D" w:rsidRPr="00030D8D">
        <w:rPr>
          <w:rFonts w:ascii="Arial" w:hAnsi="Arial" w:cs="Arial"/>
          <w:sz w:val="24"/>
          <w:szCs w:val="24"/>
        </w:rPr>
        <w:t xml:space="preserve">distinguish between displacement and </w:t>
      </w:r>
      <w:r w:rsidR="00234A8D" w:rsidRPr="00030D8D">
        <w:rPr>
          <w:rFonts w:ascii="Arial" w:hAnsi="Arial" w:cs="Arial"/>
          <w:sz w:val="24"/>
          <w:szCs w:val="24"/>
        </w:rPr>
        <w:t>evictions</w:t>
      </w:r>
      <w:r w:rsidR="00A50978">
        <w:rPr>
          <w:rFonts w:ascii="Arial" w:hAnsi="Arial" w:cs="Arial"/>
          <w:sz w:val="24"/>
          <w:szCs w:val="24"/>
        </w:rPr>
        <w:t xml:space="preserve"> as symptoms, and its underlying causes</w:t>
      </w:r>
      <w:r w:rsidR="00234A8D" w:rsidRPr="00030D8D">
        <w:rPr>
          <w:rFonts w:ascii="Arial" w:hAnsi="Arial" w:cs="Arial"/>
          <w:sz w:val="24"/>
          <w:szCs w:val="24"/>
        </w:rPr>
        <w:t xml:space="preserve">. </w:t>
      </w:r>
      <w:r w:rsidR="00F27062">
        <w:rPr>
          <w:rFonts w:ascii="Arial" w:hAnsi="Arial" w:cs="Arial"/>
          <w:sz w:val="24"/>
          <w:szCs w:val="24"/>
        </w:rPr>
        <w:t>If d</w:t>
      </w:r>
      <w:r w:rsidR="00A51599" w:rsidRPr="00030D8D">
        <w:rPr>
          <w:rFonts w:ascii="Arial" w:hAnsi="Arial" w:cs="Arial"/>
          <w:sz w:val="24"/>
          <w:szCs w:val="24"/>
        </w:rPr>
        <w:t xml:space="preserve">irect displacement is the most visible symptom of </w:t>
      </w:r>
      <w:r w:rsidR="00F27062">
        <w:rPr>
          <w:rFonts w:ascii="Arial" w:hAnsi="Arial" w:cs="Arial"/>
          <w:sz w:val="24"/>
          <w:szCs w:val="24"/>
        </w:rPr>
        <w:t>processes of gentrification,</w:t>
      </w:r>
      <w:r w:rsidR="00A51599" w:rsidRPr="00030D8D">
        <w:rPr>
          <w:rFonts w:ascii="Arial" w:hAnsi="Arial" w:cs="Arial"/>
          <w:sz w:val="24"/>
          <w:szCs w:val="24"/>
        </w:rPr>
        <w:t xml:space="preserve"> physical eviction from a place of dwelling is its most tangible manifestation</w:t>
      </w:r>
      <w:r w:rsidR="00E9039B">
        <w:rPr>
          <w:rFonts w:ascii="Arial" w:hAnsi="Arial" w:cs="Arial"/>
          <w:sz w:val="24"/>
          <w:szCs w:val="24"/>
        </w:rPr>
        <w:t xml:space="preserve"> and point of mobilisation</w:t>
      </w:r>
      <w:r w:rsidR="00A51599" w:rsidRPr="00030D8D">
        <w:rPr>
          <w:rFonts w:ascii="Arial" w:hAnsi="Arial" w:cs="Arial"/>
          <w:sz w:val="24"/>
          <w:szCs w:val="24"/>
        </w:rPr>
        <w:t xml:space="preserve">. </w:t>
      </w:r>
      <w:r w:rsidR="005D5D80">
        <w:rPr>
          <w:rFonts w:ascii="Arial" w:hAnsi="Arial" w:cs="Arial"/>
          <w:sz w:val="24"/>
          <w:szCs w:val="24"/>
        </w:rPr>
        <w:t>Eviction</w:t>
      </w:r>
      <w:r w:rsidR="00E9039B">
        <w:rPr>
          <w:rFonts w:ascii="Arial" w:hAnsi="Arial" w:cs="Arial"/>
          <w:sz w:val="24"/>
          <w:szCs w:val="24"/>
        </w:rPr>
        <w:t>s</w:t>
      </w:r>
      <w:r w:rsidR="00BC0920" w:rsidRPr="00030D8D">
        <w:rPr>
          <w:rFonts w:ascii="Arial" w:hAnsi="Arial" w:cs="Arial"/>
          <w:sz w:val="24"/>
          <w:szCs w:val="24"/>
        </w:rPr>
        <w:t xml:space="preserve"> </w:t>
      </w:r>
      <w:r w:rsidR="00E9039B">
        <w:rPr>
          <w:rFonts w:ascii="Arial" w:hAnsi="Arial" w:cs="Arial"/>
          <w:sz w:val="24"/>
          <w:szCs w:val="24"/>
        </w:rPr>
        <w:t xml:space="preserve">have become key to </w:t>
      </w:r>
      <w:r w:rsidR="005A3B08">
        <w:rPr>
          <w:rFonts w:ascii="Arial" w:hAnsi="Arial" w:cs="Arial"/>
          <w:sz w:val="24"/>
          <w:szCs w:val="24"/>
        </w:rPr>
        <w:t>make visible</w:t>
      </w:r>
      <w:r w:rsidR="00E9039B">
        <w:rPr>
          <w:rFonts w:ascii="Arial" w:hAnsi="Arial" w:cs="Arial"/>
          <w:sz w:val="24"/>
          <w:szCs w:val="24"/>
        </w:rPr>
        <w:t xml:space="preserve"> </w:t>
      </w:r>
      <w:r w:rsidR="00595515" w:rsidRPr="00030D8D">
        <w:rPr>
          <w:rFonts w:ascii="Arial" w:hAnsi="Arial" w:cs="Arial"/>
          <w:sz w:val="24"/>
          <w:szCs w:val="24"/>
        </w:rPr>
        <w:t xml:space="preserve">both housing injustices and resistances locally, such as through the </w:t>
      </w:r>
      <w:r w:rsidR="00595515" w:rsidRPr="00030D8D">
        <w:rPr>
          <w:rFonts w:ascii="Arial" w:hAnsi="Arial" w:cs="Arial"/>
          <w:i/>
          <w:sz w:val="24"/>
          <w:szCs w:val="24"/>
        </w:rPr>
        <w:t xml:space="preserve">Anti-Eviction Mapping </w:t>
      </w:r>
      <w:r w:rsidR="00595515" w:rsidRPr="00030D8D">
        <w:rPr>
          <w:rFonts w:ascii="Arial" w:hAnsi="Arial" w:cs="Arial"/>
          <w:sz w:val="24"/>
          <w:szCs w:val="24"/>
        </w:rPr>
        <w:t>platform in San Francisco</w:t>
      </w:r>
      <w:r w:rsidR="008972E8" w:rsidRPr="00030D8D">
        <w:rPr>
          <w:rFonts w:ascii="Arial" w:hAnsi="Arial" w:cs="Arial"/>
          <w:sz w:val="24"/>
          <w:szCs w:val="24"/>
        </w:rPr>
        <w:t xml:space="preserve"> </w:t>
      </w:r>
      <w:r w:rsidR="00595515" w:rsidRPr="00030D8D">
        <w:rPr>
          <w:rFonts w:ascii="Arial" w:hAnsi="Arial" w:cs="Arial"/>
          <w:sz w:val="24"/>
          <w:szCs w:val="24"/>
        </w:rPr>
        <w:fldChar w:fldCharType="begin"/>
      </w:r>
      <w:r w:rsidR="00595515" w:rsidRPr="00030D8D">
        <w:rPr>
          <w:rFonts w:ascii="Arial" w:hAnsi="Arial" w:cs="Arial"/>
          <w:sz w:val="24"/>
          <w:szCs w:val="24"/>
        </w:rPr>
        <w:instrText xml:space="preserve"> ADDIN ZOTERO_ITEM {"citationID":"192osniqld","properties":{"formattedCitation":"(Anti-Eviction Mapping Project, 2016)","plainCitation":"(Anti-Eviction Mapping Project, 2016)"},"citationItems":[{"id":2444,"uris":["http://zotero.org/users/3284224/items/AUFTDJ3I"],"uri":["http://zotero.org/users/3284224/items/AUFTDJ3I"]}]} </w:instrText>
      </w:r>
      <w:r w:rsidR="00595515" w:rsidRPr="00030D8D">
        <w:rPr>
          <w:rFonts w:ascii="Arial" w:hAnsi="Arial" w:cs="Arial"/>
          <w:sz w:val="24"/>
          <w:szCs w:val="24"/>
        </w:rPr>
        <w:fldChar w:fldCharType="separate"/>
      </w:r>
      <w:r w:rsidR="00595515" w:rsidRPr="00030D8D">
        <w:rPr>
          <w:rFonts w:ascii="Arial" w:hAnsi="Arial" w:cs="Arial"/>
          <w:noProof/>
          <w:sz w:val="24"/>
          <w:szCs w:val="24"/>
        </w:rPr>
        <w:t>(Anti-Eviction Mapping Project, 2016)</w:t>
      </w:r>
      <w:r w:rsidR="00595515" w:rsidRPr="00030D8D">
        <w:rPr>
          <w:rFonts w:ascii="Arial" w:hAnsi="Arial" w:cs="Arial"/>
          <w:sz w:val="24"/>
          <w:szCs w:val="24"/>
        </w:rPr>
        <w:fldChar w:fldCharType="end"/>
      </w:r>
      <w:r w:rsidR="00A51599" w:rsidRPr="00030D8D">
        <w:rPr>
          <w:rFonts w:ascii="Arial" w:hAnsi="Arial" w:cs="Arial"/>
          <w:sz w:val="24"/>
          <w:szCs w:val="24"/>
        </w:rPr>
        <w:t xml:space="preserve"> </w:t>
      </w:r>
      <w:r w:rsidR="00595515" w:rsidRPr="00030D8D">
        <w:rPr>
          <w:rFonts w:ascii="Arial" w:hAnsi="Arial" w:cs="Arial"/>
          <w:sz w:val="24"/>
          <w:szCs w:val="24"/>
        </w:rPr>
        <w:t>and transnationally</w:t>
      </w:r>
      <w:r w:rsidR="00775B4E" w:rsidRPr="00030D8D">
        <w:rPr>
          <w:rFonts w:ascii="Arial" w:hAnsi="Arial" w:cs="Arial"/>
          <w:sz w:val="24"/>
          <w:szCs w:val="24"/>
        </w:rPr>
        <w:t xml:space="preserve">, </w:t>
      </w:r>
      <w:r w:rsidR="009309D7">
        <w:rPr>
          <w:rFonts w:ascii="Arial" w:hAnsi="Arial" w:cs="Arial"/>
          <w:sz w:val="24"/>
          <w:szCs w:val="24"/>
        </w:rPr>
        <w:t>as collected in the</w:t>
      </w:r>
      <w:r w:rsidR="0017322D" w:rsidRPr="00030D8D">
        <w:rPr>
          <w:rFonts w:ascii="Arial" w:hAnsi="Arial" w:cs="Arial"/>
          <w:sz w:val="24"/>
          <w:szCs w:val="24"/>
        </w:rPr>
        <w:t xml:space="preserve"> </w:t>
      </w:r>
      <w:r w:rsidR="009309D7">
        <w:rPr>
          <w:rFonts w:ascii="Arial" w:hAnsi="Arial" w:cs="Arial"/>
          <w:sz w:val="24"/>
          <w:szCs w:val="24"/>
        </w:rPr>
        <w:t>activist publication</w:t>
      </w:r>
      <w:r w:rsidR="00595515" w:rsidRPr="00030D8D">
        <w:rPr>
          <w:rFonts w:ascii="Arial" w:hAnsi="Arial" w:cs="Arial"/>
          <w:sz w:val="24"/>
          <w:szCs w:val="24"/>
        </w:rPr>
        <w:t xml:space="preserve"> </w:t>
      </w:r>
      <w:r w:rsidR="00595515" w:rsidRPr="00030D8D">
        <w:rPr>
          <w:rFonts w:ascii="Arial" w:hAnsi="Arial" w:cs="Arial"/>
          <w:i/>
          <w:sz w:val="24"/>
          <w:szCs w:val="24"/>
        </w:rPr>
        <w:t>Evictions Across Europe</w:t>
      </w:r>
      <w:r w:rsidR="00595515" w:rsidRPr="00030D8D">
        <w:rPr>
          <w:rFonts w:ascii="Arial" w:hAnsi="Arial" w:cs="Arial"/>
          <w:sz w:val="24"/>
          <w:szCs w:val="24"/>
        </w:rPr>
        <w:t xml:space="preserve"> </w:t>
      </w:r>
      <w:r w:rsidR="00A51599" w:rsidRPr="00030D8D">
        <w:rPr>
          <w:rFonts w:ascii="Arial" w:hAnsi="Arial" w:cs="Arial"/>
          <w:sz w:val="24"/>
          <w:szCs w:val="24"/>
        </w:rPr>
        <w:fldChar w:fldCharType="begin"/>
      </w:r>
      <w:r w:rsidR="002A6AF2" w:rsidRPr="00030D8D">
        <w:rPr>
          <w:rFonts w:ascii="Arial" w:hAnsi="Arial" w:cs="Arial"/>
          <w:sz w:val="24"/>
          <w:szCs w:val="24"/>
        </w:rPr>
        <w:instrText xml:space="preserve"> ADDIN ZOTERO_ITEM {"citationID":"a2hovph75j7","properties":{"formattedCitation":"(European Action Coalition for the Rigth to Housing and to the City, 2016)","plainCitation":"(European Action Coalition for the Rigth to Housing and to the City, 2016)","dontUpdate":true},"citationItems":[{"id":213,"uris":["http://zotero.org/users/3284224/items/FA5Z4QCT"],"uri":["http://zotero.org/users/3284224/items/FA5Z4QCT"]}]} </w:instrText>
      </w:r>
      <w:r w:rsidR="00A51599" w:rsidRPr="00030D8D">
        <w:rPr>
          <w:rFonts w:ascii="Arial" w:hAnsi="Arial" w:cs="Arial"/>
          <w:sz w:val="24"/>
          <w:szCs w:val="24"/>
        </w:rPr>
        <w:fldChar w:fldCharType="separate"/>
      </w:r>
      <w:r w:rsidR="00A51599" w:rsidRPr="00030D8D">
        <w:rPr>
          <w:rFonts w:ascii="Arial" w:hAnsi="Arial" w:cs="Arial"/>
          <w:sz w:val="24"/>
        </w:rPr>
        <w:t>(European Action Coalition for the Rig</w:t>
      </w:r>
      <w:r w:rsidR="00303C8E" w:rsidRPr="00030D8D">
        <w:rPr>
          <w:rFonts w:ascii="Arial" w:hAnsi="Arial" w:cs="Arial"/>
          <w:sz w:val="24"/>
        </w:rPr>
        <w:t>ht</w:t>
      </w:r>
      <w:r w:rsidR="00A51599" w:rsidRPr="00030D8D">
        <w:rPr>
          <w:rFonts w:ascii="Arial" w:hAnsi="Arial" w:cs="Arial"/>
          <w:sz w:val="24"/>
        </w:rPr>
        <w:t xml:space="preserve"> to Housing and to the City, 2016)</w:t>
      </w:r>
      <w:r w:rsidR="00A51599" w:rsidRPr="00030D8D">
        <w:rPr>
          <w:rFonts w:ascii="Arial" w:hAnsi="Arial" w:cs="Arial"/>
          <w:sz w:val="24"/>
          <w:szCs w:val="24"/>
        </w:rPr>
        <w:fldChar w:fldCharType="end"/>
      </w:r>
      <w:r w:rsidR="00E14468" w:rsidRPr="00030D8D">
        <w:rPr>
          <w:rFonts w:ascii="Arial" w:hAnsi="Arial" w:cs="Arial"/>
          <w:sz w:val="24"/>
          <w:szCs w:val="24"/>
        </w:rPr>
        <w:t xml:space="preserve">. </w:t>
      </w:r>
      <w:r w:rsidR="00CE3EF3" w:rsidRPr="00030D8D">
        <w:rPr>
          <w:rFonts w:ascii="Arial" w:hAnsi="Arial" w:cs="Arial"/>
          <w:sz w:val="24"/>
          <w:szCs w:val="24"/>
        </w:rPr>
        <w:t>I</w:t>
      </w:r>
      <w:r w:rsidR="00E14468" w:rsidRPr="00030D8D">
        <w:rPr>
          <w:rFonts w:ascii="Arial" w:hAnsi="Arial" w:cs="Arial"/>
          <w:sz w:val="24"/>
          <w:szCs w:val="24"/>
        </w:rPr>
        <w:t xml:space="preserve">t is </w:t>
      </w:r>
      <w:r w:rsidR="00450F4A">
        <w:rPr>
          <w:rFonts w:ascii="Arial" w:hAnsi="Arial" w:cs="Arial"/>
          <w:sz w:val="24"/>
          <w:szCs w:val="24"/>
        </w:rPr>
        <w:t xml:space="preserve">entirely </w:t>
      </w:r>
      <w:r w:rsidR="00E14468" w:rsidRPr="00030D8D">
        <w:rPr>
          <w:rFonts w:ascii="Arial" w:hAnsi="Arial" w:cs="Arial"/>
          <w:sz w:val="24"/>
          <w:szCs w:val="24"/>
        </w:rPr>
        <w:t>legitimate to depl</w:t>
      </w:r>
      <w:r w:rsidR="004F7760" w:rsidRPr="00030D8D">
        <w:rPr>
          <w:rFonts w:ascii="Arial" w:hAnsi="Arial" w:cs="Arial"/>
          <w:sz w:val="24"/>
          <w:szCs w:val="24"/>
        </w:rPr>
        <w:t>o</w:t>
      </w:r>
      <w:r w:rsidR="00E14468" w:rsidRPr="00030D8D">
        <w:rPr>
          <w:rFonts w:ascii="Arial" w:hAnsi="Arial" w:cs="Arial"/>
          <w:sz w:val="24"/>
          <w:szCs w:val="24"/>
        </w:rPr>
        <w:t>y the language of eviction</w:t>
      </w:r>
      <w:r w:rsidR="005470D1" w:rsidRPr="00030D8D">
        <w:rPr>
          <w:rFonts w:ascii="Arial" w:hAnsi="Arial" w:cs="Arial"/>
          <w:sz w:val="24"/>
          <w:szCs w:val="24"/>
        </w:rPr>
        <w:t xml:space="preserve"> as a mobilising strategy</w:t>
      </w:r>
      <w:r w:rsidR="00CE3EF3" w:rsidRPr="00030D8D">
        <w:rPr>
          <w:rFonts w:ascii="Arial" w:hAnsi="Arial" w:cs="Arial"/>
          <w:sz w:val="24"/>
          <w:szCs w:val="24"/>
        </w:rPr>
        <w:t xml:space="preserve">: </w:t>
      </w:r>
      <w:r w:rsidR="00C7363E">
        <w:rPr>
          <w:rFonts w:ascii="Arial" w:hAnsi="Arial" w:cs="Arial"/>
          <w:sz w:val="24"/>
          <w:szCs w:val="24"/>
        </w:rPr>
        <w:t xml:space="preserve">after all, </w:t>
      </w:r>
      <w:r w:rsidR="004F7760" w:rsidRPr="00030D8D">
        <w:rPr>
          <w:rFonts w:ascii="Arial" w:hAnsi="Arial" w:cs="Arial"/>
          <w:sz w:val="24"/>
          <w:szCs w:val="24"/>
        </w:rPr>
        <w:t>displaced person</w:t>
      </w:r>
      <w:r w:rsidR="00C7363E">
        <w:rPr>
          <w:rFonts w:ascii="Arial" w:hAnsi="Arial" w:cs="Arial"/>
          <w:sz w:val="24"/>
          <w:szCs w:val="24"/>
        </w:rPr>
        <w:t>s are</w:t>
      </w:r>
      <w:r w:rsidR="004F7760" w:rsidRPr="00030D8D">
        <w:rPr>
          <w:rFonts w:ascii="Arial" w:hAnsi="Arial" w:cs="Arial"/>
          <w:sz w:val="24"/>
          <w:szCs w:val="24"/>
        </w:rPr>
        <w:t xml:space="preserve"> being </w:t>
      </w:r>
      <w:r w:rsidR="00A43DC4">
        <w:rPr>
          <w:rFonts w:ascii="Arial" w:hAnsi="Arial" w:cs="Arial"/>
          <w:sz w:val="24"/>
          <w:szCs w:val="24"/>
        </w:rPr>
        <w:t>forcibly removed</w:t>
      </w:r>
      <w:r w:rsidR="004F7760" w:rsidRPr="00030D8D">
        <w:rPr>
          <w:rFonts w:ascii="Arial" w:hAnsi="Arial" w:cs="Arial"/>
          <w:sz w:val="24"/>
          <w:szCs w:val="24"/>
        </w:rPr>
        <w:t xml:space="preserve"> </w:t>
      </w:r>
      <w:r w:rsidR="00C7363E">
        <w:rPr>
          <w:rFonts w:ascii="Arial" w:hAnsi="Arial" w:cs="Arial"/>
          <w:sz w:val="24"/>
          <w:szCs w:val="24"/>
        </w:rPr>
        <w:t>from their homes</w:t>
      </w:r>
      <w:r w:rsidR="009B704C" w:rsidRPr="00030D8D">
        <w:rPr>
          <w:rFonts w:ascii="Arial" w:hAnsi="Arial" w:cs="Arial"/>
          <w:sz w:val="24"/>
          <w:szCs w:val="24"/>
        </w:rPr>
        <w:t xml:space="preserve"> even if a legally defined eviction has not taken place</w:t>
      </w:r>
      <w:r w:rsidR="00CE3EF3" w:rsidRPr="00030D8D">
        <w:rPr>
          <w:rFonts w:ascii="Arial" w:hAnsi="Arial" w:cs="Arial"/>
          <w:sz w:val="24"/>
          <w:szCs w:val="24"/>
        </w:rPr>
        <w:t xml:space="preserve">. </w:t>
      </w:r>
      <w:r w:rsidR="00272DAB">
        <w:rPr>
          <w:rFonts w:ascii="Arial" w:hAnsi="Arial" w:cs="Arial"/>
          <w:sz w:val="24"/>
          <w:szCs w:val="24"/>
        </w:rPr>
        <w:t>On a pragmatic level, however, t</w:t>
      </w:r>
      <w:r w:rsidR="00B46015" w:rsidRPr="00030D8D">
        <w:rPr>
          <w:rFonts w:ascii="Arial" w:hAnsi="Arial" w:cs="Arial"/>
          <w:sz w:val="24"/>
          <w:szCs w:val="24"/>
        </w:rPr>
        <w:t>alking about evictions</w:t>
      </w:r>
      <w:r w:rsidR="00B46015">
        <w:rPr>
          <w:rFonts w:ascii="Arial" w:hAnsi="Arial" w:cs="Arial"/>
          <w:sz w:val="24"/>
          <w:szCs w:val="24"/>
        </w:rPr>
        <w:t xml:space="preserve"> in a general </w:t>
      </w:r>
      <w:r w:rsidR="00B46015" w:rsidRPr="00030D8D">
        <w:rPr>
          <w:rFonts w:ascii="Arial" w:hAnsi="Arial" w:cs="Arial"/>
          <w:sz w:val="24"/>
          <w:szCs w:val="24"/>
        </w:rPr>
        <w:t>sense in contexts where classical anti-eviction strategies</w:t>
      </w:r>
      <w:r w:rsidR="00B46015">
        <w:rPr>
          <w:rFonts w:ascii="Arial" w:hAnsi="Arial" w:cs="Arial"/>
          <w:sz w:val="24"/>
          <w:szCs w:val="24"/>
        </w:rPr>
        <w:t>,</w:t>
      </w:r>
      <w:r w:rsidR="00B46015" w:rsidRPr="00030D8D">
        <w:rPr>
          <w:rFonts w:ascii="Arial" w:hAnsi="Arial" w:cs="Arial"/>
          <w:sz w:val="24"/>
          <w:szCs w:val="24"/>
        </w:rPr>
        <w:t xml:space="preserve"> such as physical resistance </w:t>
      </w:r>
      <w:r w:rsidR="00B46015" w:rsidRPr="00030D8D">
        <w:rPr>
          <w:rFonts w:ascii="Arial" w:hAnsi="Arial" w:cs="Arial"/>
          <w:sz w:val="24"/>
          <w:szCs w:val="24"/>
        </w:rPr>
        <w:fldChar w:fldCharType="begin"/>
      </w:r>
      <w:r w:rsidR="00B46015" w:rsidRPr="00030D8D">
        <w:rPr>
          <w:rFonts w:ascii="Arial" w:hAnsi="Arial" w:cs="Arial"/>
          <w:sz w:val="24"/>
          <w:szCs w:val="24"/>
        </w:rPr>
        <w:instrText xml:space="preserve"> ADDIN ZOTERO_ITEM {"citationID":"2oci83p5lq","properties":{"formattedCitation":"{\\rtf (\\uc0\\u193{}lvarez de Andr\\uc0\\u233{}s et al., 2014)}","plainCitation":"(Álvarez de Andrés et al., 2014)"},"citationItems":[{"id":903,"uris":["http://zotero.org/users/3284224/items/4PW2ERIX"],"uri":["http://zotero.org/users/3284224/items/4PW2ERIX"]}]} </w:instrText>
      </w:r>
      <w:r w:rsidR="00B46015" w:rsidRPr="00030D8D">
        <w:rPr>
          <w:rFonts w:ascii="Arial" w:hAnsi="Arial" w:cs="Arial"/>
          <w:sz w:val="24"/>
          <w:szCs w:val="24"/>
        </w:rPr>
        <w:fldChar w:fldCharType="separate"/>
      </w:r>
      <w:r w:rsidR="00B46015" w:rsidRPr="00030D8D">
        <w:rPr>
          <w:rFonts w:ascii="Arial" w:eastAsia="Times New Roman" w:hAnsi="Arial" w:cs="Arial"/>
          <w:sz w:val="24"/>
        </w:rPr>
        <w:t>(Álvarez de Andrés et al., 2014)</w:t>
      </w:r>
      <w:r w:rsidR="00B46015" w:rsidRPr="00030D8D">
        <w:rPr>
          <w:rFonts w:ascii="Arial" w:hAnsi="Arial" w:cs="Arial"/>
          <w:sz w:val="24"/>
          <w:szCs w:val="24"/>
        </w:rPr>
        <w:fldChar w:fldCharType="end"/>
      </w:r>
      <w:r w:rsidR="00B46015">
        <w:rPr>
          <w:rFonts w:ascii="Arial" w:hAnsi="Arial" w:cs="Arial"/>
          <w:sz w:val="24"/>
          <w:szCs w:val="24"/>
        </w:rPr>
        <w:t xml:space="preserve">, is not a useful strategy, </w:t>
      </w:r>
      <w:r w:rsidR="00B46015" w:rsidRPr="00030D8D">
        <w:rPr>
          <w:rFonts w:ascii="Arial" w:hAnsi="Arial" w:cs="Arial"/>
          <w:sz w:val="24"/>
          <w:szCs w:val="24"/>
        </w:rPr>
        <w:t xml:space="preserve">can be confusing. </w:t>
      </w:r>
      <w:r w:rsidR="00CE3EF3" w:rsidRPr="00030D8D">
        <w:rPr>
          <w:rFonts w:ascii="Arial" w:hAnsi="Arial" w:cs="Arial"/>
          <w:sz w:val="24"/>
          <w:szCs w:val="24"/>
        </w:rPr>
        <w:t xml:space="preserve">In </w:t>
      </w:r>
      <w:r w:rsidR="005C0788">
        <w:rPr>
          <w:rFonts w:ascii="Arial" w:hAnsi="Arial" w:cs="Arial"/>
          <w:sz w:val="24"/>
          <w:szCs w:val="24"/>
        </w:rPr>
        <w:t>the case of the Heygate Estate</w:t>
      </w:r>
      <w:r w:rsidR="0094042F">
        <w:rPr>
          <w:rFonts w:ascii="Arial" w:hAnsi="Arial" w:cs="Arial"/>
          <w:sz w:val="24"/>
          <w:szCs w:val="24"/>
        </w:rPr>
        <w:t>, for instance,</w:t>
      </w:r>
      <w:r w:rsidR="00CE3EF3" w:rsidRPr="00030D8D">
        <w:rPr>
          <w:rFonts w:ascii="Arial" w:hAnsi="Arial" w:cs="Arial"/>
          <w:sz w:val="24"/>
          <w:szCs w:val="24"/>
        </w:rPr>
        <w:t xml:space="preserve"> only one resident was forcef</w:t>
      </w:r>
      <w:r w:rsidR="00F96BDF">
        <w:rPr>
          <w:rFonts w:ascii="Arial" w:hAnsi="Arial" w:cs="Arial"/>
          <w:sz w:val="24"/>
          <w:szCs w:val="24"/>
        </w:rPr>
        <w:t>ully evicted from his home, out of an estimated 3,000 individuals displaced.</w:t>
      </w:r>
      <w:r w:rsidR="007E6C85" w:rsidRPr="007E6C85">
        <w:rPr>
          <w:rFonts w:ascii="Arial" w:hAnsi="Arial" w:cs="Arial"/>
          <w:sz w:val="24"/>
          <w:szCs w:val="24"/>
        </w:rPr>
        <w:t xml:space="preserve"> </w:t>
      </w:r>
    </w:p>
    <w:p w14:paraId="564D5A1C" w14:textId="77777777" w:rsidR="005E7BEF" w:rsidRPr="00030D8D" w:rsidRDefault="005E7BEF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7EF0C2" w14:textId="14DA0360" w:rsidR="00312E78" w:rsidRPr="00030D8D" w:rsidRDefault="005E7BEF" w:rsidP="000162A7">
      <w:pPr>
        <w:pStyle w:val="p6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D8D">
        <w:rPr>
          <w:rFonts w:ascii="Arial" w:hAnsi="Arial" w:cs="Arial"/>
          <w:sz w:val="24"/>
          <w:szCs w:val="24"/>
        </w:rPr>
        <w:t>T</w:t>
      </w:r>
      <w:r w:rsidR="00FB3BDE">
        <w:rPr>
          <w:rFonts w:ascii="Arial" w:hAnsi="Arial" w:cs="Arial"/>
          <w:sz w:val="24"/>
          <w:szCs w:val="24"/>
        </w:rPr>
        <w:t xml:space="preserve">hirdly, </w:t>
      </w:r>
      <w:r w:rsidR="00147B21">
        <w:rPr>
          <w:rFonts w:ascii="Arial" w:hAnsi="Arial" w:cs="Arial"/>
          <w:sz w:val="24"/>
          <w:szCs w:val="24"/>
        </w:rPr>
        <w:t xml:space="preserve">focusing on </w:t>
      </w:r>
      <w:r w:rsidR="00A5570B">
        <w:rPr>
          <w:rFonts w:ascii="Arial" w:hAnsi="Arial" w:cs="Arial"/>
          <w:sz w:val="24"/>
          <w:szCs w:val="24"/>
        </w:rPr>
        <w:t xml:space="preserve">the </w:t>
      </w:r>
      <w:r w:rsidR="00FC0661">
        <w:rPr>
          <w:rFonts w:ascii="Arial" w:hAnsi="Arial" w:cs="Arial"/>
          <w:sz w:val="24"/>
          <w:szCs w:val="24"/>
        </w:rPr>
        <w:t xml:space="preserve">highly visible and </w:t>
      </w:r>
      <w:r w:rsidR="00147B21">
        <w:rPr>
          <w:rFonts w:ascii="Arial" w:hAnsi="Arial" w:cs="Arial"/>
          <w:sz w:val="24"/>
          <w:szCs w:val="24"/>
        </w:rPr>
        <w:t xml:space="preserve">spectacular </w:t>
      </w:r>
      <w:r w:rsidR="00147B21" w:rsidRPr="00030D8D">
        <w:rPr>
          <w:rFonts w:ascii="Arial" w:hAnsi="Arial" w:cs="Arial"/>
          <w:sz w:val="24"/>
          <w:szCs w:val="24"/>
        </w:rPr>
        <w:t>ins</w:t>
      </w:r>
      <w:r w:rsidR="005501FD">
        <w:rPr>
          <w:rFonts w:ascii="Arial" w:hAnsi="Arial" w:cs="Arial"/>
          <w:sz w:val="24"/>
          <w:szCs w:val="24"/>
        </w:rPr>
        <w:t xml:space="preserve">tances of physical </w:t>
      </w:r>
      <w:r w:rsidR="007E6C85">
        <w:rPr>
          <w:rFonts w:ascii="Arial" w:hAnsi="Arial" w:cs="Arial"/>
          <w:sz w:val="24"/>
          <w:szCs w:val="24"/>
        </w:rPr>
        <w:t xml:space="preserve">displacement and </w:t>
      </w:r>
      <w:r w:rsidR="0013741D">
        <w:rPr>
          <w:rFonts w:ascii="Arial" w:hAnsi="Arial" w:cs="Arial"/>
          <w:sz w:val="24"/>
          <w:szCs w:val="24"/>
        </w:rPr>
        <w:t>eviction</w:t>
      </w:r>
      <w:r w:rsidR="00147B21" w:rsidRPr="00030D8D">
        <w:rPr>
          <w:rFonts w:ascii="Arial" w:hAnsi="Arial" w:cs="Arial"/>
          <w:sz w:val="24"/>
          <w:szCs w:val="24"/>
        </w:rPr>
        <w:t xml:space="preserve"> risks</w:t>
      </w:r>
      <w:r w:rsidR="001759D3">
        <w:rPr>
          <w:rFonts w:ascii="Arial" w:hAnsi="Arial" w:cs="Arial"/>
          <w:sz w:val="24"/>
          <w:szCs w:val="24"/>
        </w:rPr>
        <w:t xml:space="preserve"> neglecting that the injustices generated by gentrification</w:t>
      </w:r>
      <w:r w:rsidR="00147B21" w:rsidRPr="00030D8D">
        <w:rPr>
          <w:rFonts w:ascii="Arial" w:hAnsi="Arial" w:cs="Arial"/>
          <w:sz w:val="24"/>
          <w:szCs w:val="24"/>
        </w:rPr>
        <w:t xml:space="preserve"> can take multiple fo</w:t>
      </w:r>
      <w:r w:rsidR="009C19EB">
        <w:rPr>
          <w:rFonts w:ascii="Arial" w:hAnsi="Arial" w:cs="Arial"/>
          <w:sz w:val="24"/>
          <w:szCs w:val="24"/>
        </w:rPr>
        <w:t>rms, some of which might be</w:t>
      </w:r>
      <w:r w:rsidR="00E95649">
        <w:rPr>
          <w:rFonts w:ascii="Arial" w:hAnsi="Arial" w:cs="Arial"/>
          <w:sz w:val="24"/>
          <w:szCs w:val="24"/>
        </w:rPr>
        <w:t xml:space="preserve"> indirect and</w:t>
      </w:r>
      <w:r w:rsidR="00131117">
        <w:rPr>
          <w:rFonts w:ascii="Arial" w:hAnsi="Arial" w:cs="Arial"/>
          <w:sz w:val="24"/>
          <w:szCs w:val="24"/>
        </w:rPr>
        <w:t xml:space="preserve"> virtually</w:t>
      </w:r>
      <w:r w:rsidR="00147B21" w:rsidRPr="00030D8D">
        <w:rPr>
          <w:rFonts w:ascii="Arial" w:hAnsi="Arial" w:cs="Arial"/>
          <w:sz w:val="24"/>
          <w:szCs w:val="24"/>
        </w:rPr>
        <w:t xml:space="preserve"> invisible</w:t>
      </w:r>
      <w:r w:rsidR="00E95649">
        <w:rPr>
          <w:rFonts w:ascii="Arial" w:hAnsi="Arial" w:cs="Arial"/>
          <w:sz w:val="24"/>
          <w:szCs w:val="24"/>
        </w:rPr>
        <w:t xml:space="preserve"> in the short-term</w:t>
      </w:r>
      <w:r w:rsidR="00147B21" w:rsidRPr="00030D8D">
        <w:rPr>
          <w:rFonts w:ascii="Arial" w:hAnsi="Arial" w:cs="Arial"/>
          <w:sz w:val="24"/>
          <w:szCs w:val="24"/>
        </w:rPr>
        <w:t xml:space="preserve">. </w:t>
      </w:r>
      <w:r w:rsidR="00BD650F" w:rsidRPr="00030D8D">
        <w:rPr>
          <w:rFonts w:ascii="Arial" w:hAnsi="Arial" w:cs="Arial"/>
          <w:sz w:val="24"/>
          <w:szCs w:val="24"/>
        </w:rPr>
        <w:t>R</w:t>
      </w:r>
      <w:r w:rsidR="00865619" w:rsidRPr="00030D8D">
        <w:rPr>
          <w:rFonts w:ascii="Arial" w:hAnsi="Arial" w:cs="Arial"/>
          <w:sz w:val="24"/>
          <w:szCs w:val="24"/>
        </w:rPr>
        <w:t xml:space="preserve">eturning to Peter Marcuse’s </w:t>
      </w:r>
      <w:r w:rsidR="007A0806">
        <w:rPr>
          <w:rFonts w:ascii="Arial" w:hAnsi="Arial" w:cs="Arial"/>
          <w:sz w:val="24"/>
          <w:szCs w:val="24"/>
        </w:rPr>
        <w:t xml:space="preserve">1985 </w:t>
      </w:r>
      <w:r w:rsidR="00865619" w:rsidRPr="00030D8D">
        <w:rPr>
          <w:rFonts w:ascii="Arial" w:hAnsi="Arial" w:cs="Arial"/>
          <w:sz w:val="24"/>
          <w:szCs w:val="24"/>
        </w:rPr>
        <w:t>classical definitio</w:t>
      </w:r>
      <w:r w:rsidR="00B83434">
        <w:rPr>
          <w:rFonts w:ascii="Arial" w:hAnsi="Arial" w:cs="Arial"/>
          <w:sz w:val="24"/>
          <w:szCs w:val="24"/>
        </w:rPr>
        <w:t>n</w:t>
      </w:r>
      <w:r w:rsidR="00865619" w:rsidRPr="00030D8D">
        <w:rPr>
          <w:rFonts w:ascii="Arial" w:hAnsi="Arial" w:cs="Arial"/>
          <w:sz w:val="24"/>
          <w:szCs w:val="24"/>
        </w:rPr>
        <w:t>,</w:t>
      </w:r>
      <w:r w:rsidR="00980048">
        <w:rPr>
          <w:rFonts w:ascii="Arial" w:hAnsi="Arial" w:cs="Arial"/>
          <w:sz w:val="24"/>
          <w:szCs w:val="24"/>
        </w:rPr>
        <w:t xml:space="preserve"> displacement does not always equate to </w:t>
      </w:r>
      <w:r w:rsidR="00CC5AC8">
        <w:rPr>
          <w:rFonts w:ascii="Arial" w:hAnsi="Arial" w:cs="Arial"/>
          <w:sz w:val="24"/>
          <w:szCs w:val="24"/>
        </w:rPr>
        <w:t xml:space="preserve">immediate </w:t>
      </w:r>
      <w:r w:rsidR="00FA4C08">
        <w:rPr>
          <w:rFonts w:ascii="Arial" w:hAnsi="Arial" w:cs="Arial"/>
          <w:sz w:val="24"/>
          <w:szCs w:val="24"/>
        </w:rPr>
        <w:t xml:space="preserve">enforced </w:t>
      </w:r>
      <w:r w:rsidR="00F66F76">
        <w:rPr>
          <w:rFonts w:ascii="Arial" w:hAnsi="Arial" w:cs="Arial"/>
          <w:sz w:val="24"/>
          <w:szCs w:val="24"/>
        </w:rPr>
        <w:t>moving out</w:t>
      </w:r>
      <w:r w:rsidR="00980048">
        <w:rPr>
          <w:rFonts w:ascii="Arial" w:hAnsi="Arial" w:cs="Arial"/>
          <w:sz w:val="24"/>
          <w:szCs w:val="24"/>
        </w:rPr>
        <w:t xml:space="preserve"> and</w:t>
      </w:r>
      <w:r w:rsidR="00865619" w:rsidRPr="00030D8D">
        <w:rPr>
          <w:rFonts w:ascii="Arial" w:hAnsi="Arial" w:cs="Arial"/>
          <w:sz w:val="24"/>
          <w:szCs w:val="24"/>
        </w:rPr>
        <w:t xml:space="preserve"> </w:t>
      </w:r>
      <w:r w:rsidR="00980048">
        <w:rPr>
          <w:rFonts w:ascii="Arial" w:hAnsi="Arial" w:cs="Arial"/>
          <w:sz w:val="24"/>
          <w:szCs w:val="24"/>
        </w:rPr>
        <w:t xml:space="preserve">needs, instead, </w:t>
      </w:r>
      <w:r w:rsidR="00865619" w:rsidRPr="00030D8D">
        <w:rPr>
          <w:rFonts w:ascii="Arial" w:hAnsi="Arial" w:cs="Arial"/>
          <w:sz w:val="24"/>
          <w:szCs w:val="24"/>
        </w:rPr>
        <w:t>“</w:t>
      </w:r>
      <w:r w:rsidR="00865619" w:rsidRPr="00030D8D">
        <w:rPr>
          <w:rFonts w:ascii="Arial" w:hAnsi="Arial" w:cs="Arial"/>
          <w:color w:val="000000"/>
          <w:sz w:val="24"/>
          <w:szCs w:val="24"/>
        </w:rPr>
        <w:t>to be considered to encompass a wider set of processes than those leading to direct physical relocation of inhabitants</w:t>
      </w:r>
      <w:r w:rsidR="00865619" w:rsidRPr="00030D8D">
        <w:rPr>
          <w:rFonts w:ascii="Arial" w:hAnsi="Arial" w:cs="Arial"/>
          <w:sz w:val="24"/>
          <w:szCs w:val="24"/>
        </w:rPr>
        <w:t xml:space="preserve">” </w:t>
      </w:r>
      <w:r w:rsidR="00865619" w:rsidRPr="00030D8D">
        <w:rPr>
          <w:rFonts w:ascii="Arial" w:hAnsi="Arial" w:cs="Arial"/>
          <w:color w:val="000000"/>
          <w:sz w:val="24"/>
          <w:szCs w:val="24"/>
        </w:rPr>
        <w:fldChar w:fldCharType="begin"/>
      </w:r>
      <w:r w:rsidR="00865619" w:rsidRPr="00030D8D">
        <w:rPr>
          <w:rFonts w:ascii="Arial" w:hAnsi="Arial" w:cs="Arial"/>
          <w:color w:val="000000"/>
          <w:sz w:val="24"/>
          <w:szCs w:val="24"/>
        </w:rPr>
        <w:instrText xml:space="preserve"> ADDIN ZOTERO_ITEM {"citationID":"a24iufkljbr","properties":{"formattedCitation":"(Baeten et al., 2016, p. 2)","plainCitation":"(Baeten et al., 2016, p. 2)"},"citationItems":[{"id":1192,"uris":["http://zotero.org/users/3284224/items/JJIM3PUZ"],"uri":["http://zotero.org/users/3284224/items/JJIM3PUZ"],"locator":"2"}]} </w:instrText>
      </w:r>
      <w:r w:rsidR="00865619" w:rsidRPr="00030D8D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865619" w:rsidRPr="00030D8D">
        <w:rPr>
          <w:rFonts w:ascii="Arial" w:hAnsi="Arial" w:cs="Arial"/>
          <w:sz w:val="24"/>
        </w:rPr>
        <w:t>(Baeten et al., 2016, p. 2)</w:t>
      </w:r>
      <w:r w:rsidR="00865619" w:rsidRPr="00030D8D">
        <w:rPr>
          <w:rFonts w:ascii="Arial" w:hAnsi="Arial" w:cs="Arial"/>
          <w:color w:val="000000"/>
          <w:sz w:val="24"/>
          <w:szCs w:val="24"/>
        </w:rPr>
        <w:fldChar w:fldCharType="end"/>
      </w:r>
      <w:r w:rsidR="00865619" w:rsidRPr="00030D8D">
        <w:rPr>
          <w:rFonts w:ascii="Arial" w:hAnsi="Arial" w:cs="Arial"/>
          <w:color w:val="000000"/>
          <w:sz w:val="24"/>
          <w:szCs w:val="24"/>
        </w:rPr>
        <w:t>.</w:t>
      </w:r>
      <w:r w:rsidR="00912C0B">
        <w:rPr>
          <w:rFonts w:ascii="Arial" w:hAnsi="Arial" w:cs="Arial"/>
          <w:color w:val="000000"/>
          <w:sz w:val="24"/>
          <w:szCs w:val="24"/>
        </w:rPr>
        <w:t xml:space="preserve"> </w:t>
      </w:r>
      <w:r w:rsidR="001A2B12">
        <w:rPr>
          <w:rFonts w:ascii="Arial" w:hAnsi="Arial" w:cs="Arial"/>
          <w:sz w:val="24"/>
          <w:szCs w:val="24"/>
        </w:rPr>
        <w:t>Rather than</w:t>
      </w:r>
      <w:r w:rsidR="005D3236" w:rsidRPr="00030D8D">
        <w:rPr>
          <w:rFonts w:ascii="Arial" w:hAnsi="Arial" w:cs="Arial"/>
          <w:sz w:val="24"/>
          <w:szCs w:val="24"/>
        </w:rPr>
        <w:t xml:space="preserve"> a right to ‘staying put’</w:t>
      </w:r>
      <w:r w:rsidR="001A2B12">
        <w:rPr>
          <w:rFonts w:ascii="Arial" w:hAnsi="Arial" w:cs="Arial"/>
          <w:sz w:val="24"/>
          <w:szCs w:val="24"/>
        </w:rPr>
        <w:t>,</w:t>
      </w:r>
      <w:r w:rsidR="005D3236">
        <w:rPr>
          <w:rFonts w:ascii="Arial" w:hAnsi="Arial" w:cs="Arial"/>
          <w:sz w:val="24"/>
          <w:szCs w:val="24"/>
        </w:rPr>
        <w:t xml:space="preserve"> </w:t>
      </w:r>
      <w:r w:rsidR="001A2B12">
        <w:rPr>
          <w:rFonts w:ascii="Arial" w:hAnsi="Arial" w:cs="Arial"/>
          <w:sz w:val="24"/>
          <w:szCs w:val="24"/>
        </w:rPr>
        <w:t xml:space="preserve">therefore, </w:t>
      </w:r>
      <w:r w:rsidR="005D3236">
        <w:rPr>
          <w:rFonts w:ascii="Arial" w:hAnsi="Arial" w:cs="Arial"/>
          <w:sz w:val="24"/>
          <w:szCs w:val="24"/>
        </w:rPr>
        <w:t xml:space="preserve">proposals have been made for </w:t>
      </w:r>
      <w:r w:rsidR="00312E78" w:rsidRPr="00030D8D">
        <w:rPr>
          <w:rFonts w:ascii="Arial" w:hAnsi="Arial" w:cs="Arial"/>
          <w:sz w:val="24"/>
          <w:szCs w:val="24"/>
        </w:rPr>
        <w:t>a right to ‘dwell’</w:t>
      </w:r>
      <w:r w:rsidR="00DA4B92" w:rsidRPr="00030D8D">
        <w:rPr>
          <w:rFonts w:ascii="Arial" w:hAnsi="Arial" w:cs="Arial"/>
          <w:sz w:val="24"/>
          <w:szCs w:val="24"/>
        </w:rPr>
        <w:t>, understood as</w:t>
      </w:r>
      <w:r w:rsidR="00AE0BCC" w:rsidRPr="00030D8D">
        <w:rPr>
          <w:rFonts w:ascii="Arial" w:hAnsi="Arial" w:cs="Arial"/>
          <w:sz w:val="24"/>
          <w:szCs w:val="24"/>
        </w:rPr>
        <w:t xml:space="preserve"> “</w:t>
      </w:r>
      <w:r w:rsidR="00312E78" w:rsidRPr="00030D8D">
        <w:rPr>
          <w:rFonts w:ascii="Arial" w:hAnsi="Arial" w:cs="Arial"/>
          <w:color w:val="000000"/>
          <w:sz w:val="24"/>
          <w:szCs w:val="24"/>
        </w:rPr>
        <w:t>the right to exert a reasonable level of power over one’s basic living conditions, with all the physical and mental benefits that entails – regardless of whether displacement fears materialize in actual relocation or not</w:t>
      </w:r>
      <w:r w:rsidR="00AE0BCC" w:rsidRPr="00030D8D">
        <w:rPr>
          <w:rFonts w:ascii="Arial" w:hAnsi="Arial" w:cs="Arial"/>
          <w:color w:val="000000"/>
          <w:sz w:val="24"/>
          <w:szCs w:val="24"/>
        </w:rPr>
        <w:t xml:space="preserve">” </w:t>
      </w:r>
      <w:r w:rsidR="00AE0BCC" w:rsidRPr="00030D8D">
        <w:rPr>
          <w:rFonts w:ascii="Arial" w:hAnsi="Arial" w:cs="Arial"/>
          <w:color w:val="000000"/>
          <w:sz w:val="24"/>
          <w:szCs w:val="24"/>
        </w:rPr>
        <w:fldChar w:fldCharType="begin"/>
      </w:r>
      <w:r w:rsidR="001111FC" w:rsidRPr="00030D8D">
        <w:rPr>
          <w:rFonts w:ascii="Arial" w:hAnsi="Arial" w:cs="Arial"/>
          <w:color w:val="000000"/>
          <w:sz w:val="24"/>
          <w:szCs w:val="24"/>
        </w:rPr>
        <w:instrText xml:space="preserve"> ADDIN ZOTERO_ITEM {"citationID":"zgLURXkA","properties":{"formattedCitation":"(Baeten et al., 2016, p. 2)","plainCitation":"(Baeten et al., 2016, p. 2)"},"citationItems":[{"id":1192,"uris":["http://zotero.org/users/3284224/items/JJIM3PUZ"],"uri":["http://zotero.org/users/3284224/items/JJIM3PUZ"],"locator":"2"}]} </w:instrText>
      </w:r>
      <w:r w:rsidR="00AE0BCC" w:rsidRPr="00030D8D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AE0BCC" w:rsidRPr="00030D8D">
        <w:rPr>
          <w:rFonts w:ascii="Arial" w:hAnsi="Arial" w:cs="Arial"/>
          <w:sz w:val="24"/>
        </w:rPr>
        <w:t>(Baeten et al., 2016, p. 2)</w:t>
      </w:r>
      <w:r w:rsidR="00AE0BCC" w:rsidRPr="00030D8D">
        <w:rPr>
          <w:rFonts w:ascii="Arial" w:hAnsi="Arial" w:cs="Arial"/>
          <w:color w:val="000000"/>
          <w:sz w:val="24"/>
          <w:szCs w:val="24"/>
        </w:rPr>
        <w:fldChar w:fldCharType="end"/>
      </w:r>
      <w:r w:rsidR="00C50387">
        <w:rPr>
          <w:rFonts w:ascii="Arial" w:hAnsi="Arial" w:cs="Arial"/>
          <w:color w:val="000000"/>
          <w:sz w:val="24"/>
          <w:szCs w:val="24"/>
        </w:rPr>
        <w:t>.</w:t>
      </w:r>
    </w:p>
    <w:p w14:paraId="3D4961ED" w14:textId="77777777" w:rsidR="005D361C" w:rsidRDefault="005D361C" w:rsidP="000162A7">
      <w:pPr>
        <w:spacing w:after="180" w:line="360" w:lineRule="auto"/>
        <w:jc w:val="both"/>
        <w:rPr>
          <w:rFonts w:ascii="Arial" w:hAnsi="Arial" w:cs="Arial"/>
          <w:color w:val="000000"/>
          <w:sz w:val="24"/>
          <w:szCs w:val="24"/>
          <w:lang w:val="en-GB" w:eastAsia="en-GB"/>
        </w:rPr>
      </w:pPr>
    </w:p>
    <w:p w14:paraId="34FD3441" w14:textId="77777777" w:rsidR="005D361C" w:rsidRDefault="005D361C" w:rsidP="000162A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14:paraId="70CA5F34" w14:textId="77777777" w:rsidR="005D361C" w:rsidRDefault="005D361C" w:rsidP="000162A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14:paraId="2760DAC6" w14:textId="2B66DC21" w:rsidR="00666BA0" w:rsidRPr="00030D8D" w:rsidRDefault="005347CA" w:rsidP="000162A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030D8D">
        <w:rPr>
          <w:rFonts w:ascii="Arial" w:hAnsi="Arial" w:cs="Arial"/>
          <w:i/>
          <w:sz w:val="24"/>
          <w:szCs w:val="24"/>
          <w:lang w:val="en-GB"/>
        </w:rPr>
        <w:t xml:space="preserve">Staying put towards de-commodifying </w:t>
      </w:r>
      <w:r w:rsidR="005B1BD1">
        <w:rPr>
          <w:rFonts w:ascii="Arial" w:hAnsi="Arial" w:cs="Arial"/>
          <w:i/>
          <w:sz w:val="24"/>
          <w:szCs w:val="24"/>
          <w:lang w:val="en-GB"/>
        </w:rPr>
        <w:t>housing</w:t>
      </w:r>
    </w:p>
    <w:p w14:paraId="50EC7F4D" w14:textId="4F1D69E3" w:rsidR="006B35EE" w:rsidRPr="00030D8D" w:rsidRDefault="00666BA0" w:rsidP="003E4790">
      <w:pPr>
        <w:spacing w:after="0" w:line="360" w:lineRule="auto"/>
        <w:jc w:val="right"/>
        <w:rPr>
          <w:rFonts w:ascii="Arial" w:hAnsi="Arial" w:cs="Arial"/>
          <w:lang w:val="en-GB"/>
        </w:rPr>
      </w:pPr>
      <w:r w:rsidRPr="00030D8D">
        <w:rPr>
          <w:rFonts w:ascii="Arial" w:hAnsi="Arial" w:cs="Arial"/>
          <w:lang w:val="en-GB"/>
        </w:rPr>
        <w:t>“We should refuse the idea that claiming the right to ‘stay put’ is about ‘traditional’ stasis. As the right to the city mov</w:t>
      </w:r>
      <w:r w:rsidR="006B35EE" w:rsidRPr="00030D8D">
        <w:rPr>
          <w:rFonts w:ascii="Arial" w:hAnsi="Arial" w:cs="Arial"/>
          <w:lang w:val="en-GB"/>
        </w:rPr>
        <w:t>ements show, claiming a place i</w:t>
      </w:r>
      <w:r w:rsidRPr="00030D8D">
        <w:rPr>
          <w:rFonts w:ascii="Arial" w:hAnsi="Arial" w:cs="Arial"/>
          <w:lang w:val="en-GB"/>
        </w:rPr>
        <w:t xml:space="preserve">s not merely about </w:t>
      </w:r>
      <w:r w:rsidR="006B35EE" w:rsidRPr="00030D8D">
        <w:rPr>
          <w:rFonts w:ascii="Arial" w:hAnsi="Arial" w:cs="Arial"/>
          <w:lang w:val="en-GB"/>
        </w:rPr>
        <w:t>gaining access to what alread</w:t>
      </w:r>
      <w:r w:rsidR="00E0542B">
        <w:rPr>
          <w:rFonts w:ascii="Arial" w:hAnsi="Arial" w:cs="Arial"/>
          <w:lang w:val="en-GB"/>
        </w:rPr>
        <w:t>y</w:t>
      </w:r>
      <w:r w:rsidR="006B35EE" w:rsidRPr="00030D8D">
        <w:rPr>
          <w:rFonts w:ascii="Arial" w:hAnsi="Arial" w:cs="Arial"/>
          <w:lang w:val="en-GB"/>
        </w:rPr>
        <w:t xml:space="preserve"> exists but rather about </w:t>
      </w:r>
      <w:r w:rsidRPr="00030D8D">
        <w:rPr>
          <w:rFonts w:ascii="Arial" w:hAnsi="Arial" w:cs="Arial"/>
          <w:lang w:val="en-GB"/>
        </w:rPr>
        <w:t>transforming place.’</w:t>
      </w:r>
    </w:p>
    <w:p w14:paraId="29ED836C" w14:textId="7A608905" w:rsidR="00E8083F" w:rsidRPr="005153A0" w:rsidRDefault="00666BA0" w:rsidP="003E4790">
      <w:pPr>
        <w:spacing w:after="0" w:line="360" w:lineRule="auto"/>
        <w:jc w:val="right"/>
        <w:rPr>
          <w:rFonts w:ascii="Arial" w:hAnsi="Arial" w:cs="Arial"/>
          <w:lang w:val="en-GB"/>
        </w:rPr>
      </w:pPr>
      <w:r w:rsidRPr="00030D8D">
        <w:rPr>
          <w:rFonts w:ascii="Arial" w:hAnsi="Arial" w:cs="Arial"/>
          <w:lang w:val="en-GB"/>
        </w:rPr>
        <w:fldChar w:fldCharType="begin"/>
      </w:r>
      <w:r w:rsidRPr="00030D8D">
        <w:rPr>
          <w:rFonts w:ascii="Arial" w:hAnsi="Arial" w:cs="Arial"/>
          <w:lang w:val="en-GB"/>
        </w:rPr>
        <w:instrText xml:space="preserve"> ADDIN ZOTERO_ITEM {"citationID":"1vk6ibtg2l","properties":{"formattedCitation":"(Butler and Athanasiou, 2013, p. 24)","plainCitation":"(Butler and Athanasiou, 2013, p. 24)"},"citationItems":[{"id":1413,"uris":["http://zotero.org/users/3284224/items/KB2SNE72"],"uri":["http://zotero.org/users/3284224/items/KB2SNE72"],"locator":"24"}]} </w:instrText>
      </w:r>
      <w:r w:rsidRPr="00030D8D">
        <w:rPr>
          <w:rFonts w:ascii="Arial" w:hAnsi="Arial" w:cs="Arial"/>
          <w:lang w:val="en-GB"/>
        </w:rPr>
        <w:fldChar w:fldCharType="separate"/>
      </w:r>
      <w:r w:rsidRPr="00030D8D">
        <w:rPr>
          <w:rFonts w:ascii="Arial" w:hAnsi="Arial" w:cs="Arial"/>
          <w:noProof/>
          <w:lang w:val="en-GB"/>
        </w:rPr>
        <w:t>(Butler and Athanasiou, 2013, p. 24)</w:t>
      </w:r>
      <w:r w:rsidRPr="00030D8D">
        <w:rPr>
          <w:rFonts w:ascii="Arial" w:hAnsi="Arial" w:cs="Arial"/>
          <w:lang w:val="en-GB"/>
        </w:rPr>
        <w:fldChar w:fldCharType="end"/>
      </w:r>
    </w:p>
    <w:p w14:paraId="14BFECB4" w14:textId="77777777" w:rsidR="003E4790" w:rsidRDefault="003E4790" w:rsidP="000162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GB" w:eastAsia="en-GB"/>
        </w:rPr>
      </w:pPr>
    </w:p>
    <w:p w14:paraId="5D5AB437" w14:textId="3FC5E037" w:rsidR="005347CA" w:rsidRPr="00147EB7" w:rsidRDefault="00E80692" w:rsidP="000162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The most complex</w:t>
      </w:r>
      <w:r w:rsidR="009635B6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text to write in </w:t>
      </w:r>
      <w:r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producing the </w:t>
      </w:r>
      <w:r w:rsidR="005347CA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‘Staying put’ </w:t>
      </w:r>
      <w:r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booklet was its third section, </w:t>
      </w:r>
      <w:r w:rsidR="0038022F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‘Alternatives</w:t>
      </w:r>
      <w:r w:rsidR="009635B6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to fight for</w:t>
      </w:r>
      <w:r w:rsidR="0038022F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’</w:t>
      </w:r>
      <w:r w:rsidR="009635B6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. </w:t>
      </w:r>
      <w:r w:rsidR="005153A0">
        <w:rPr>
          <w:rFonts w:ascii="Arial" w:hAnsi="Arial" w:cs="Arial"/>
          <w:color w:val="000000"/>
          <w:sz w:val="24"/>
          <w:szCs w:val="24"/>
          <w:lang w:val="en-GB" w:eastAsia="en-GB"/>
        </w:rPr>
        <w:t>In a</w:t>
      </w:r>
      <w:r w:rsidR="0038022F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poignant reminder to all </w:t>
      </w:r>
      <w:r w:rsidR="009635B6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critical urban </w:t>
      </w:r>
      <w:r w:rsidR="0038022F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scholars,</w:t>
      </w:r>
      <w:r w:rsidR="005153A0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Peter Marcuse noted that</w:t>
      </w:r>
      <w:r w:rsidR="0038022F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C92CA1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using the word</w:t>
      </w:r>
      <w:r w:rsidR="0038022F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4F0257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gentrification </w:t>
      </w:r>
      <w:r w:rsidR="00C92CA1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as if it described an active ‘it’ risks na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turalising its processual character</w:t>
      </w:r>
      <w:r w:rsidR="00C92CA1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and conceal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ing</w:t>
      </w:r>
      <w:r w:rsidR="00C92CA1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the power relations and motives that cause it</w:t>
      </w:r>
      <w:r w:rsidR="00C92CA1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fldChar w:fldCharType="begin"/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instrText xml:space="preserve"> ADDIN ZOTERO_ITEM {"citationID":"qdsl14t6n","properties":{"formattedCitation":"(Marcuse, 2015)","plainCitation":"(Marcuse, 2015)"},"citationItems":[{"id":2448,"uris":["http://zotero.org/users/3284224/items/MGZTDPRM"],"uri":["http://zotero.org/users/3284224/items/MGZTDPRM"]}]} </w:instrTex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fldChar w:fldCharType="separate"/>
      </w:r>
      <w:r w:rsidR="00030D8D" w:rsidRPr="00030D8D">
        <w:rPr>
          <w:rFonts w:ascii="Arial" w:hAnsi="Arial" w:cs="Arial"/>
          <w:noProof/>
          <w:color w:val="000000"/>
          <w:sz w:val="24"/>
          <w:szCs w:val="24"/>
          <w:lang w:val="en-GB" w:eastAsia="en-GB"/>
        </w:rPr>
        <w:t>(Marcuse, 2015)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fldChar w:fldCharType="end"/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. Naming </w:t>
      </w:r>
      <w:r w:rsidR="00FC3B3A">
        <w:rPr>
          <w:rFonts w:ascii="Arial" w:hAnsi="Arial" w:cs="Arial"/>
          <w:color w:val="000000"/>
          <w:sz w:val="24"/>
          <w:szCs w:val="24"/>
          <w:lang w:val="en-GB" w:eastAsia="en-GB"/>
        </w:rPr>
        <w:t>gentrification as the main or sole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FC3B3A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cause of the 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commodification of housing </w:t>
      </w:r>
      <w:r w:rsidR="00FC3B3A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in contemporary cities 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can </w:t>
      </w:r>
      <w:r w:rsidR="007712C7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render 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>opaque</w:t>
      </w:r>
      <w:r w:rsidR="005522C7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and invisible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the equally significant cultural and political dimensions of </w:t>
      </w:r>
      <w:r w:rsidR="00F7700F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the issue, and their implications for </w:t>
      </w:r>
      <w:r w:rsidR="005153A0">
        <w:rPr>
          <w:rFonts w:ascii="Arial" w:hAnsi="Arial" w:cs="Arial"/>
          <w:color w:val="000000"/>
          <w:sz w:val="24"/>
          <w:szCs w:val="24"/>
          <w:lang w:val="en-GB" w:eastAsia="en-GB"/>
        </w:rPr>
        <w:t>anti-gentrification alternative</w:t>
      </w:r>
      <w:r w:rsidR="00A84C83">
        <w:rPr>
          <w:rFonts w:ascii="Arial" w:hAnsi="Arial" w:cs="Arial"/>
          <w:color w:val="000000"/>
          <w:sz w:val="24"/>
          <w:szCs w:val="24"/>
          <w:lang w:val="en-GB" w:eastAsia="en-GB"/>
        </w:rPr>
        <w:t>s</w:t>
      </w:r>
      <w:r w:rsidR="005153A0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worth fighting for.</w:t>
      </w:r>
      <w:r w:rsidR="003C18A6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6D08A2">
        <w:rPr>
          <w:rFonts w:ascii="Arial" w:hAnsi="Arial" w:cs="Arial"/>
          <w:color w:val="000000"/>
          <w:sz w:val="24"/>
          <w:szCs w:val="24"/>
          <w:lang w:val="en-GB" w:eastAsia="en-GB"/>
        </w:rPr>
        <w:t>If we set out to understand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6D08A2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simultaneously housing 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commodification </w:t>
      </w:r>
      <w:r w:rsidR="006D08A2">
        <w:rPr>
          <w:rFonts w:ascii="Arial" w:hAnsi="Arial" w:cs="Arial"/>
          <w:color w:val="000000"/>
          <w:sz w:val="24"/>
          <w:szCs w:val="24"/>
          <w:lang w:val="en-GB" w:eastAsia="en-GB"/>
        </w:rPr>
        <w:t>and</w:t>
      </w:r>
      <w:r w:rsidR="00030D8D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its decommodification, </w:t>
      </w:r>
      <w:r w:rsidR="00030D8D" w:rsidRPr="00030D8D">
        <w:rPr>
          <w:rFonts w:ascii="Arial" w:hAnsi="Arial" w:cs="Arial"/>
          <w:sz w:val="24"/>
          <w:szCs w:val="24"/>
          <w:lang w:val="en-GB"/>
        </w:rPr>
        <w:t>gentrification t</w:t>
      </w:r>
      <w:r w:rsidR="00444FA6">
        <w:rPr>
          <w:rFonts w:ascii="Arial" w:hAnsi="Arial" w:cs="Arial"/>
          <w:sz w:val="24"/>
          <w:szCs w:val="24"/>
          <w:lang w:val="en-GB"/>
        </w:rPr>
        <w:t>h</w:t>
      </w:r>
      <w:r w:rsidR="00030D8D" w:rsidRPr="00030D8D">
        <w:rPr>
          <w:rFonts w:ascii="Arial" w:hAnsi="Arial" w:cs="Arial"/>
          <w:sz w:val="24"/>
          <w:szCs w:val="24"/>
          <w:lang w:val="en-GB"/>
        </w:rPr>
        <w:t xml:space="preserve">eories can be extremely useful “to understand one half of the story, but terribly limited in understanding the other half” </w:t>
      </w:r>
      <w:r w:rsidR="00030D8D" w:rsidRPr="00030D8D">
        <w:rPr>
          <w:rFonts w:ascii="Arial" w:hAnsi="Arial" w:cs="Arial"/>
          <w:sz w:val="24"/>
          <w:szCs w:val="24"/>
          <w:lang w:val="en-GB"/>
        </w:rPr>
        <w:fldChar w:fldCharType="begin"/>
      </w:r>
      <w:r w:rsidR="00030D8D" w:rsidRPr="00030D8D">
        <w:rPr>
          <w:rFonts w:ascii="Arial" w:hAnsi="Arial" w:cs="Arial"/>
          <w:sz w:val="24"/>
          <w:szCs w:val="24"/>
          <w:lang w:val="en-GB"/>
        </w:rPr>
        <w:instrText xml:space="preserve"> ADDIN ZOTERO_ITEM {"citationID":"a22eladtsc2","properties":{"formattedCitation":"(Bernt, 2016, p. 643)","plainCitation":"(Bernt, 2016, p. 643)"},"citationItems":[{"id":1170,"uris":["http://zotero.org/users/3284224/items/256UDPSX"],"uri":["http://zotero.org/users/3284224/items/256UDPSX"],"locator":"643"}]} </w:instrText>
      </w:r>
      <w:r w:rsidR="00030D8D" w:rsidRPr="00030D8D">
        <w:rPr>
          <w:rFonts w:ascii="Arial" w:hAnsi="Arial" w:cs="Arial"/>
          <w:sz w:val="24"/>
          <w:szCs w:val="24"/>
          <w:lang w:val="en-GB"/>
        </w:rPr>
        <w:fldChar w:fldCharType="separate"/>
      </w:r>
      <w:r w:rsidR="00030D8D" w:rsidRPr="00030D8D">
        <w:rPr>
          <w:rFonts w:ascii="Arial" w:hAnsi="Arial" w:cs="Arial"/>
          <w:sz w:val="24"/>
          <w:szCs w:val="24"/>
          <w:lang w:val="en-GB"/>
        </w:rPr>
        <w:t>(Bernt, 2016, p. 643)</w:t>
      </w:r>
      <w:r w:rsidR="00030D8D" w:rsidRPr="00030D8D">
        <w:rPr>
          <w:rFonts w:ascii="Arial" w:hAnsi="Arial" w:cs="Arial"/>
          <w:sz w:val="24"/>
          <w:szCs w:val="24"/>
          <w:lang w:val="en-GB"/>
        </w:rPr>
        <w:fldChar w:fldCharType="end"/>
      </w:r>
      <w:r w:rsidR="004E3CAC">
        <w:rPr>
          <w:rFonts w:ascii="Arial" w:hAnsi="Arial" w:cs="Arial"/>
          <w:sz w:val="24"/>
          <w:szCs w:val="24"/>
          <w:lang w:val="en-GB"/>
        </w:rPr>
        <w:t xml:space="preserve"> as universalist systemic critiques can reify and naturalise those same processes that we aim to transform.  </w:t>
      </w:r>
      <w:r w:rsidR="00534094">
        <w:rPr>
          <w:rFonts w:ascii="Arial" w:hAnsi="Arial" w:cs="Arial"/>
          <w:sz w:val="24"/>
          <w:szCs w:val="24"/>
          <w:lang w:val="en-GB"/>
        </w:rPr>
        <w:t>With a</w:t>
      </w:r>
      <w:r w:rsidR="00534094" w:rsidRPr="00030D8D">
        <w:rPr>
          <w:rFonts w:ascii="Arial" w:hAnsi="Arial" w:cs="Arial"/>
          <w:sz w:val="24"/>
          <w:szCs w:val="24"/>
          <w:lang w:val="en-GB"/>
        </w:rPr>
        <w:t>ccess to de-com</w:t>
      </w:r>
      <w:r w:rsidR="00534094">
        <w:rPr>
          <w:rFonts w:ascii="Arial" w:hAnsi="Arial" w:cs="Arial"/>
          <w:sz w:val="24"/>
          <w:szCs w:val="24"/>
          <w:lang w:val="en-GB"/>
        </w:rPr>
        <w:t>modified decent homes has becoming</w:t>
      </w:r>
      <w:r w:rsidR="00534094" w:rsidRPr="00030D8D">
        <w:rPr>
          <w:rFonts w:ascii="Arial" w:hAnsi="Arial" w:cs="Arial"/>
          <w:sz w:val="24"/>
          <w:szCs w:val="24"/>
          <w:lang w:val="en-GB"/>
        </w:rPr>
        <w:t xml:space="preserve"> once again central to critical urban politics </w:t>
      </w:r>
      <w:r w:rsidR="00534094" w:rsidRPr="00030D8D">
        <w:rPr>
          <w:rFonts w:ascii="Arial" w:hAnsi="Arial" w:cs="Arial"/>
          <w:sz w:val="24"/>
          <w:szCs w:val="24"/>
          <w:lang w:val="en-GB"/>
        </w:rPr>
        <w:fldChar w:fldCharType="begin"/>
      </w:r>
      <w:r w:rsidR="00534094" w:rsidRPr="00030D8D">
        <w:rPr>
          <w:rFonts w:ascii="Arial" w:hAnsi="Arial" w:cs="Arial"/>
          <w:sz w:val="24"/>
          <w:szCs w:val="24"/>
          <w:lang w:val="en-GB"/>
        </w:rPr>
        <w:instrText xml:space="preserve"> ADDIN ZOTERO_ITEM {"citationID":"QduRrThI","properties":{"formattedCitation":"(Marcuse and Madden, 2016)","plainCitation":"(Marcuse and Madden, 2016)"},"citationItems":[{"id":337,"uris":["http://zotero.org/users/3284224/items/T27J8A34"],"uri":["http://zotero.org/users/3284224/items/T27J8A34"]}]} </w:instrText>
      </w:r>
      <w:r w:rsidR="00534094" w:rsidRPr="00030D8D">
        <w:rPr>
          <w:rFonts w:ascii="Arial" w:hAnsi="Arial" w:cs="Arial"/>
          <w:sz w:val="24"/>
          <w:szCs w:val="24"/>
          <w:lang w:val="en-GB"/>
        </w:rPr>
        <w:fldChar w:fldCharType="separate"/>
      </w:r>
      <w:r w:rsidR="00534094" w:rsidRPr="00030D8D">
        <w:rPr>
          <w:rFonts w:ascii="Arial" w:hAnsi="Arial" w:cs="Arial"/>
          <w:sz w:val="24"/>
          <w:szCs w:val="24"/>
          <w:lang w:val="en-GB"/>
        </w:rPr>
        <w:t>(Marcuse and Madden, 2016)</w:t>
      </w:r>
      <w:r w:rsidR="00534094" w:rsidRPr="00030D8D">
        <w:rPr>
          <w:rFonts w:ascii="Arial" w:hAnsi="Arial" w:cs="Arial"/>
          <w:sz w:val="24"/>
          <w:szCs w:val="24"/>
          <w:lang w:val="en-GB"/>
        </w:rPr>
        <w:fldChar w:fldCharType="end"/>
      </w:r>
      <w:r w:rsidR="00534094">
        <w:rPr>
          <w:rFonts w:ascii="Arial" w:hAnsi="Arial" w:cs="Arial"/>
          <w:sz w:val="24"/>
          <w:szCs w:val="24"/>
          <w:lang w:val="en-GB"/>
        </w:rPr>
        <w:t>,</w:t>
      </w:r>
      <w:r w:rsidR="00F4293B">
        <w:rPr>
          <w:rFonts w:ascii="Arial" w:hAnsi="Arial" w:cs="Arial"/>
          <w:sz w:val="24"/>
          <w:szCs w:val="24"/>
          <w:lang w:val="en-GB"/>
        </w:rPr>
        <w:t xml:space="preserve"> </w:t>
      </w:r>
      <w:r w:rsidR="00030D8D" w:rsidRPr="00030D8D">
        <w:rPr>
          <w:rFonts w:ascii="Arial" w:hAnsi="Arial" w:cs="Arial"/>
          <w:sz w:val="24"/>
          <w:szCs w:val="24"/>
          <w:lang w:val="en-GB"/>
        </w:rPr>
        <w:t>“</w:t>
      </w:r>
      <w:r w:rsidR="00F4293B">
        <w:rPr>
          <w:rFonts w:ascii="Arial" w:hAnsi="Arial" w:cs="Arial"/>
          <w:sz w:val="24"/>
          <w:szCs w:val="24"/>
          <w:lang w:val="en-GB"/>
        </w:rPr>
        <w:t>o</w:t>
      </w:r>
      <w:r w:rsidR="00030D8D" w:rsidRPr="00030D8D">
        <w:rPr>
          <w:rFonts w:ascii="Arial" w:hAnsi="Arial" w:cs="Arial"/>
          <w:sz w:val="24"/>
          <w:szCs w:val="24"/>
          <w:lang w:val="en-GB"/>
        </w:rPr>
        <w:t xml:space="preserve">ther and more contextually sensitive devices are needed for understanding its decommodification” </w:t>
      </w:r>
      <w:r w:rsidR="00534094" w:rsidRPr="00030D8D">
        <w:rPr>
          <w:rFonts w:ascii="Arial" w:hAnsi="Arial" w:cs="Arial"/>
          <w:sz w:val="24"/>
          <w:szCs w:val="24"/>
          <w:lang w:val="en-GB"/>
        </w:rPr>
        <w:fldChar w:fldCharType="begin"/>
      </w:r>
      <w:r w:rsidR="009702E8">
        <w:rPr>
          <w:rFonts w:ascii="Arial" w:hAnsi="Arial" w:cs="Arial"/>
          <w:sz w:val="24"/>
          <w:szCs w:val="24"/>
          <w:lang w:val="en-GB"/>
        </w:rPr>
        <w:instrText xml:space="preserve"> ADDIN ZOTERO_ITEM {"citationID":"PT3rJmU5","properties":{"formattedCitation":"(Bernt, 2016, p. 643)","plainCitation":"(Bernt, 2016, p. 643)"},"citationItems":[{"id":1170,"uris":["http://zotero.org/users/3284224/items/256UDPSX"],"uri":["http://zotero.org/users/3284224/items/256UDPSX"],"locator":"643"}]} </w:instrText>
      </w:r>
      <w:r w:rsidR="00534094" w:rsidRPr="00030D8D">
        <w:rPr>
          <w:rFonts w:ascii="Arial" w:hAnsi="Arial" w:cs="Arial"/>
          <w:sz w:val="24"/>
          <w:szCs w:val="24"/>
          <w:lang w:val="en-GB"/>
        </w:rPr>
        <w:fldChar w:fldCharType="separate"/>
      </w:r>
      <w:r w:rsidR="00534094" w:rsidRPr="00030D8D">
        <w:rPr>
          <w:rFonts w:ascii="Arial" w:hAnsi="Arial" w:cs="Arial"/>
          <w:sz w:val="24"/>
          <w:szCs w:val="24"/>
          <w:lang w:val="en-GB"/>
        </w:rPr>
        <w:t>(Bernt, 2016, p. 643)</w:t>
      </w:r>
      <w:r w:rsidR="00534094" w:rsidRPr="00030D8D">
        <w:rPr>
          <w:rFonts w:ascii="Arial" w:hAnsi="Arial" w:cs="Arial"/>
          <w:sz w:val="24"/>
          <w:szCs w:val="24"/>
          <w:lang w:val="en-GB"/>
        </w:rPr>
        <w:fldChar w:fldCharType="end"/>
      </w:r>
      <w:r w:rsidR="00712352">
        <w:rPr>
          <w:rFonts w:ascii="Arial" w:hAnsi="Arial" w:cs="Arial"/>
          <w:sz w:val="24"/>
          <w:szCs w:val="24"/>
          <w:lang w:val="en-GB"/>
        </w:rPr>
        <w:t xml:space="preserve"> beyond </w:t>
      </w:r>
      <w:r w:rsidR="00147EB7">
        <w:rPr>
          <w:rFonts w:ascii="Arial" w:hAnsi="Arial" w:cs="Arial"/>
          <w:sz w:val="24"/>
          <w:szCs w:val="24"/>
          <w:lang w:val="en-GB"/>
        </w:rPr>
        <w:t>‘</w:t>
      </w:r>
      <w:r w:rsidR="00712352">
        <w:rPr>
          <w:rFonts w:ascii="Arial" w:hAnsi="Arial" w:cs="Arial"/>
          <w:sz w:val="24"/>
          <w:szCs w:val="24"/>
          <w:lang w:val="en-GB"/>
        </w:rPr>
        <w:t>gaining access to what already exists</w:t>
      </w:r>
      <w:r w:rsidR="00147EB7">
        <w:rPr>
          <w:rFonts w:ascii="Arial" w:hAnsi="Arial" w:cs="Arial"/>
          <w:sz w:val="24"/>
          <w:szCs w:val="24"/>
          <w:lang w:val="en-GB"/>
        </w:rPr>
        <w:t>’</w:t>
      </w:r>
      <w:r w:rsidR="00534094">
        <w:rPr>
          <w:rFonts w:ascii="Arial" w:hAnsi="Arial" w:cs="Arial"/>
          <w:sz w:val="24"/>
          <w:szCs w:val="24"/>
          <w:lang w:val="en-GB"/>
        </w:rPr>
        <w:t>.</w:t>
      </w:r>
    </w:p>
    <w:p w14:paraId="279612AF" w14:textId="77777777" w:rsidR="003C18A6" w:rsidRPr="00030D8D" w:rsidRDefault="003C18A6" w:rsidP="000162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GB" w:eastAsia="en-GB"/>
        </w:rPr>
      </w:pPr>
    </w:p>
    <w:p w14:paraId="33BC1764" w14:textId="6866DDC6" w:rsidR="00214BAB" w:rsidRDefault="00B95BF6" w:rsidP="001F4F0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 w:eastAsia="en-GB"/>
        </w:rPr>
        <w:t>‘</w:t>
      </w:r>
      <w:r w:rsidR="00C20F04">
        <w:rPr>
          <w:rFonts w:ascii="Arial" w:hAnsi="Arial" w:cs="Arial"/>
          <w:color w:val="000000"/>
          <w:sz w:val="24"/>
          <w:szCs w:val="24"/>
          <w:lang w:val="en-GB" w:eastAsia="en-GB"/>
        </w:rPr>
        <w:t>S</w:t>
      </w:r>
      <w:r w:rsidR="00643E87">
        <w:rPr>
          <w:rFonts w:ascii="Arial" w:hAnsi="Arial" w:cs="Arial"/>
          <w:color w:val="000000"/>
          <w:sz w:val="24"/>
          <w:szCs w:val="24"/>
          <w:lang w:val="en-GB" w:eastAsia="en-GB"/>
        </w:rPr>
        <w:t>taying put</w:t>
      </w:r>
      <w:r>
        <w:rPr>
          <w:rFonts w:ascii="Arial" w:hAnsi="Arial" w:cs="Arial"/>
          <w:color w:val="000000"/>
          <w:sz w:val="24"/>
          <w:szCs w:val="24"/>
          <w:lang w:val="en-GB" w:eastAsia="en-GB"/>
        </w:rPr>
        <w:t>’</w:t>
      </w:r>
      <w:r w:rsidR="00643E87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2242D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without struggling for </w:t>
      </w:r>
      <w:r w:rsidR="00B4457A">
        <w:rPr>
          <w:rFonts w:ascii="Arial" w:hAnsi="Arial" w:cs="Arial"/>
          <w:color w:val="000000"/>
          <w:sz w:val="24"/>
          <w:szCs w:val="24"/>
          <w:lang w:val="en-GB" w:eastAsia="en-GB"/>
        </w:rPr>
        <w:t>de</w:t>
      </w:r>
      <w:r w:rsidR="006B3C2D">
        <w:rPr>
          <w:rFonts w:ascii="Arial" w:hAnsi="Arial" w:cs="Arial"/>
          <w:color w:val="000000"/>
          <w:sz w:val="24"/>
          <w:szCs w:val="24"/>
          <w:lang w:val="en-GB" w:eastAsia="en-GB"/>
        </w:rPr>
        <w:t>-</w:t>
      </w:r>
      <w:r w:rsidR="00B4457A">
        <w:rPr>
          <w:rFonts w:ascii="Arial" w:hAnsi="Arial" w:cs="Arial"/>
          <w:color w:val="000000"/>
          <w:sz w:val="24"/>
          <w:szCs w:val="24"/>
          <w:lang w:val="en-GB" w:eastAsia="en-GB"/>
        </w:rPr>
        <w:t>commodified alternatives</w:t>
      </w:r>
      <w:r w:rsidR="002242D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9D24C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is </w:t>
      </w:r>
      <w:r w:rsidR="00643E87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not </w:t>
      </w:r>
      <w:r w:rsidR="00D40698">
        <w:rPr>
          <w:rFonts w:ascii="Arial" w:hAnsi="Arial" w:cs="Arial"/>
          <w:color w:val="000000"/>
          <w:sz w:val="24"/>
          <w:szCs w:val="24"/>
          <w:lang w:val="en-GB" w:eastAsia="en-GB"/>
        </w:rPr>
        <w:t>sufficient</w:t>
      </w:r>
      <w:r w:rsidR="00B4457A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because</w:t>
      </w:r>
      <w:r w:rsidR="00F83367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“</w:t>
      </w:r>
      <w:r w:rsidR="001D3A57">
        <w:rPr>
          <w:rFonts w:ascii="Arial" w:hAnsi="Arial" w:cs="Arial"/>
          <w:color w:val="000000"/>
          <w:sz w:val="24"/>
          <w:szCs w:val="24"/>
          <w:lang w:val="en-GB" w:eastAsia="en-GB"/>
        </w:rPr>
        <w:t>the ‘right to make place</w:t>
      </w:r>
      <w:r w:rsidR="00312E78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can ‘be denigrated or destroyed even if one stays in a particular space’</w:t>
      </w:r>
      <w:r w:rsidR="00F83367">
        <w:rPr>
          <w:rFonts w:ascii="Arial" w:hAnsi="Arial" w:cs="Arial"/>
          <w:color w:val="000000"/>
          <w:sz w:val="24"/>
          <w:szCs w:val="24"/>
          <w:lang w:val="en-GB" w:eastAsia="en-GB"/>
        </w:rPr>
        <w:t>”</w:t>
      </w:r>
      <w:r w:rsidR="00312E78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F83367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fldChar w:fldCharType="begin"/>
      </w:r>
      <w:r w:rsidR="009702E8">
        <w:rPr>
          <w:rFonts w:ascii="Arial" w:hAnsi="Arial" w:cs="Arial"/>
          <w:color w:val="000000"/>
          <w:sz w:val="24"/>
          <w:szCs w:val="24"/>
          <w:lang w:val="en-GB" w:eastAsia="en-GB"/>
        </w:rPr>
        <w:instrText xml:space="preserve"> ADDIN ZOTERO_ITEM {"citationID":"j9z7FSa8","properties":{"formattedCitation":"(Baeten et al., 2016, p. 2)","plainCitation":"(Baeten et al., 2016, p. 2)"},"citationItems":[{"id":1192,"uris":["http://zotero.org/users/3284224/items/JJIM3PUZ"],"uri":["http://zotero.org/users/3284224/items/JJIM3PUZ"],"locator":"2"}]} </w:instrText>
      </w:r>
      <w:r w:rsidR="00F83367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fldChar w:fldCharType="separate"/>
      </w:r>
      <w:r w:rsidR="00F83367" w:rsidRPr="00030D8D">
        <w:rPr>
          <w:rFonts w:ascii="Arial" w:hAnsi="Arial" w:cs="Arial"/>
          <w:sz w:val="24"/>
          <w:lang w:val="en-GB"/>
        </w:rPr>
        <w:t>(</w:t>
      </w:r>
      <w:r w:rsidR="00626BBA">
        <w:rPr>
          <w:rFonts w:ascii="Arial" w:hAnsi="Arial" w:cs="Arial"/>
          <w:sz w:val="24"/>
          <w:lang w:val="en-GB"/>
        </w:rPr>
        <w:t xml:space="preserve">Davidson in </w:t>
      </w:r>
      <w:r w:rsidR="00F83367" w:rsidRPr="00030D8D">
        <w:rPr>
          <w:rFonts w:ascii="Arial" w:hAnsi="Arial" w:cs="Arial"/>
          <w:sz w:val="24"/>
          <w:lang w:val="en-GB"/>
        </w:rPr>
        <w:t>Baeten et al., 2016, p. 2)</w:t>
      </w:r>
      <w:r w:rsidR="00F83367" w:rsidRPr="00030D8D">
        <w:rPr>
          <w:rFonts w:ascii="Arial" w:hAnsi="Arial" w:cs="Arial"/>
          <w:color w:val="000000"/>
          <w:sz w:val="24"/>
          <w:szCs w:val="24"/>
          <w:lang w:val="en-GB" w:eastAsia="en-GB"/>
        </w:rPr>
        <w:fldChar w:fldCharType="end"/>
      </w:r>
      <w:r w:rsidR="00BF5BBF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. </w:t>
      </w:r>
      <w:r w:rsidR="006B3C2D">
        <w:rPr>
          <w:rFonts w:ascii="Arial" w:hAnsi="Arial" w:cs="Arial"/>
          <w:color w:val="000000"/>
          <w:sz w:val="24"/>
          <w:szCs w:val="24"/>
          <w:lang w:val="en-GB" w:eastAsia="en-GB"/>
        </w:rPr>
        <w:t>This observation is particularly adept in contexts marked with</w:t>
      </w:r>
      <w:r w:rsidR="002C0950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B92F1D">
        <w:rPr>
          <w:rFonts w:ascii="Arial" w:hAnsi="Arial" w:cs="Arial"/>
          <w:color w:val="000000"/>
          <w:sz w:val="24"/>
          <w:szCs w:val="24"/>
          <w:lang w:val="en-GB" w:eastAsia="en-GB"/>
        </w:rPr>
        <w:t>long</w:t>
      </w:r>
      <w:r w:rsidR="0024597D">
        <w:rPr>
          <w:rFonts w:ascii="Arial" w:hAnsi="Arial" w:cs="Arial"/>
          <w:color w:val="000000"/>
          <w:sz w:val="24"/>
          <w:szCs w:val="24"/>
          <w:lang w:val="en-GB" w:eastAsia="en-GB"/>
        </w:rPr>
        <w:t>-term</w:t>
      </w:r>
      <w:r w:rsidR="00B92F1D" w:rsidRPr="00B92F1D">
        <w:rPr>
          <w:rFonts w:ascii="Arial" w:hAnsi="Arial" w:cs="Arial"/>
          <w:sz w:val="24"/>
          <w:szCs w:val="24"/>
          <w:lang w:val="en-GB"/>
        </w:rPr>
        <w:t xml:space="preserve"> </w:t>
      </w:r>
      <w:r w:rsidR="005412BB">
        <w:rPr>
          <w:rFonts w:ascii="Arial" w:hAnsi="Arial" w:cs="Arial"/>
          <w:sz w:val="24"/>
          <w:szCs w:val="24"/>
          <w:lang w:val="en-GB"/>
        </w:rPr>
        <w:t xml:space="preserve">residualisation and </w:t>
      </w:r>
      <w:r w:rsidR="00B92F1D" w:rsidRPr="00030D8D">
        <w:rPr>
          <w:rFonts w:ascii="Arial" w:hAnsi="Arial" w:cs="Arial"/>
          <w:sz w:val="24"/>
          <w:szCs w:val="24"/>
          <w:lang w:val="en-GB"/>
        </w:rPr>
        <w:t xml:space="preserve">stigmatisation of </w:t>
      </w:r>
      <w:r w:rsidR="006B3C2D">
        <w:rPr>
          <w:rFonts w:ascii="Arial" w:hAnsi="Arial" w:cs="Arial"/>
          <w:sz w:val="24"/>
          <w:szCs w:val="24"/>
          <w:lang w:val="en-GB"/>
        </w:rPr>
        <w:t>low income</w:t>
      </w:r>
      <w:r w:rsidR="00B92F1D" w:rsidRPr="00030D8D">
        <w:rPr>
          <w:rFonts w:ascii="Arial" w:hAnsi="Arial" w:cs="Arial"/>
          <w:sz w:val="24"/>
          <w:szCs w:val="24"/>
          <w:lang w:val="en-GB"/>
        </w:rPr>
        <w:t xml:space="preserve"> ho</w:t>
      </w:r>
      <w:r w:rsidR="00B21517">
        <w:rPr>
          <w:rFonts w:ascii="Arial" w:hAnsi="Arial" w:cs="Arial"/>
          <w:sz w:val="24"/>
          <w:szCs w:val="24"/>
          <w:lang w:val="en-GB"/>
        </w:rPr>
        <w:t>using</w:t>
      </w:r>
      <w:r w:rsidR="00C95D17">
        <w:rPr>
          <w:rFonts w:ascii="Arial" w:hAnsi="Arial" w:cs="Arial"/>
          <w:sz w:val="24"/>
          <w:szCs w:val="24"/>
          <w:lang w:val="en-GB"/>
        </w:rPr>
        <w:t>, which</w:t>
      </w:r>
      <w:r w:rsidR="005412BB">
        <w:rPr>
          <w:rFonts w:ascii="Arial" w:hAnsi="Arial" w:cs="Arial"/>
          <w:sz w:val="24"/>
          <w:szCs w:val="24"/>
          <w:lang w:val="en-GB"/>
        </w:rPr>
        <w:t xml:space="preserve"> is an important cultural and political barrier to housing organising for de-commodified housing.</w:t>
      </w:r>
      <w:r w:rsidR="00A475EF">
        <w:rPr>
          <w:rFonts w:ascii="Arial" w:hAnsi="Arial" w:cs="Arial"/>
          <w:sz w:val="24"/>
          <w:szCs w:val="24"/>
          <w:lang w:val="en-GB"/>
        </w:rPr>
        <w:t xml:space="preserve"> </w:t>
      </w:r>
      <w:r w:rsidR="00B92F1D">
        <w:rPr>
          <w:rFonts w:ascii="Arial" w:hAnsi="Arial" w:cs="Arial"/>
          <w:sz w:val="24"/>
          <w:szCs w:val="24"/>
          <w:lang w:val="en-GB"/>
        </w:rPr>
        <w:t xml:space="preserve">Since </w:t>
      </w:r>
      <w:r w:rsidR="00346687">
        <w:rPr>
          <w:rFonts w:ascii="Arial" w:hAnsi="Arial" w:cs="Arial"/>
          <w:sz w:val="24"/>
          <w:szCs w:val="24"/>
          <w:lang w:val="en-GB"/>
        </w:rPr>
        <w:t xml:space="preserve">the </w:t>
      </w:r>
      <w:r w:rsidR="00346687">
        <w:rPr>
          <w:rFonts w:ascii="Arial" w:hAnsi="Arial" w:cs="Arial"/>
          <w:sz w:val="24"/>
          <w:szCs w:val="24"/>
          <w:lang w:val="en-GB"/>
        </w:rPr>
        <w:lastRenderedPageBreak/>
        <w:t xml:space="preserve">publication of </w:t>
      </w:r>
      <w:r w:rsidR="00346687" w:rsidRPr="00346687">
        <w:rPr>
          <w:rFonts w:ascii="Arial" w:hAnsi="Arial" w:cs="Arial"/>
          <w:i/>
          <w:sz w:val="24"/>
          <w:szCs w:val="24"/>
          <w:lang w:val="en-GB"/>
        </w:rPr>
        <w:t>Staying Put</w:t>
      </w:r>
      <w:r w:rsidR="00B92F1D" w:rsidRPr="00346687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B92F1D" w:rsidRPr="00030D8D">
        <w:rPr>
          <w:rFonts w:ascii="Arial" w:hAnsi="Arial" w:cs="Arial"/>
          <w:sz w:val="24"/>
          <w:szCs w:val="24"/>
          <w:lang w:val="en-GB"/>
        </w:rPr>
        <w:t xml:space="preserve">‘a new urban movement’ </w:t>
      </w:r>
      <w:r w:rsidR="000F741E">
        <w:rPr>
          <w:rFonts w:ascii="Arial" w:hAnsi="Arial" w:cs="Arial"/>
          <w:sz w:val="24"/>
          <w:szCs w:val="24"/>
          <w:lang w:val="en-GB"/>
        </w:rPr>
        <w:t>has</w:t>
      </w:r>
      <w:r w:rsidR="00B92F1D">
        <w:rPr>
          <w:rFonts w:ascii="Arial" w:hAnsi="Arial" w:cs="Arial"/>
          <w:sz w:val="24"/>
          <w:szCs w:val="24"/>
          <w:lang w:val="en-GB"/>
        </w:rPr>
        <w:t xml:space="preserve"> emerged</w:t>
      </w:r>
      <w:r w:rsidR="000F741E">
        <w:rPr>
          <w:rFonts w:ascii="Arial" w:hAnsi="Arial" w:cs="Arial"/>
          <w:sz w:val="24"/>
          <w:szCs w:val="24"/>
          <w:lang w:val="en-GB"/>
        </w:rPr>
        <w:t xml:space="preserve"> in London</w:t>
      </w:r>
      <w:r w:rsidR="00346687">
        <w:rPr>
          <w:rFonts w:ascii="Arial" w:hAnsi="Arial" w:cs="Arial"/>
          <w:sz w:val="24"/>
          <w:szCs w:val="24"/>
          <w:lang w:val="en-GB"/>
        </w:rPr>
        <w:t xml:space="preserve"> </w:t>
      </w:r>
      <w:r w:rsidR="00346687" w:rsidRPr="00030D8D">
        <w:rPr>
          <w:rFonts w:ascii="Arial" w:hAnsi="Arial" w:cs="Arial"/>
          <w:sz w:val="24"/>
          <w:szCs w:val="24"/>
          <w:lang w:val="en-GB"/>
        </w:rPr>
        <w:fldChar w:fldCharType="begin"/>
      </w:r>
      <w:r w:rsidR="00346687" w:rsidRPr="00030D8D">
        <w:rPr>
          <w:rFonts w:ascii="Arial" w:hAnsi="Arial" w:cs="Arial"/>
          <w:sz w:val="24"/>
          <w:szCs w:val="24"/>
          <w:lang w:val="en-GB"/>
        </w:rPr>
        <w:instrText xml:space="preserve"> ADDIN ZOTERO_ITEM {"citationID":"quFa6yNt","properties":{"formattedCitation":"(Watt and Minton, 2016)","plainCitation":"(Watt and Minton, 2016)"},"citationItems":[{"id":182,"uris":["http://zotero.org/users/3284224/items/CE3SIPT3"],"uri":["http://zotero.org/users/3284224/items/CE3SIPT3"]}]} </w:instrText>
      </w:r>
      <w:r w:rsidR="00346687" w:rsidRPr="00030D8D">
        <w:rPr>
          <w:rFonts w:ascii="Arial" w:hAnsi="Arial" w:cs="Arial"/>
          <w:sz w:val="24"/>
          <w:szCs w:val="24"/>
          <w:lang w:val="en-GB"/>
        </w:rPr>
        <w:fldChar w:fldCharType="separate"/>
      </w:r>
      <w:r w:rsidR="00346687" w:rsidRPr="00030D8D">
        <w:rPr>
          <w:rFonts w:ascii="Arial" w:hAnsi="Arial" w:cs="Arial"/>
          <w:sz w:val="24"/>
          <w:szCs w:val="24"/>
          <w:lang w:val="en-GB"/>
        </w:rPr>
        <w:t>(Watt and Minton, 2016)</w:t>
      </w:r>
      <w:r w:rsidR="00346687" w:rsidRPr="00030D8D">
        <w:rPr>
          <w:rFonts w:ascii="Arial" w:hAnsi="Arial" w:cs="Arial"/>
          <w:sz w:val="24"/>
          <w:szCs w:val="24"/>
          <w:lang w:val="en-GB"/>
        </w:rPr>
        <w:fldChar w:fldCharType="end"/>
      </w:r>
      <w:r w:rsidR="00346687">
        <w:rPr>
          <w:rFonts w:ascii="Arial" w:hAnsi="Arial" w:cs="Arial"/>
          <w:sz w:val="24"/>
          <w:szCs w:val="24"/>
          <w:lang w:val="en-GB"/>
        </w:rPr>
        <w:t xml:space="preserve"> </w:t>
      </w:r>
      <w:r w:rsidR="00B92F1D" w:rsidRPr="00030D8D">
        <w:rPr>
          <w:rFonts w:ascii="Arial" w:hAnsi="Arial" w:cs="Arial"/>
          <w:sz w:val="24"/>
          <w:szCs w:val="24"/>
          <w:lang w:val="en-GB"/>
        </w:rPr>
        <w:t xml:space="preserve"> through place-specific campaigns and the wider cross-tenure solidarity organising building ‘urban power’ </w:t>
      </w:r>
      <w:r w:rsidR="00B92F1D" w:rsidRPr="00030D8D">
        <w:rPr>
          <w:rFonts w:ascii="Arial" w:hAnsi="Arial" w:cs="Arial"/>
          <w:sz w:val="24"/>
          <w:szCs w:val="24"/>
          <w:lang w:val="en-GB"/>
        </w:rPr>
        <w:fldChar w:fldCharType="begin"/>
      </w:r>
      <w:r w:rsidR="00B92F1D" w:rsidRPr="00030D8D">
        <w:rPr>
          <w:rFonts w:ascii="Arial" w:hAnsi="Arial" w:cs="Arial"/>
          <w:sz w:val="24"/>
          <w:szCs w:val="24"/>
          <w:lang w:val="en-GB"/>
        </w:rPr>
        <w:instrText xml:space="preserve"> ADDIN ZOTERO_ITEM {"citationID":"2cc6e6pnla","properties":{"formattedCitation":"(Wills, 2016)","plainCitation":"(Wills, 2016)"},"citationItems":[{"id":1751,"uris":["http://zotero.org/users/3284224/items/99BMIEN7"],"uri":["http://zotero.org/users/3284224/items/99BMIEN7"]}]} </w:instrText>
      </w:r>
      <w:r w:rsidR="00B92F1D" w:rsidRPr="00030D8D">
        <w:rPr>
          <w:rFonts w:ascii="Arial" w:hAnsi="Arial" w:cs="Arial"/>
          <w:sz w:val="24"/>
          <w:szCs w:val="24"/>
          <w:lang w:val="en-GB"/>
        </w:rPr>
        <w:fldChar w:fldCharType="separate"/>
      </w:r>
      <w:r w:rsidR="00B92F1D" w:rsidRPr="00030D8D">
        <w:rPr>
          <w:rFonts w:ascii="Arial" w:hAnsi="Arial" w:cs="Arial"/>
          <w:noProof/>
          <w:sz w:val="24"/>
          <w:szCs w:val="24"/>
          <w:lang w:val="en-GB"/>
        </w:rPr>
        <w:t>(Wills, 2016)</w:t>
      </w:r>
      <w:r w:rsidR="00B92F1D" w:rsidRPr="00030D8D">
        <w:rPr>
          <w:rFonts w:ascii="Arial" w:hAnsi="Arial" w:cs="Arial"/>
          <w:sz w:val="24"/>
          <w:szCs w:val="24"/>
          <w:lang w:val="en-GB"/>
        </w:rPr>
        <w:fldChar w:fldCharType="end"/>
      </w:r>
      <w:r w:rsidR="006E200E">
        <w:rPr>
          <w:rFonts w:ascii="Arial" w:hAnsi="Arial" w:cs="Arial"/>
          <w:sz w:val="24"/>
          <w:szCs w:val="24"/>
          <w:lang w:val="en-GB"/>
        </w:rPr>
        <w:t>. C</w:t>
      </w:r>
      <w:r w:rsidR="00B92F1D">
        <w:rPr>
          <w:rFonts w:ascii="Arial" w:hAnsi="Arial" w:cs="Arial"/>
          <w:sz w:val="24"/>
          <w:szCs w:val="24"/>
          <w:lang w:val="en-GB"/>
        </w:rPr>
        <w:t xml:space="preserve">ampaigns such as ‘We (heart) council housing’ and slogans such </w:t>
      </w:r>
      <w:r w:rsidR="00987750">
        <w:rPr>
          <w:rFonts w:ascii="Arial" w:hAnsi="Arial" w:cs="Arial"/>
          <w:sz w:val="24"/>
          <w:szCs w:val="24"/>
          <w:lang w:val="en-GB"/>
        </w:rPr>
        <w:t>‘</w:t>
      </w:r>
      <w:r w:rsidR="00B92F1D" w:rsidRPr="00030D8D">
        <w:rPr>
          <w:rFonts w:ascii="Arial" w:hAnsi="Arial" w:cs="Arial"/>
          <w:sz w:val="24"/>
          <w:szCs w:val="24"/>
          <w:lang w:val="en-GB"/>
        </w:rPr>
        <w:t>Social</w:t>
      </w:r>
      <w:r w:rsidR="00B92F1D">
        <w:rPr>
          <w:rFonts w:ascii="Arial" w:hAnsi="Arial" w:cs="Arial"/>
          <w:sz w:val="24"/>
          <w:szCs w:val="24"/>
          <w:lang w:val="en-GB"/>
        </w:rPr>
        <w:t xml:space="preserve"> </w:t>
      </w:r>
      <w:r w:rsidR="00987750">
        <w:rPr>
          <w:rFonts w:ascii="Arial" w:hAnsi="Arial" w:cs="Arial"/>
          <w:sz w:val="24"/>
          <w:szCs w:val="24"/>
          <w:lang w:val="en-GB"/>
        </w:rPr>
        <w:t>housing, not social cleansing’</w:t>
      </w:r>
      <w:r w:rsidR="006E200E">
        <w:rPr>
          <w:rFonts w:ascii="Arial" w:hAnsi="Arial" w:cs="Arial"/>
          <w:sz w:val="24"/>
          <w:szCs w:val="24"/>
          <w:lang w:val="en-GB"/>
        </w:rPr>
        <w:t xml:space="preserve"> have not only raised the profile of the effects of regeneration-by-demolition, but have also </w:t>
      </w:r>
      <w:r w:rsidR="00873361">
        <w:rPr>
          <w:rFonts w:ascii="Arial" w:hAnsi="Arial" w:cs="Arial"/>
          <w:sz w:val="24"/>
          <w:szCs w:val="24"/>
          <w:lang w:val="en-GB"/>
        </w:rPr>
        <w:t>generate</w:t>
      </w:r>
      <w:r w:rsidR="00D563B3">
        <w:rPr>
          <w:rFonts w:ascii="Arial" w:hAnsi="Arial" w:cs="Arial"/>
          <w:sz w:val="24"/>
          <w:szCs w:val="24"/>
          <w:lang w:val="en-GB"/>
        </w:rPr>
        <w:t>d</w:t>
      </w:r>
      <w:r w:rsidR="00B41E62">
        <w:rPr>
          <w:rFonts w:ascii="Arial" w:hAnsi="Arial" w:cs="Arial"/>
          <w:sz w:val="24"/>
          <w:szCs w:val="24"/>
          <w:lang w:val="en-GB"/>
        </w:rPr>
        <w:t xml:space="preserve"> space to rethink</w:t>
      </w:r>
      <w:r w:rsidR="006E200E">
        <w:rPr>
          <w:rFonts w:ascii="Arial" w:hAnsi="Arial" w:cs="Arial"/>
          <w:sz w:val="24"/>
          <w:szCs w:val="24"/>
          <w:lang w:val="en-GB"/>
        </w:rPr>
        <w:t xml:space="preserve"> </w:t>
      </w:r>
      <w:r w:rsidR="001514A0" w:rsidRPr="00030D8D">
        <w:rPr>
          <w:rFonts w:ascii="Arial" w:hAnsi="Arial" w:cs="Arial"/>
          <w:sz w:val="24"/>
          <w:szCs w:val="24"/>
          <w:lang w:val="en-GB"/>
        </w:rPr>
        <w:t>the very imaginary of desir</w:t>
      </w:r>
      <w:r w:rsidR="004A3865">
        <w:rPr>
          <w:rFonts w:ascii="Arial" w:hAnsi="Arial" w:cs="Arial"/>
          <w:sz w:val="24"/>
          <w:szCs w:val="24"/>
          <w:lang w:val="en-GB"/>
        </w:rPr>
        <w:t>able housing</w:t>
      </w:r>
      <w:r w:rsidR="00B41E62">
        <w:rPr>
          <w:rFonts w:ascii="Arial" w:hAnsi="Arial" w:cs="Arial"/>
          <w:sz w:val="24"/>
          <w:szCs w:val="24"/>
          <w:lang w:val="en-GB"/>
        </w:rPr>
        <w:t xml:space="preserve"> and alternative proposals</w:t>
      </w:r>
      <w:r w:rsidR="004A3865">
        <w:rPr>
          <w:rFonts w:ascii="Arial" w:hAnsi="Arial" w:cs="Arial"/>
          <w:sz w:val="24"/>
          <w:szCs w:val="24"/>
          <w:lang w:val="en-GB"/>
        </w:rPr>
        <w:t>.</w:t>
      </w:r>
      <w:r w:rsidR="007D6CA2">
        <w:rPr>
          <w:rFonts w:ascii="Arial" w:hAnsi="Arial" w:cs="Arial"/>
          <w:sz w:val="24"/>
          <w:szCs w:val="24"/>
          <w:lang w:val="en-GB"/>
        </w:rPr>
        <w:t xml:space="preserve"> Concrete examples such as the ‘People’s Plan: A Viable Alternative to Demolition’</w:t>
      </w:r>
      <w:r w:rsidR="007D6CA2" w:rsidRPr="000601CC">
        <w:rPr>
          <w:rStyle w:val="FootnoteReference"/>
        </w:rPr>
        <w:footnoteReference w:id="4"/>
      </w:r>
      <w:r w:rsidR="007D6CA2">
        <w:rPr>
          <w:rFonts w:ascii="Arial" w:hAnsi="Arial" w:cs="Arial"/>
          <w:sz w:val="24"/>
          <w:szCs w:val="24"/>
          <w:lang w:val="en-GB"/>
        </w:rPr>
        <w:t xml:space="preserve"> produced for</w:t>
      </w:r>
      <w:r w:rsidR="009417B6">
        <w:rPr>
          <w:rFonts w:ascii="Arial" w:hAnsi="Arial" w:cs="Arial"/>
          <w:sz w:val="24"/>
          <w:szCs w:val="24"/>
          <w:lang w:val="en-GB"/>
        </w:rPr>
        <w:t xml:space="preserve"> the</w:t>
      </w:r>
      <w:r w:rsidR="007D6CA2">
        <w:rPr>
          <w:rFonts w:ascii="Arial" w:hAnsi="Arial" w:cs="Arial"/>
          <w:sz w:val="24"/>
          <w:szCs w:val="24"/>
          <w:lang w:val="en-GB"/>
        </w:rPr>
        <w:t xml:space="preserve"> Cressingham Garden estate in Lambeth</w:t>
      </w:r>
      <w:r w:rsidR="00E060B0">
        <w:rPr>
          <w:rFonts w:ascii="Arial" w:hAnsi="Arial" w:cs="Arial"/>
          <w:sz w:val="24"/>
          <w:szCs w:val="24"/>
          <w:lang w:val="en-GB"/>
        </w:rPr>
        <w:t>, however, remain few and far between, and the public debate lags beh</w:t>
      </w:r>
      <w:r w:rsidR="009417B6">
        <w:rPr>
          <w:rFonts w:ascii="Arial" w:hAnsi="Arial" w:cs="Arial"/>
          <w:sz w:val="24"/>
          <w:szCs w:val="24"/>
          <w:lang w:val="en-GB"/>
        </w:rPr>
        <w:t>ind. Looking ahead, more work is needed, both in academic and activist circuits, to</w:t>
      </w:r>
      <w:r w:rsidR="001E0A52">
        <w:rPr>
          <w:rFonts w:ascii="Arial" w:hAnsi="Arial" w:cs="Arial"/>
          <w:sz w:val="24"/>
          <w:szCs w:val="24"/>
          <w:lang w:val="en-GB"/>
        </w:rPr>
        <w:t xml:space="preserve"> join the dots between understanding</w:t>
      </w:r>
      <w:r w:rsidR="00E80171">
        <w:rPr>
          <w:rFonts w:ascii="Arial" w:hAnsi="Arial" w:cs="Arial"/>
          <w:sz w:val="24"/>
          <w:szCs w:val="24"/>
          <w:lang w:val="en-GB"/>
        </w:rPr>
        <w:t xml:space="preserve"> multiple forms of displacement and developing strategies for</w:t>
      </w:r>
      <w:r w:rsidR="0034161B">
        <w:rPr>
          <w:rFonts w:ascii="Arial" w:hAnsi="Arial" w:cs="Arial"/>
          <w:sz w:val="24"/>
          <w:szCs w:val="24"/>
          <w:lang w:val="en-GB"/>
        </w:rPr>
        <w:t xml:space="preserve"> a transformative understanding of</w:t>
      </w:r>
      <w:r w:rsidR="001E0A52">
        <w:rPr>
          <w:rFonts w:ascii="Arial" w:hAnsi="Arial" w:cs="Arial"/>
          <w:sz w:val="24"/>
          <w:szCs w:val="24"/>
          <w:lang w:val="en-GB"/>
        </w:rPr>
        <w:t xml:space="preserve"> </w:t>
      </w:r>
      <w:r w:rsidR="00E80171">
        <w:rPr>
          <w:rFonts w:ascii="Arial" w:hAnsi="Arial" w:cs="Arial"/>
          <w:sz w:val="24"/>
          <w:szCs w:val="24"/>
          <w:lang w:val="en-GB"/>
        </w:rPr>
        <w:t>‘staying p</w:t>
      </w:r>
      <w:r w:rsidR="001E0A52">
        <w:rPr>
          <w:rFonts w:ascii="Arial" w:hAnsi="Arial" w:cs="Arial"/>
          <w:sz w:val="24"/>
          <w:szCs w:val="24"/>
          <w:lang w:val="en-GB"/>
        </w:rPr>
        <w:t>ut</w:t>
      </w:r>
      <w:r w:rsidR="00E80171">
        <w:rPr>
          <w:rFonts w:ascii="Arial" w:hAnsi="Arial" w:cs="Arial"/>
          <w:sz w:val="24"/>
          <w:szCs w:val="24"/>
          <w:lang w:val="en-GB"/>
        </w:rPr>
        <w:t xml:space="preserve">’ </w:t>
      </w:r>
      <w:r w:rsidR="0034161B">
        <w:rPr>
          <w:rFonts w:ascii="Arial" w:hAnsi="Arial" w:cs="Arial"/>
          <w:sz w:val="24"/>
          <w:szCs w:val="24"/>
          <w:lang w:val="en-GB"/>
        </w:rPr>
        <w:t xml:space="preserve">in the ideation and implementation of </w:t>
      </w:r>
      <w:r w:rsidR="00FB0F18">
        <w:rPr>
          <w:rFonts w:ascii="Arial" w:hAnsi="Arial" w:cs="Arial"/>
          <w:sz w:val="24"/>
          <w:szCs w:val="24"/>
          <w:lang w:val="en-GB"/>
        </w:rPr>
        <w:t xml:space="preserve">permanent </w:t>
      </w:r>
      <w:r w:rsidR="001F4F0F">
        <w:rPr>
          <w:rFonts w:ascii="Arial" w:hAnsi="Arial" w:cs="Arial"/>
          <w:sz w:val="24"/>
          <w:szCs w:val="24"/>
          <w:lang w:val="en-GB"/>
        </w:rPr>
        <w:t>anti-gentrification alternatives.</w:t>
      </w:r>
    </w:p>
    <w:p w14:paraId="4D56E193" w14:textId="77777777" w:rsidR="001F4F0F" w:rsidRDefault="001F4F0F" w:rsidP="001F4F0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918ACC8" w14:textId="62A9291B" w:rsidR="001F4F0F" w:rsidRPr="001F4F0F" w:rsidRDefault="001F4F0F" w:rsidP="001F4F0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1F4F0F">
        <w:rPr>
          <w:rFonts w:ascii="Arial" w:hAnsi="Arial" w:cs="Arial"/>
          <w:b/>
          <w:sz w:val="24"/>
          <w:szCs w:val="24"/>
          <w:lang w:val="en-GB"/>
        </w:rPr>
        <w:t>References</w:t>
      </w:r>
    </w:p>
    <w:p w14:paraId="61B0161C" w14:textId="77777777" w:rsidR="00275F1A" w:rsidRPr="00275F1A" w:rsidRDefault="00214BAB" w:rsidP="00817316">
      <w:pPr>
        <w:pStyle w:val="Bibliography"/>
        <w:jc w:val="both"/>
        <w:rPr>
          <w:rFonts w:ascii="Arial" w:hAnsi="Arial" w:cs="Arial"/>
          <w:sz w:val="24"/>
        </w:rPr>
      </w:pPr>
      <w:r w:rsidRPr="00030D8D">
        <w:rPr>
          <w:rFonts w:ascii="Arial" w:hAnsi="Arial" w:cs="Arial"/>
          <w:lang w:val="en-GB"/>
        </w:rPr>
        <w:fldChar w:fldCharType="begin"/>
      </w:r>
      <w:r w:rsidR="00D75A07" w:rsidRPr="00030D8D">
        <w:rPr>
          <w:rFonts w:ascii="Arial" w:hAnsi="Arial" w:cs="Arial"/>
          <w:lang w:val="en-GB"/>
        </w:rPr>
        <w:instrText xml:space="preserve"> ADDIN ZOTERO_BIBL {"custom":[]} </w:instrText>
      </w:r>
      <w:r w:rsidRPr="00030D8D">
        <w:rPr>
          <w:rFonts w:ascii="Arial" w:hAnsi="Arial" w:cs="Arial"/>
          <w:lang w:val="en-GB"/>
        </w:rPr>
        <w:fldChar w:fldCharType="separate"/>
      </w:r>
      <w:r w:rsidR="00275F1A" w:rsidRPr="00275F1A">
        <w:rPr>
          <w:rFonts w:ascii="Arial" w:hAnsi="Arial" w:cs="Arial"/>
          <w:sz w:val="24"/>
        </w:rPr>
        <w:t>Abley, I., 2015. Brownfield first, tenants last. Architects Journal.</w:t>
      </w:r>
    </w:p>
    <w:p w14:paraId="3B4D1626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Álvarez de Andrés, E., Campos, M.J.Z., Zapata, P., 2014. Stop the evictions! The diffusion of networked social movements and the emergence of a hybrid space: The case of the Spanish Mortgage Victims Group. ResearchGate 46. doi:10.1016/j.habitatint.2014.10.002</w:t>
      </w:r>
    </w:p>
    <w:p w14:paraId="175791D0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Anti-Eviction Mapping Project, 2016. Anti-Eviction Mapping Project: Documenting the Dispossession and Resistance of SF Bay Area Residents.</w:t>
      </w:r>
    </w:p>
    <w:p w14:paraId="1581A285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Baeten, G., Westin, S., Pull, E., Molina, I., 2016. Pressure and violence: Housing renovation and displacement in Sweden. Environment and Planning A 0, 1–21.</w:t>
      </w:r>
    </w:p>
    <w:p w14:paraId="29448682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Bernt, M., 2016. Very particular, or rather universal? Gentrification through the lenses of Ghertner and López-Morales. City 20, 637–644. doi:10.1080/13604813.2016.1143682</w:t>
      </w:r>
    </w:p>
    <w:p w14:paraId="44E8F9ED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Butler, J., Athanasiou, A., 2013. Dispossession: the performative in the political, Polity Press. ed. Cambridge, UK.</w:t>
      </w:r>
    </w:p>
    <w:p w14:paraId="38C8C4A0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Cole, I., Furbey, R., 1994. The eclipse of council housing. Routledge, London ; New York.</w:t>
      </w:r>
    </w:p>
    <w:p w14:paraId="092C0B90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European Action Coalition for the Right to Housing and to the City, 2016. Evictions across Europe.</w:t>
      </w:r>
    </w:p>
    <w:p w14:paraId="79C45A31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Ghertner, D.A., 2015. Why gentrification theory fails in “much of the world.” City 19, 552–563. doi:10.1080/13604813.2015.1051745</w:t>
      </w:r>
    </w:p>
    <w:p w14:paraId="7CC5038E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Hartman, C.W., LeGates, R.T., Keating, W.D., 1982. Displacement: how to fight it. Legal Services Anti-Displacement Project, Berkeley?</w:t>
      </w:r>
    </w:p>
    <w:p w14:paraId="2D26653C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lastRenderedPageBreak/>
        <w:t>Lees, L., 2014. The Urban Injustices of New Labour’s “New Urban Renewal”: The Case of the Aylesbury Estate in London. Antipode 46, 921–947. doi:10.1111/anti.12020</w:t>
      </w:r>
    </w:p>
    <w:p w14:paraId="35067202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Lees, L., Ferreri, M., 2016. Resisting gentrification on its final frontiers: Learning from the Heygate Estate in London (1974–2013) 57, 14–24.</w:t>
      </w:r>
    </w:p>
    <w:p w14:paraId="53508DF1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Left Hand Rotation, 2017. Gentrificaciòn no es un nombre de señora, 2nd edition. ed.</w:t>
      </w:r>
    </w:p>
    <w:p w14:paraId="546240E0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London Tenants Federation, Lees, L., Just Space, Southwark Notes Archives Group, 2014. Staying Put. An anti-gentrification handbook for council estates in London. London.</w:t>
      </w:r>
    </w:p>
    <w:p w14:paraId="585FA18C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Marcuse, P., 2015. The Naturalization of Gentrification and Markets. Peter Marcuse’s Blog.</w:t>
      </w:r>
    </w:p>
    <w:p w14:paraId="67C55F55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Marcuse, P., 1985. Gentrification, abandonment and displacement: connections, causes and policy responses in New York City. Journal of Urban and Contemporary Law 195–240.</w:t>
      </w:r>
    </w:p>
    <w:p w14:paraId="19E73A2A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Marcuse, P., Madden, D., 2016. In Defense of Housing: The Politics of Crisis. Verso Books.</w:t>
      </w:r>
    </w:p>
    <w:p w14:paraId="56AF2184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Minton, A., 2017. Big Capital, Who Is London For? Penguin UK, London.</w:t>
      </w:r>
    </w:p>
    <w:p w14:paraId="17A5B101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Sánchez, G., 2017. Marcha contra el asedio inmobiliario en Barcelona. El Periódico.</w:t>
      </w:r>
    </w:p>
    <w:p w14:paraId="4A8423FE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Slater, T., 2017. Planetary Rent Gaps. Antipode 49, 114–137. doi:10.1111/anti.12185</w:t>
      </w:r>
    </w:p>
    <w:p w14:paraId="4A659CB1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Slater, T., 2009. Missing Marcuse: On gentrification and displacement. City 13, 292–311. doi:10.1080/13604810902982250</w:t>
      </w:r>
    </w:p>
    <w:p w14:paraId="37390ED7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Tracy, J., 2014. Dispatches Against Displacement: Field Notes from San Francisco s Housing Wars. AK Press, Oakland, Edinburgh, Baltimore.</w:t>
      </w:r>
    </w:p>
    <w:p w14:paraId="22FB0E19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Watt, P., Minton, A., 2016. London’s housing crisis and its activisms. City 20, 204–221. doi:10.1080/13604813.2016.1151707</w:t>
      </w:r>
    </w:p>
    <w:p w14:paraId="14588D35" w14:textId="77777777" w:rsidR="00275F1A" w:rsidRPr="00275F1A" w:rsidRDefault="00275F1A" w:rsidP="00817316">
      <w:pPr>
        <w:pStyle w:val="Bibliography"/>
        <w:jc w:val="both"/>
        <w:rPr>
          <w:rFonts w:ascii="Arial" w:hAnsi="Arial" w:cs="Arial"/>
          <w:sz w:val="24"/>
        </w:rPr>
      </w:pPr>
      <w:r w:rsidRPr="00275F1A">
        <w:rPr>
          <w:rFonts w:ascii="Arial" w:hAnsi="Arial" w:cs="Arial"/>
          <w:sz w:val="24"/>
        </w:rPr>
        <w:t>Wills, J., 2016. Building urban power from housing crisis. City 20, 292–296. doi:10.1080/13604813.2016.1143688</w:t>
      </w:r>
    </w:p>
    <w:p w14:paraId="600FB3F9" w14:textId="47B956BF" w:rsidR="00E42387" w:rsidRPr="00030D8D" w:rsidRDefault="00214BAB" w:rsidP="00817316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30D8D">
        <w:rPr>
          <w:rFonts w:ascii="Arial" w:hAnsi="Arial" w:cs="Arial"/>
          <w:sz w:val="24"/>
          <w:szCs w:val="24"/>
          <w:lang w:val="en-GB"/>
        </w:rPr>
        <w:fldChar w:fldCharType="end"/>
      </w:r>
    </w:p>
    <w:p w14:paraId="557844E4" w14:textId="77777777" w:rsidR="00E42387" w:rsidRPr="00030D8D" w:rsidRDefault="00E42387" w:rsidP="00817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ca-ES"/>
        </w:rPr>
      </w:pPr>
      <w:r w:rsidRPr="00030D8D">
        <w:rPr>
          <w:rFonts w:ascii="Arial" w:eastAsia="Times New Roman" w:hAnsi="Arial" w:cs="Arial"/>
          <w:sz w:val="24"/>
          <w:szCs w:val="24"/>
          <w:lang w:val="en-GB" w:eastAsia="ca-ES"/>
        </w:rPr>
        <w:t> </w:t>
      </w:r>
    </w:p>
    <w:p w14:paraId="01F7B081" w14:textId="77777777" w:rsidR="00E42387" w:rsidRPr="00030D8D" w:rsidRDefault="00E42387" w:rsidP="00817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ca-ES"/>
        </w:rPr>
      </w:pPr>
      <w:r w:rsidRPr="00030D8D">
        <w:rPr>
          <w:rFonts w:ascii="Arial" w:eastAsia="Times New Roman" w:hAnsi="Arial" w:cs="Arial"/>
          <w:sz w:val="24"/>
          <w:szCs w:val="24"/>
          <w:lang w:val="en-GB" w:eastAsia="ca-ES"/>
        </w:rPr>
        <w:t> </w:t>
      </w:r>
    </w:p>
    <w:p w14:paraId="163AF7E4" w14:textId="77777777" w:rsidR="00E42387" w:rsidRPr="00030D8D" w:rsidRDefault="00E42387" w:rsidP="008173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ca-ES"/>
        </w:rPr>
      </w:pPr>
    </w:p>
    <w:p w14:paraId="6F44B40E" w14:textId="77777777" w:rsidR="00E42387" w:rsidRPr="00030D8D" w:rsidRDefault="00E42387" w:rsidP="008173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ca-ES"/>
        </w:rPr>
      </w:pPr>
    </w:p>
    <w:p w14:paraId="318D5E94" w14:textId="77777777" w:rsidR="00AC76DC" w:rsidRDefault="00AC76DC" w:rsidP="00817316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F3874C2" w14:textId="77777777" w:rsidR="00030D8D" w:rsidRPr="00030D8D" w:rsidRDefault="00030D8D" w:rsidP="00817316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030D8D" w:rsidRPr="00030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02F90" w14:textId="77777777" w:rsidR="000F37DD" w:rsidRDefault="000F37DD" w:rsidP="008562BD">
      <w:pPr>
        <w:spacing w:after="0" w:line="240" w:lineRule="auto"/>
      </w:pPr>
      <w:r>
        <w:separator/>
      </w:r>
    </w:p>
  </w:endnote>
  <w:endnote w:type="continuationSeparator" w:id="0">
    <w:p w14:paraId="17077541" w14:textId="77777777" w:rsidR="000F37DD" w:rsidRDefault="000F37DD" w:rsidP="0085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4CE3A" w14:textId="77777777" w:rsidR="00267019" w:rsidRDefault="002670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053864"/>
      <w:docPartObj>
        <w:docPartGallery w:val="Page Numbers (Bottom of Page)"/>
        <w:docPartUnique/>
      </w:docPartObj>
    </w:sdtPr>
    <w:sdtEndPr/>
    <w:sdtContent>
      <w:p w14:paraId="062CDA44" w14:textId="75122C9F" w:rsidR="00267019" w:rsidRDefault="002670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CAB" w:rsidRPr="00360CAB">
          <w:rPr>
            <w:noProof/>
            <w:lang w:val="es-ES"/>
          </w:rPr>
          <w:t>1</w:t>
        </w:r>
        <w:r>
          <w:fldChar w:fldCharType="end"/>
        </w:r>
      </w:p>
    </w:sdtContent>
  </w:sdt>
  <w:p w14:paraId="076D6EFC" w14:textId="77777777" w:rsidR="00267019" w:rsidRDefault="002670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3BB1" w14:textId="77777777" w:rsidR="00267019" w:rsidRDefault="002670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D6D76" w14:textId="77777777" w:rsidR="000F37DD" w:rsidRDefault="000F37DD" w:rsidP="008562BD">
      <w:pPr>
        <w:spacing w:after="0" w:line="240" w:lineRule="auto"/>
      </w:pPr>
      <w:r>
        <w:separator/>
      </w:r>
    </w:p>
  </w:footnote>
  <w:footnote w:type="continuationSeparator" w:id="0">
    <w:p w14:paraId="599CD7AA" w14:textId="77777777" w:rsidR="000F37DD" w:rsidRDefault="000F37DD" w:rsidP="008562BD">
      <w:pPr>
        <w:spacing w:after="0" w:line="240" w:lineRule="auto"/>
      </w:pPr>
      <w:r>
        <w:continuationSeparator/>
      </w:r>
    </w:p>
  </w:footnote>
  <w:footnote w:id="1">
    <w:p w14:paraId="0942500A" w14:textId="6BFF0B34" w:rsidR="00267019" w:rsidRPr="004F4145" w:rsidRDefault="00267019" w:rsidP="0032247C">
      <w:pPr>
        <w:pStyle w:val="FootnoteText"/>
        <w:rPr>
          <w:rFonts w:ascii="Arial" w:hAnsi="Arial" w:cs="Arial"/>
          <w:sz w:val="20"/>
          <w:szCs w:val="20"/>
        </w:rPr>
      </w:pPr>
      <w:r w:rsidRPr="000601CC">
        <w:rPr>
          <w:rStyle w:val="FootnoteReference"/>
        </w:rPr>
        <w:footnoteRef/>
      </w:r>
      <w:r w:rsidRPr="004F4145">
        <w:rPr>
          <w:rFonts w:ascii="Arial" w:hAnsi="Arial" w:cs="Arial"/>
          <w:sz w:val="20"/>
          <w:szCs w:val="20"/>
        </w:rPr>
        <w:t xml:space="preserve"> Pre</w:t>
      </w:r>
      <w:r w:rsidR="00882279" w:rsidRPr="004F4145">
        <w:rPr>
          <w:rFonts w:ascii="Arial" w:hAnsi="Arial" w:cs="Arial"/>
          <w:sz w:val="20"/>
          <w:szCs w:val="20"/>
        </w:rPr>
        <w:t xml:space="preserve">sentation </w:t>
      </w:r>
      <w:r w:rsidR="00106202" w:rsidRPr="004F4145">
        <w:rPr>
          <w:rFonts w:ascii="Arial" w:hAnsi="Arial" w:cs="Arial"/>
          <w:sz w:val="20"/>
          <w:szCs w:val="20"/>
        </w:rPr>
        <w:t xml:space="preserve">‘Staying Put in London: the making of an anti-gentrification handbook’, </w:t>
      </w:r>
      <w:r w:rsidR="00106202" w:rsidRPr="004F4145">
        <w:rPr>
          <w:rFonts w:ascii="Arial" w:hAnsi="Arial" w:cs="Arial"/>
          <w:i/>
          <w:sz w:val="20"/>
          <w:szCs w:val="20"/>
        </w:rPr>
        <w:t>Gentrification: what is it?</w:t>
      </w:r>
      <w:r w:rsidR="00106202" w:rsidRPr="004F4145">
        <w:rPr>
          <w:rFonts w:ascii="Arial" w:hAnsi="Arial" w:cs="Arial"/>
          <w:sz w:val="20"/>
          <w:szCs w:val="20"/>
        </w:rPr>
        <w:t>, Göteborg Stadsmuseum and University of Gothenburg (Sweden), 4 September 2014.</w:t>
      </w:r>
    </w:p>
  </w:footnote>
  <w:footnote w:id="2">
    <w:p w14:paraId="6C70B449" w14:textId="28CCE5BC" w:rsidR="00267019" w:rsidRPr="004F4145" w:rsidRDefault="00267019">
      <w:pPr>
        <w:pStyle w:val="FootnoteText"/>
        <w:rPr>
          <w:rFonts w:ascii="Arial" w:hAnsi="Arial" w:cs="Arial"/>
          <w:sz w:val="20"/>
          <w:szCs w:val="20"/>
        </w:rPr>
      </w:pPr>
      <w:r w:rsidRPr="000601CC">
        <w:rPr>
          <w:rStyle w:val="FootnoteReference"/>
        </w:rPr>
        <w:footnoteRef/>
      </w:r>
      <w:r w:rsidRPr="004F4145">
        <w:rPr>
          <w:rFonts w:ascii="Arial" w:hAnsi="Arial" w:cs="Arial"/>
          <w:sz w:val="20"/>
          <w:szCs w:val="20"/>
        </w:rPr>
        <w:t xml:space="preserve"> </w:t>
      </w:r>
      <w:r w:rsidR="004F4145">
        <w:rPr>
          <w:rFonts w:ascii="Arial" w:hAnsi="Arial" w:cs="Arial"/>
          <w:sz w:val="20"/>
          <w:szCs w:val="20"/>
        </w:rPr>
        <w:t xml:space="preserve">See </w:t>
      </w:r>
      <w:r w:rsidRPr="004F4145">
        <w:rPr>
          <w:rFonts w:ascii="Arial" w:hAnsi="Arial" w:cs="Arial"/>
          <w:sz w:val="20"/>
          <w:szCs w:val="20"/>
        </w:rPr>
        <w:t>http://www.museodelosdesplazados.com/</w:t>
      </w:r>
    </w:p>
  </w:footnote>
  <w:footnote w:id="3">
    <w:p w14:paraId="7DD20CF6" w14:textId="57961EEF" w:rsidR="00267019" w:rsidRPr="003E4790" w:rsidRDefault="00267019">
      <w:pPr>
        <w:pStyle w:val="FootnoteText"/>
        <w:rPr>
          <w:rFonts w:ascii="Arial" w:hAnsi="Arial" w:cs="Arial"/>
          <w:sz w:val="20"/>
          <w:szCs w:val="20"/>
        </w:rPr>
      </w:pPr>
      <w:r w:rsidRPr="000601CC">
        <w:rPr>
          <w:rStyle w:val="FootnoteReference"/>
        </w:rPr>
        <w:footnoteRef/>
      </w:r>
      <w:r w:rsidRPr="003E4790">
        <w:rPr>
          <w:rFonts w:ascii="Arial" w:hAnsi="Arial" w:cs="Arial"/>
          <w:sz w:val="20"/>
          <w:szCs w:val="20"/>
        </w:rPr>
        <w:t xml:space="preserve"> </w:t>
      </w:r>
      <w:r w:rsidR="004F4145" w:rsidRPr="003E4790">
        <w:rPr>
          <w:rFonts w:ascii="Arial" w:hAnsi="Arial" w:cs="Arial"/>
          <w:sz w:val="20"/>
          <w:szCs w:val="20"/>
        </w:rPr>
        <w:t xml:space="preserve">See </w:t>
      </w:r>
      <w:r w:rsidRPr="003E4790">
        <w:rPr>
          <w:rFonts w:ascii="Arial" w:hAnsi="Arial" w:cs="Arial"/>
          <w:sz w:val="20"/>
          <w:szCs w:val="20"/>
        </w:rPr>
        <w:t>https://southwarknotes.wordpress.com/heygate-estate/heygate-dispacement-maps/</w:t>
      </w:r>
    </w:p>
  </w:footnote>
  <w:footnote w:id="4">
    <w:p w14:paraId="60EA14AA" w14:textId="25FCB692" w:rsidR="007D6CA2" w:rsidRPr="004F4145" w:rsidRDefault="007D6CA2" w:rsidP="007D6CA2">
      <w:pPr>
        <w:pStyle w:val="FootnoteText"/>
        <w:rPr>
          <w:rFonts w:ascii="Arial" w:hAnsi="Arial" w:cs="Arial"/>
          <w:sz w:val="20"/>
          <w:szCs w:val="20"/>
        </w:rPr>
      </w:pPr>
      <w:r w:rsidRPr="000601CC">
        <w:rPr>
          <w:rStyle w:val="FootnoteReference"/>
        </w:rPr>
        <w:footnoteRef/>
      </w:r>
      <w:r w:rsidRPr="004F4145">
        <w:rPr>
          <w:rFonts w:ascii="Arial" w:hAnsi="Arial" w:cs="Arial"/>
          <w:sz w:val="20"/>
          <w:szCs w:val="20"/>
        </w:rPr>
        <w:t xml:space="preserve"> </w:t>
      </w:r>
      <w:r w:rsidR="00FF5CFD">
        <w:rPr>
          <w:rFonts w:ascii="Arial" w:hAnsi="Arial" w:cs="Arial"/>
          <w:sz w:val="20"/>
          <w:szCs w:val="20"/>
        </w:rPr>
        <w:t xml:space="preserve">See </w:t>
      </w:r>
      <w:r w:rsidRPr="004F4145">
        <w:rPr>
          <w:rFonts w:ascii="Arial" w:hAnsi="Arial" w:cs="Arial"/>
          <w:sz w:val="20"/>
          <w:szCs w:val="20"/>
        </w:rPr>
        <w:t>http://cressinghampeoplesplan.org.uk/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4FC5B" w14:textId="4CA416A9" w:rsidR="00267019" w:rsidRDefault="0026701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C9EF3" w14:textId="0739BA13" w:rsidR="00267019" w:rsidRDefault="0026701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AE709" w14:textId="4E062E3B" w:rsidR="00267019" w:rsidRDefault="002670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AEA"/>
    <w:multiLevelType w:val="hybridMultilevel"/>
    <w:tmpl w:val="F848981C"/>
    <w:lvl w:ilvl="0" w:tplc="BD7CE9B2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32AF"/>
    <w:multiLevelType w:val="hybridMultilevel"/>
    <w:tmpl w:val="69927968"/>
    <w:lvl w:ilvl="0" w:tplc="8F7879B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50654"/>
    <w:multiLevelType w:val="hybridMultilevel"/>
    <w:tmpl w:val="254E6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5EDF"/>
    <w:multiLevelType w:val="hybridMultilevel"/>
    <w:tmpl w:val="C93ED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765EC"/>
    <w:multiLevelType w:val="hybridMultilevel"/>
    <w:tmpl w:val="AD5628A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6E7E"/>
    <w:multiLevelType w:val="hybridMultilevel"/>
    <w:tmpl w:val="D0888172"/>
    <w:lvl w:ilvl="0" w:tplc="A5321B5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34E30"/>
    <w:multiLevelType w:val="hybridMultilevel"/>
    <w:tmpl w:val="606EE110"/>
    <w:lvl w:ilvl="0" w:tplc="DF068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93323"/>
    <w:multiLevelType w:val="hybridMultilevel"/>
    <w:tmpl w:val="C6A40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6FBD"/>
    <w:multiLevelType w:val="hybridMultilevel"/>
    <w:tmpl w:val="E646B736"/>
    <w:lvl w:ilvl="0" w:tplc="A5321B5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C5872"/>
    <w:multiLevelType w:val="multilevel"/>
    <w:tmpl w:val="D280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BD"/>
    <w:rsid w:val="000002DD"/>
    <w:rsid w:val="00001A14"/>
    <w:rsid w:val="00001E6E"/>
    <w:rsid w:val="000060AA"/>
    <w:rsid w:val="00010026"/>
    <w:rsid w:val="00012FBE"/>
    <w:rsid w:val="00013F48"/>
    <w:rsid w:val="00015861"/>
    <w:rsid w:val="000162A7"/>
    <w:rsid w:val="000200C8"/>
    <w:rsid w:val="000205A9"/>
    <w:rsid w:val="00021277"/>
    <w:rsid w:val="00021D49"/>
    <w:rsid w:val="0002216A"/>
    <w:rsid w:val="000222B1"/>
    <w:rsid w:val="000307CF"/>
    <w:rsid w:val="00030D8D"/>
    <w:rsid w:val="000322F6"/>
    <w:rsid w:val="00032460"/>
    <w:rsid w:val="000344A9"/>
    <w:rsid w:val="000348B8"/>
    <w:rsid w:val="00041C35"/>
    <w:rsid w:val="000440C3"/>
    <w:rsid w:val="00050098"/>
    <w:rsid w:val="00050835"/>
    <w:rsid w:val="00051D33"/>
    <w:rsid w:val="000523F7"/>
    <w:rsid w:val="000528BA"/>
    <w:rsid w:val="000548AB"/>
    <w:rsid w:val="000601CC"/>
    <w:rsid w:val="000653FB"/>
    <w:rsid w:val="00074422"/>
    <w:rsid w:val="00074BDB"/>
    <w:rsid w:val="000755B2"/>
    <w:rsid w:val="00075691"/>
    <w:rsid w:val="00081835"/>
    <w:rsid w:val="00082C47"/>
    <w:rsid w:val="000875C7"/>
    <w:rsid w:val="00091331"/>
    <w:rsid w:val="000953B1"/>
    <w:rsid w:val="000A0C66"/>
    <w:rsid w:val="000A2BC8"/>
    <w:rsid w:val="000A53C4"/>
    <w:rsid w:val="000B5232"/>
    <w:rsid w:val="000B5FEB"/>
    <w:rsid w:val="000C07F8"/>
    <w:rsid w:val="000C1678"/>
    <w:rsid w:val="000C418F"/>
    <w:rsid w:val="000C452A"/>
    <w:rsid w:val="000C459D"/>
    <w:rsid w:val="000D2282"/>
    <w:rsid w:val="000D61CB"/>
    <w:rsid w:val="000E27A2"/>
    <w:rsid w:val="000E5408"/>
    <w:rsid w:val="000E75D5"/>
    <w:rsid w:val="000F37DD"/>
    <w:rsid w:val="000F4006"/>
    <w:rsid w:val="000F741E"/>
    <w:rsid w:val="00105549"/>
    <w:rsid w:val="00106202"/>
    <w:rsid w:val="00110286"/>
    <w:rsid w:val="001111FC"/>
    <w:rsid w:val="00131117"/>
    <w:rsid w:val="00131F59"/>
    <w:rsid w:val="0013741D"/>
    <w:rsid w:val="00144EE6"/>
    <w:rsid w:val="00146716"/>
    <w:rsid w:val="001468DE"/>
    <w:rsid w:val="00147169"/>
    <w:rsid w:val="00147B21"/>
    <w:rsid w:val="00147EB7"/>
    <w:rsid w:val="001514A0"/>
    <w:rsid w:val="00152F4E"/>
    <w:rsid w:val="00160339"/>
    <w:rsid w:val="00160D19"/>
    <w:rsid w:val="00160F35"/>
    <w:rsid w:val="00165B6E"/>
    <w:rsid w:val="00166149"/>
    <w:rsid w:val="0017008E"/>
    <w:rsid w:val="00171A0B"/>
    <w:rsid w:val="0017322D"/>
    <w:rsid w:val="001753C7"/>
    <w:rsid w:val="001759D3"/>
    <w:rsid w:val="001772BD"/>
    <w:rsid w:val="00177852"/>
    <w:rsid w:val="00181F54"/>
    <w:rsid w:val="001862E9"/>
    <w:rsid w:val="001863C7"/>
    <w:rsid w:val="001946CB"/>
    <w:rsid w:val="00196AA5"/>
    <w:rsid w:val="001A12C5"/>
    <w:rsid w:val="001A2B12"/>
    <w:rsid w:val="001A78E4"/>
    <w:rsid w:val="001B38B2"/>
    <w:rsid w:val="001B551F"/>
    <w:rsid w:val="001B6485"/>
    <w:rsid w:val="001C57DD"/>
    <w:rsid w:val="001C5D2E"/>
    <w:rsid w:val="001C76CF"/>
    <w:rsid w:val="001D1A56"/>
    <w:rsid w:val="001D3A57"/>
    <w:rsid w:val="001D5810"/>
    <w:rsid w:val="001E0A52"/>
    <w:rsid w:val="001E18B0"/>
    <w:rsid w:val="001F29B8"/>
    <w:rsid w:val="001F3344"/>
    <w:rsid w:val="001F431C"/>
    <w:rsid w:val="001F4F0F"/>
    <w:rsid w:val="001F69FF"/>
    <w:rsid w:val="00201132"/>
    <w:rsid w:val="002025D6"/>
    <w:rsid w:val="0020341F"/>
    <w:rsid w:val="00210AF0"/>
    <w:rsid w:val="00212DF4"/>
    <w:rsid w:val="002134CC"/>
    <w:rsid w:val="00214BAB"/>
    <w:rsid w:val="00215897"/>
    <w:rsid w:val="00220D21"/>
    <w:rsid w:val="002242DD"/>
    <w:rsid w:val="00225101"/>
    <w:rsid w:val="00225509"/>
    <w:rsid w:val="002308F5"/>
    <w:rsid w:val="00234A8D"/>
    <w:rsid w:val="00235B9E"/>
    <w:rsid w:val="00237EDE"/>
    <w:rsid w:val="00244F95"/>
    <w:rsid w:val="0024597D"/>
    <w:rsid w:val="00250DA4"/>
    <w:rsid w:val="0025597C"/>
    <w:rsid w:val="002650FD"/>
    <w:rsid w:val="00266EA1"/>
    <w:rsid w:val="00267019"/>
    <w:rsid w:val="00272DAB"/>
    <w:rsid w:val="00275F1A"/>
    <w:rsid w:val="00281DDC"/>
    <w:rsid w:val="00287264"/>
    <w:rsid w:val="002959B3"/>
    <w:rsid w:val="002A293D"/>
    <w:rsid w:val="002A6AF2"/>
    <w:rsid w:val="002A7006"/>
    <w:rsid w:val="002B273B"/>
    <w:rsid w:val="002B6619"/>
    <w:rsid w:val="002B7AAE"/>
    <w:rsid w:val="002C0950"/>
    <w:rsid w:val="002C4B74"/>
    <w:rsid w:val="002D1648"/>
    <w:rsid w:val="002D655A"/>
    <w:rsid w:val="002D6956"/>
    <w:rsid w:val="002D69CA"/>
    <w:rsid w:val="002D7451"/>
    <w:rsid w:val="002E2BF9"/>
    <w:rsid w:val="002E5AA3"/>
    <w:rsid w:val="002E5B4A"/>
    <w:rsid w:val="002E5E61"/>
    <w:rsid w:val="002E5EE9"/>
    <w:rsid w:val="002F1B60"/>
    <w:rsid w:val="002F51BA"/>
    <w:rsid w:val="002F5BA2"/>
    <w:rsid w:val="00301040"/>
    <w:rsid w:val="00301114"/>
    <w:rsid w:val="00303C8E"/>
    <w:rsid w:val="00303D4D"/>
    <w:rsid w:val="00305CF0"/>
    <w:rsid w:val="00312890"/>
    <w:rsid w:val="00312E78"/>
    <w:rsid w:val="00315018"/>
    <w:rsid w:val="00315C44"/>
    <w:rsid w:val="0032247C"/>
    <w:rsid w:val="003250A1"/>
    <w:rsid w:val="003279BB"/>
    <w:rsid w:val="00336332"/>
    <w:rsid w:val="00337F52"/>
    <w:rsid w:val="0034161B"/>
    <w:rsid w:val="0034260D"/>
    <w:rsid w:val="0034336F"/>
    <w:rsid w:val="00345A7A"/>
    <w:rsid w:val="00346687"/>
    <w:rsid w:val="00352F51"/>
    <w:rsid w:val="00357392"/>
    <w:rsid w:val="003576C0"/>
    <w:rsid w:val="00360CAB"/>
    <w:rsid w:val="00362448"/>
    <w:rsid w:val="00365876"/>
    <w:rsid w:val="00367BB8"/>
    <w:rsid w:val="00372247"/>
    <w:rsid w:val="003758ED"/>
    <w:rsid w:val="00377BA4"/>
    <w:rsid w:val="00377D2D"/>
    <w:rsid w:val="0038022F"/>
    <w:rsid w:val="0038134A"/>
    <w:rsid w:val="00382543"/>
    <w:rsid w:val="00382BBE"/>
    <w:rsid w:val="003852E3"/>
    <w:rsid w:val="00387A37"/>
    <w:rsid w:val="00387FC4"/>
    <w:rsid w:val="00390A12"/>
    <w:rsid w:val="0039258F"/>
    <w:rsid w:val="00392F2A"/>
    <w:rsid w:val="00393235"/>
    <w:rsid w:val="003A09B1"/>
    <w:rsid w:val="003A341B"/>
    <w:rsid w:val="003A5D73"/>
    <w:rsid w:val="003A69EA"/>
    <w:rsid w:val="003A76AC"/>
    <w:rsid w:val="003B021B"/>
    <w:rsid w:val="003B197B"/>
    <w:rsid w:val="003C18A6"/>
    <w:rsid w:val="003C3530"/>
    <w:rsid w:val="003C4352"/>
    <w:rsid w:val="003C5A2D"/>
    <w:rsid w:val="003D240F"/>
    <w:rsid w:val="003D5EEE"/>
    <w:rsid w:val="003E13B1"/>
    <w:rsid w:val="003E2D1A"/>
    <w:rsid w:val="003E39E3"/>
    <w:rsid w:val="003E4790"/>
    <w:rsid w:val="003E57F5"/>
    <w:rsid w:val="003F2BD3"/>
    <w:rsid w:val="003F3F88"/>
    <w:rsid w:val="003F4685"/>
    <w:rsid w:val="00400020"/>
    <w:rsid w:val="00403016"/>
    <w:rsid w:val="0040496E"/>
    <w:rsid w:val="00404A29"/>
    <w:rsid w:val="00405759"/>
    <w:rsid w:val="00411FA9"/>
    <w:rsid w:val="0041329D"/>
    <w:rsid w:val="00415A46"/>
    <w:rsid w:val="00416EC5"/>
    <w:rsid w:val="00420D02"/>
    <w:rsid w:val="00421907"/>
    <w:rsid w:val="00421F7B"/>
    <w:rsid w:val="004227A8"/>
    <w:rsid w:val="00424060"/>
    <w:rsid w:val="0042584C"/>
    <w:rsid w:val="00432023"/>
    <w:rsid w:val="004343D5"/>
    <w:rsid w:val="00435EB8"/>
    <w:rsid w:val="00441F77"/>
    <w:rsid w:val="00444FA6"/>
    <w:rsid w:val="00450DBF"/>
    <w:rsid w:val="00450F4A"/>
    <w:rsid w:val="004515DC"/>
    <w:rsid w:val="004527F1"/>
    <w:rsid w:val="00455F33"/>
    <w:rsid w:val="00456A80"/>
    <w:rsid w:val="00462B68"/>
    <w:rsid w:val="004642C4"/>
    <w:rsid w:val="004645BB"/>
    <w:rsid w:val="0046740A"/>
    <w:rsid w:val="00477F8F"/>
    <w:rsid w:val="00487A21"/>
    <w:rsid w:val="00490D83"/>
    <w:rsid w:val="004910B0"/>
    <w:rsid w:val="00492AE8"/>
    <w:rsid w:val="00492C83"/>
    <w:rsid w:val="00495AA4"/>
    <w:rsid w:val="004A3865"/>
    <w:rsid w:val="004A66C0"/>
    <w:rsid w:val="004A7909"/>
    <w:rsid w:val="004B09E4"/>
    <w:rsid w:val="004B4AD1"/>
    <w:rsid w:val="004B7E9A"/>
    <w:rsid w:val="004C7510"/>
    <w:rsid w:val="004D06D7"/>
    <w:rsid w:val="004D2C75"/>
    <w:rsid w:val="004D4582"/>
    <w:rsid w:val="004D59E3"/>
    <w:rsid w:val="004D655A"/>
    <w:rsid w:val="004E2E74"/>
    <w:rsid w:val="004E3CAC"/>
    <w:rsid w:val="004E508D"/>
    <w:rsid w:val="004E740E"/>
    <w:rsid w:val="004F0257"/>
    <w:rsid w:val="004F4145"/>
    <w:rsid w:val="004F4C31"/>
    <w:rsid w:val="004F7401"/>
    <w:rsid w:val="004F7760"/>
    <w:rsid w:val="0050319B"/>
    <w:rsid w:val="005153A0"/>
    <w:rsid w:val="00531B4A"/>
    <w:rsid w:val="00532643"/>
    <w:rsid w:val="00534094"/>
    <w:rsid w:val="005347CA"/>
    <w:rsid w:val="005412BB"/>
    <w:rsid w:val="00541DE0"/>
    <w:rsid w:val="00545A01"/>
    <w:rsid w:val="005470D1"/>
    <w:rsid w:val="005501FD"/>
    <w:rsid w:val="00551580"/>
    <w:rsid w:val="005522C7"/>
    <w:rsid w:val="00554631"/>
    <w:rsid w:val="00561D9D"/>
    <w:rsid w:val="005661FC"/>
    <w:rsid w:val="00567B8F"/>
    <w:rsid w:val="005717C5"/>
    <w:rsid w:val="00573EE4"/>
    <w:rsid w:val="00576728"/>
    <w:rsid w:val="00584588"/>
    <w:rsid w:val="00584E36"/>
    <w:rsid w:val="00591F82"/>
    <w:rsid w:val="0059366E"/>
    <w:rsid w:val="00594C09"/>
    <w:rsid w:val="00595515"/>
    <w:rsid w:val="00596CC0"/>
    <w:rsid w:val="005A3B08"/>
    <w:rsid w:val="005B1BD1"/>
    <w:rsid w:val="005B58A5"/>
    <w:rsid w:val="005B7104"/>
    <w:rsid w:val="005B714D"/>
    <w:rsid w:val="005C0788"/>
    <w:rsid w:val="005C1178"/>
    <w:rsid w:val="005C22AC"/>
    <w:rsid w:val="005C2C33"/>
    <w:rsid w:val="005D30B5"/>
    <w:rsid w:val="005D3236"/>
    <w:rsid w:val="005D361C"/>
    <w:rsid w:val="005D4509"/>
    <w:rsid w:val="005D5D80"/>
    <w:rsid w:val="005D5F17"/>
    <w:rsid w:val="005D710C"/>
    <w:rsid w:val="005D77FC"/>
    <w:rsid w:val="005E051D"/>
    <w:rsid w:val="005E0672"/>
    <w:rsid w:val="005E633E"/>
    <w:rsid w:val="005E7BEF"/>
    <w:rsid w:val="005F28CD"/>
    <w:rsid w:val="005F6DA4"/>
    <w:rsid w:val="006023BD"/>
    <w:rsid w:val="00602969"/>
    <w:rsid w:val="00606BBF"/>
    <w:rsid w:val="00607188"/>
    <w:rsid w:val="00610514"/>
    <w:rsid w:val="00610F8B"/>
    <w:rsid w:val="006122C2"/>
    <w:rsid w:val="00616C33"/>
    <w:rsid w:val="00617AD3"/>
    <w:rsid w:val="0062127E"/>
    <w:rsid w:val="00625C6A"/>
    <w:rsid w:val="00626BBA"/>
    <w:rsid w:val="006276AB"/>
    <w:rsid w:val="00635B6B"/>
    <w:rsid w:val="006405EB"/>
    <w:rsid w:val="0064180D"/>
    <w:rsid w:val="00641920"/>
    <w:rsid w:val="00643202"/>
    <w:rsid w:val="00643E87"/>
    <w:rsid w:val="00646325"/>
    <w:rsid w:val="006516B2"/>
    <w:rsid w:val="00655E41"/>
    <w:rsid w:val="00661415"/>
    <w:rsid w:val="00665D90"/>
    <w:rsid w:val="00666BA0"/>
    <w:rsid w:val="00670C2F"/>
    <w:rsid w:val="006762D4"/>
    <w:rsid w:val="00681819"/>
    <w:rsid w:val="00686A2B"/>
    <w:rsid w:val="00697946"/>
    <w:rsid w:val="00697C05"/>
    <w:rsid w:val="006A1087"/>
    <w:rsid w:val="006A1DF3"/>
    <w:rsid w:val="006B0BCA"/>
    <w:rsid w:val="006B35EE"/>
    <w:rsid w:val="006B3B6F"/>
    <w:rsid w:val="006B3C2D"/>
    <w:rsid w:val="006C0305"/>
    <w:rsid w:val="006C0469"/>
    <w:rsid w:val="006C106C"/>
    <w:rsid w:val="006C1AD6"/>
    <w:rsid w:val="006C2B71"/>
    <w:rsid w:val="006C50E1"/>
    <w:rsid w:val="006C5771"/>
    <w:rsid w:val="006C6A2F"/>
    <w:rsid w:val="006D0503"/>
    <w:rsid w:val="006D08A2"/>
    <w:rsid w:val="006D08A3"/>
    <w:rsid w:val="006D090B"/>
    <w:rsid w:val="006D5378"/>
    <w:rsid w:val="006D5E2C"/>
    <w:rsid w:val="006D66E8"/>
    <w:rsid w:val="006D732C"/>
    <w:rsid w:val="006E0D7F"/>
    <w:rsid w:val="006E200E"/>
    <w:rsid w:val="006E4DD6"/>
    <w:rsid w:val="006E5466"/>
    <w:rsid w:val="006E6710"/>
    <w:rsid w:val="007041C0"/>
    <w:rsid w:val="00705E05"/>
    <w:rsid w:val="0071171D"/>
    <w:rsid w:val="00712352"/>
    <w:rsid w:val="00714097"/>
    <w:rsid w:val="00714100"/>
    <w:rsid w:val="00714107"/>
    <w:rsid w:val="00716641"/>
    <w:rsid w:val="00723120"/>
    <w:rsid w:val="00726E62"/>
    <w:rsid w:val="00737141"/>
    <w:rsid w:val="00740348"/>
    <w:rsid w:val="007426FD"/>
    <w:rsid w:val="00742ECC"/>
    <w:rsid w:val="00743AC3"/>
    <w:rsid w:val="00743C2B"/>
    <w:rsid w:val="0074427F"/>
    <w:rsid w:val="00746977"/>
    <w:rsid w:val="007543DA"/>
    <w:rsid w:val="00754A93"/>
    <w:rsid w:val="007559AF"/>
    <w:rsid w:val="0076222B"/>
    <w:rsid w:val="00763545"/>
    <w:rsid w:val="00766D29"/>
    <w:rsid w:val="007712C7"/>
    <w:rsid w:val="007751FE"/>
    <w:rsid w:val="00775B4E"/>
    <w:rsid w:val="007830EE"/>
    <w:rsid w:val="007911EC"/>
    <w:rsid w:val="007920FC"/>
    <w:rsid w:val="00792F3C"/>
    <w:rsid w:val="00793DA0"/>
    <w:rsid w:val="00793E70"/>
    <w:rsid w:val="00795BDE"/>
    <w:rsid w:val="007A0806"/>
    <w:rsid w:val="007A190A"/>
    <w:rsid w:val="007A1F5A"/>
    <w:rsid w:val="007B1DCA"/>
    <w:rsid w:val="007B331C"/>
    <w:rsid w:val="007C0824"/>
    <w:rsid w:val="007C4072"/>
    <w:rsid w:val="007C4A9B"/>
    <w:rsid w:val="007C70B5"/>
    <w:rsid w:val="007D4078"/>
    <w:rsid w:val="007D4336"/>
    <w:rsid w:val="007D583A"/>
    <w:rsid w:val="007D6CA2"/>
    <w:rsid w:val="007E2069"/>
    <w:rsid w:val="007E5A1A"/>
    <w:rsid w:val="007E69DF"/>
    <w:rsid w:val="007E6C85"/>
    <w:rsid w:val="007F0ADA"/>
    <w:rsid w:val="007F12F9"/>
    <w:rsid w:val="007F1493"/>
    <w:rsid w:val="007F4891"/>
    <w:rsid w:val="007F64C8"/>
    <w:rsid w:val="00801F76"/>
    <w:rsid w:val="008027B4"/>
    <w:rsid w:val="00810EC3"/>
    <w:rsid w:val="00812F32"/>
    <w:rsid w:val="008141E1"/>
    <w:rsid w:val="00817316"/>
    <w:rsid w:val="00820C5E"/>
    <w:rsid w:val="00821F7F"/>
    <w:rsid w:val="00824351"/>
    <w:rsid w:val="00832290"/>
    <w:rsid w:val="00833DD3"/>
    <w:rsid w:val="008361EB"/>
    <w:rsid w:val="008368EC"/>
    <w:rsid w:val="00837F02"/>
    <w:rsid w:val="00846DA6"/>
    <w:rsid w:val="008538E0"/>
    <w:rsid w:val="0085415F"/>
    <w:rsid w:val="008562BD"/>
    <w:rsid w:val="008643B9"/>
    <w:rsid w:val="00865619"/>
    <w:rsid w:val="00873361"/>
    <w:rsid w:val="00873423"/>
    <w:rsid w:val="008746C3"/>
    <w:rsid w:val="00877959"/>
    <w:rsid w:val="00882279"/>
    <w:rsid w:val="00883551"/>
    <w:rsid w:val="008859C7"/>
    <w:rsid w:val="00887390"/>
    <w:rsid w:val="0088754F"/>
    <w:rsid w:val="00894C48"/>
    <w:rsid w:val="008972E8"/>
    <w:rsid w:val="00897780"/>
    <w:rsid w:val="008A3611"/>
    <w:rsid w:val="008A59E9"/>
    <w:rsid w:val="008C03DE"/>
    <w:rsid w:val="008C1622"/>
    <w:rsid w:val="008C5603"/>
    <w:rsid w:val="008C5E39"/>
    <w:rsid w:val="008D135D"/>
    <w:rsid w:val="008D686F"/>
    <w:rsid w:val="008E3F38"/>
    <w:rsid w:val="008E6B19"/>
    <w:rsid w:val="008E7D3D"/>
    <w:rsid w:val="008F0ECF"/>
    <w:rsid w:val="008F4585"/>
    <w:rsid w:val="008F5879"/>
    <w:rsid w:val="00900CB8"/>
    <w:rsid w:val="00901BED"/>
    <w:rsid w:val="00904CF9"/>
    <w:rsid w:val="00905A0A"/>
    <w:rsid w:val="0091232B"/>
    <w:rsid w:val="009128C0"/>
    <w:rsid w:val="00912C0B"/>
    <w:rsid w:val="009135B6"/>
    <w:rsid w:val="00913821"/>
    <w:rsid w:val="009264C1"/>
    <w:rsid w:val="00927F9E"/>
    <w:rsid w:val="009309D7"/>
    <w:rsid w:val="009337D4"/>
    <w:rsid w:val="0094042F"/>
    <w:rsid w:val="009417B6"/>
    <w:rsid w:val="0094417F"/>
    <w:rsid w:val="00946388"/>
    <w:rsid w:val="00947568"/>
    <w:rsid w:val="0095482F"/>
    <w:rsid w:val="009570BE"/>
    <w:rsid w:val="009574D0"/>
    <w:rsid w:val="009579B2"/>
    <w:rsid w:val="00957AF4"/>
    <w:rsid w:val="00957E6B"/>
    <w:rsid w:val="00960A8A"/>
    <w:rsid w:val="009623FC"/>
    <w:rsid w:val="009635B6"/>
    <w:rsid w:val="0096441A"/>
    <w:rsid w:val="00966BF2"/>
    <w:rsid w:val="00966F18"/>
    <w:rsid w:val="009702E8"/>
    <w:rsid w:val="009721F9"/>
    <w:rsid w:val="00972AFB"/>
    <w:rsid w:val="00974CF8"/>
    <w:rsid w:val="00980048"/>
    <w:rsid w:val="00982AD2"/>
    <w:rsid w:val="00983704"/>
    <w:rsid w:val="00983B5B"/>
    <w:rsid w:val="009846CD"/>
    <w:rsid w:val="00985339"/>
    <w:rsid w:val="00987750"/>
    <w:rsid w:val="00987DC0"/>
    <w:rsid w:val="00992FF2"/>
    <w:rsid w:val="00993EFE"/>
    <w:rsid w:val="00995D3C"/>
    <w:rsid w:val="00995DE6"/>
    <w:rsid w:val="00996805"/>
    <w:rsid w:val="009971AD"/>
    <w:rsid w:val="009A64A3"/>
    <w:rsid w:val="009B0F88"/>
    <w:rsid w:val="009B475A"/>
    <w:rsid w:val="009B704C"/>
    <w:rsid w:val="009C153A"/>
    <w:rsid w:val="009C19EB"/>
    <w:rsid w:val="009C2F82"/>
    <w:rsid w:val="009C5B70"/>
    <w:rsid w:val="009C6EB3"/>
    <w:rsid w:val="009C7500"/>
    <w:rsid w:val="009D037D"/>
    <w:rsid w:val="009D14AB"/>
    <w:rsid w:val="009D24CD"/>
    <w:rsid w:val="009D2B5A"/>
    <w:rsid w:val="009D3B12"/>
    <w:rsid w:val="009D7CB8"/>
    <w:rsid w:val="009E0B8C"/>
    <w:rsid w:val="009E2374"/>
    <w:rsid w:val="009E35F7"/>
    <w:rsid w:val="009E3F37"/>
    <w:rsid w:val="009E492D"/>
    <w:rsid w:val="009E63FA"/>
    <w:rsid w:val="009E69F6"/>
    <w:rsid w:val="009F18A4"/>
    <w:rsid w:val="009F425F"/>
    <w:rsid w:val="009F54D8"/>
    <w:rsid w:val="009F5DB8"/>
    <w:rsid w:val="00A0140E"/>
    <w:rsid w:val="00A02FC3"/>
    <w:rsid w:val="00A04E15"/>
    <w:rsid w:val="00A07A1E"/>
    <w:rsid w:val="00A147A7"/>
    <w:rsid w:val="00A15326"/>
    <w:rsid w:val="00A1540B"/>
    <w:rsid w:val="00A16F1F"/>
    <w:rsid w:val="00A17BA0"/>
    <w:rsid w:val="00A272A8"/>
    <w:rsid w:val="00A40EAD"/>
    <w:rsid w:val="00A43DC4"/>
    <w:rsid w:val="00A4559A"/>
    <w:rsid w:val="00A475EF"/>
    <w:rsid w:val="00A50978"/>
    <w:rsid w:val="00A51599"/>
    <w:rsid w:val="00A54FDF"/>
    <w:rsid w:val="00A5570B"/>
    <w:rsid w:val="00A564EC"/>
    <w:rsid w:val="00A578F4"/>
    <w:rsid w:val="00A57A6F"/>
    <w:rsid w:val="00A60383"/>
    <w:rsid w:val="00A62B8B"/>
    <w:rsid w:val="00A64ABD"/>
    <w:rsid w:val="00A66114"/>
    <w:rsid w:val="00A80344"/>
    <w:rsid w:val="00A80908"/>
    <w:rsid w:val="00A80948"/>
    <w:rsid w:val="00A80CD1"/>
    <w:rsid w:val="00A81BAE"/>
    <w:rsid w:val="00A81F19"/>
    <w:rsid w:val="00A83826"/>
    <w:rsid w:val="00A84C83"/>
    <w:rsid w:val="00A84F8A"/>
    <w:rsid w:val="00A90EA5"/>
    <w:rsid w:val="00A977FE"/>
    <w:rsid w:val="00AA1D2A"/>
    <w:rsid w:val="00AA471F"/>
    <w:rsid w:val="00AA76CD"/>
    <w:rsid w:val="00AA7BFB"/>
    <w:rsid w:val="00AB4DAD"/>
    <w:rsid w:val="00AB569D"/>
    <w:rsid w:val="00AB5AA4"/>
    <w:rsid w:val="00AC0BF2"/>
    <w:rsid w:val="00AC6D92"/>
    <w:rsid w:val="00AC76DC"/>
    <w:rsid w:val="00AC7BE7"/>
    <w:rsid w:val="00AE0BCC"/>
    <w:rsid w:val="00AE5175"/>
    <w:rsid w:val="00AF127D"/>
    <w:rsid w:val="00B0607B"/>
    <w:rsid w:val="00B07FD4"/>
    <w:rsid w:val="00B10BE5"/>
    <w:rsid w:val="00B150DC"/>
    <w:rsid w:val="00B21517"/>
    <w:rsid w:val="00B229BE"/>
    <w:rsid w:val="00B2437A"/>
    <w:rsid w:val="00B26474"/>
    <w:rsid w:val="00B30379"/>
    <w:rsid w:val="00B32B30"/>
    <w:rsid w:val="00B34560"/>
    <w:rsid w:val="00B35D9E"/>
    <w:rsid w:val="00B37A25"/>
    <w:rsid w:val="00B408AE"/>
    <w:rsid w:val="00B41E62"/>
    <w:rsid w:val="00B4457A"/>
    <w:rsid w:val="00B46015"/>
    <w:rsid w:val="00B47BD2"/>
    <w:rsid w:val="00B50EB0"/>
    <w:rsid w:val="00B543BA"/>
    <w:rsid w:val="00B6764F"/>
    <w:rsid w:val="00B7296A"/>
    <w:rsid w:val="00B72F66"/>
    <w:rsid w:val="00B744DE"/>
    <w:rsid w:val="00B75B4B"/>
    <w:rsid w:val="00B76D9F"/>
    <w:rsid w:val="00B770D0"/>
    <w:rsid w:val="00B825DC"/>
    <w:rsid w:val="00B82E49"/>
    <w:rsid w:val="00B83434"/>
    <w:rsid w:val="00B84067"/>
    <w:rsid w:val="00B862BB"/>
    <w:rsid w:val="00B8671C"/>
    <w:rsid w:val="00B92F1D"/>
    <w:rsid w:val="00B95BF6"/>
    <w:rsid w:val="00BA660C"/>
    <w:rsid w:val="00BB6172"/>
    <w:rsid w:val="00BB6907"/>
    <w:rsid w:val="00BB6A74"/>
    <w:rsid w:val="00BC0920"/>
    <w:rsid w:val="00BD650F"/>
    <w:rsid w:val="00BD68BA"/>
    <w:rsid w:val="00BD698D"/>
    <w:rsid w:val="00BE0FD2"/>
    <w:rsid w:val="00BE1F84"/>
    <w:rsid w:val="00BE77FF"/>
    <w:rsid w:val="00BF1827"/>
    <w:rsid w:val="00BF5BBF"/>
    <w:rsid w:val="00BF7CC1"/>
    <w:rsid w:val="00C06D3E"/>
    <w:rsid w:val="00C11A21"/>
    <w:rsid w:val="00C14A3A"/>
    <w:rsid w:val="00C16801"/>
    <w:rsid w:val="00C20F04"/>
    <w:rsid w:val="00C22050"/>
    <w:rsid w:val="00C24AF6"/>
    <w:rsid w:val="00C25C13"/>
    <w:rsid w:val="00C2617C"/>
    <w:rsid w:val="00C31B47"/>
    <w:rsid w:val="00C419EE"/>
    <w:rsid w:val="00C42C7B"/>
    <w:rsid w:val="00C43E2E"/>
    <w:rsid w:val="00C47254"/>
    <w:rsid w:val="00C50387"/>
    <w:rsid w:val="00C517AD"/>
    <w:rsid w:val="00C620B3"/>
    <w:rsid w:val="00C6693C"/>
    <w:rsid w:val="00C6698D"/>
    <w:rsid w:val="00C66DFE"/>
    <w:rsid w:val="00C67F2D"/>
    <w:rsid w:val="00C70314"/>
    <w:rsid w:val="00C70B08"/>
    <w:rsid w:val="00C71AB0"/>
    <w:rsid w:val="00C72346"/>
    <w:rsid w:val="00C7363E"/>
    <w:rsid w:val="00C800A1"/>
    <w:rsid w:val="00C82D6D"/>
    <w:rsid w:val="00C8378A"/>
    <w:rsid w:val="00C83F37"/>
    <w:rsid w:val="00C85C5D"/>
    <w:rsid w:val="00C87033"/>
    <w:rsid w:val="00C91DD9"/>
    <w:rsid w:val="00C9240B"/>
    <w:rsid w:val="00C92CA1"/>
    <w:rsid w:val="00C9490D"/>
    <w:rsid w:val="00C94E2B"/>
    <w:rsid w:val="00C95D17"/>
    <w:rsid w:val="00C97064"/>
    <w:rsid w:val="00CA45F1"/>
    <w:rsid w:val="00CA5959"/>
    <w:rsid w:val="00CB05C9"/>
    <w:rsid w:val="00CB1A18"/>
    <w:rsid w:val="00CB7EC1"/>
    <w:rsid w:val="00CC5AC8"/>
    <w:rsid w:val="00CD0F9C"/>
    <w:rsid w:val="00CD7FA1"/>
    <w:rsid w:val="00CE38DC"/>
    <w:rsid w:val="00CE3EF3"/>
    <w:rsid w:val="00CE4532"/>
    <w:rsid w:val="00CE5FB4"/>
    <w:rsid w:val="00CE758C"/>
    <w:rsid w:val="00CF1A09"/>
    <w:rsid w:val="00CF294C"/>
    <w:rsid w:val="00CF46E8"/>
    <w:rsid w:val="00D156C3"/>
    <w:rsid w:val="00D237BA"/>
    <w:rsid w:val="00D3379E"/>
    <w:rsid w:val="00D3517B"/>
    <w:rsid w:val="00D40698"/>
    <w:rsid w:val="00D40897"/>
    <w:rsid w:val="00D41DED"/>
    <w:rsid w:val="00D467DD"/>
    <w:rsid w:val="00D47335"/>
    <w:rsid w:val="00D50EFF"/>
    <w:rsid w:val="00D54B26"/>
    <w:rsid w:val="00D55C98"/>
    <w:rsid w:val="00D563B3"/>
    <w:rsid w:val="00D64C2E"/>
    <w:rsid w:val="00D666E1"/>
    <w:rsid w:val="00D66BAF"/>
    <w:rsid w:val="00D7221D"/>
    <w:rsid w:val="00D75A07"/>
    <w:rsid w:val="00D7610C"/>
    <w:rsid w:val="00D809F2"/>
    <w:rsid w:val="00D80BDF"/>
    <w:rsid w:val="00D80EF3"/>
    <w:rsid w:val="00D826D2"/>
    <w:rsid w:val="00D91026"/>
    <w:rsid w:val="00D91BC3"/>
    <w:rsid w:val="00D94318"/>
    <w:rsid w:val="00D96065"/>
    <w:rsid w:val="00DA1A1A"/>
    <w:rsid w:val="00DA4B92"/>
    <w:rsid w:val="00DA50CD"/>
    <w:rsid w:val="00DA5932"/>
    <w:rsid w:val="00DA62FF"/>
    <w:rsid w:val="00DB639A"/>
    <w:rsid w:val="00DC1001"/>
    <w:rsid w:val="00DC2825"/>
    <w:rsid w:val="00DC2B5E"/>
    <w:rsid w:val="00DC2D1E"/>
    <w:rsid w:val="00DE359B"/>
    <w:rsid w:val="00DE3914"/>
    <w:rsid w:val="00DE4CC7"/>
    <w:rsid w:val="00DE64BC"/>
    <w:rsid w:val="00DF15C1"/>
    <w:rsid w:val="00DF2C06"/>
    <w:rsid w:val="00DF4068"/>
    <w:rsid w:val="00DF4206"/>
    <w:rsid w:val="00DF6C66"/>
    <w:rsid w:val="00DF7CCC"/>
    <w:rsid w:val="00E03EA5"/>
    <w:rsid w:val="00E04746"/>
    <w:rsid w:val="00E0542B"/>
    <w:rsid w:val="00E060B0"/>
    <w:rsid w:val="00E14468"/>
    <w:rsid w:val="00E17901"/>
    <w:rsid w:val="00E219ED"/>
    <w:rsid w:val="00E233C9"/>
    <w:rsid w:val="00E24E25"/>
    <w:rsid w:val="00E30386"/>
    <w:rsid w:val="00E312CA"/>
    <w:rsid w:val="00E32FAA"/>
    <w:rsid w:val="00E34770"/>
    <w:rsid w:val="00E352CE"/>
    <w:rsid w:val="00E35300"/>
    <w:rsid w:val="00E42387"/>
    <w:rsid w:val="00E46158"/>
    <w:rsid w:val="00E51533"/>
    <w:rsid w:val="00E519FF"/>
    <w:rsid w:val="00E54103"/>
    <w:rsid w:val="00E57CD6"/>
    <w:rsid w:val="00E6136F"/>
    <w:rsid w:val="00E65768"/>
    <w:rsid w:val="00E65785"/>
    <w:rsid w:val="00E65EB7"/>
    <w:rsid w:val="00E6659F"/>
    <w:rsid w:val="00E7304A"/>
    <w:rsid w:val="00E74357"/>
    <w:rsid w:val="00E75100"/>
    <w:rsid w:val="00E80171"/>
    <w:rsid w:val="00E80692"/>
    <w:rsid w:val="00E8083F"/>
    <w:rsid w:val="00E80FDA"/>
    <w:rsid w:val="00E8791B"/>
    <w:rsid w:val="00E9039B"/>
    <w:rsid w:val="00E95649"/>
    <w:rsid w:val="00E9718F"/>
    <w:rsid w:val="00EA0599"/>
    <w:rsid w:val="00EA1BAA"/>
    <w:rsid w:val="00EA39A1"/>
    <w:rsid w:val="00EB3BF9"/>
    <w:rsid w:val="00EB5171"/>
    <w:rsid w:val="00EB699E"/>
    <w:rsid w:val="00EB7E5B"/>
    <w:rsid w:val="00EC17CD"/>
    <w:rsid w:val="00EC203C"/>
    <w:rsid w:val="00EC2952"/>
    <w:rsid w:val="00EC54EC"/>
    <w:rsid w:val="00ED330B"/>
    <w:rsid w:val="00ED4868"/>
    <w:rsid w:val="00ED61DB"/>
    <w:rsid w:val="00EF4855"/>
    <w:rsid w:val="00EF67DC"/>
    <w:rsid w:val="00F00B7C"/>
    <w:rsid w:val="00F02252"/>
    <w:rsid w:val="00F20AAB"/>
    <w:rsid w:val="00F20BEE"/>
    <w:rsid w:val="00F21B2E"/>
    <w:rsid w:val="00F21D34"/>
    <w:rsid w:val="00F225A1"/>
    <w:rsid w:val="00F23FAC"/>
    <w:rsid w:val="00F24469"/>
    <w:rsid w:val="00F25EF0"/>
    <w:rsid w:val="00F27062"/>
    <w:rsid w:val="00F36EDC"/>
    <w:rsid w:val="00F36FF0"/>
    <w:rsid w:val="00F42837"/>
    <w:rsid w:val="00F4293B"/>
    <w:rsid w:val="00F46ACD"/>
    <w:rsid w:val="00F504AF"/>
    <w:rsid w:val="00F527B1"/>
    <w:rsid w:val="00F53B32"/>
    <w:rsid w:val="00F66A3E"/>
    <w:rsid w:val="00F66F76"/>
    <w:rsid w:val="00F72901"/>
    <w:rsid w:val="00F76733"/>
    <w:rsid w:val="00F7700F"/>
    <w:rsid w:val="00F83367"/>
    <w:rsid w:val="00F869C9"/>
    <w:rsid w:val="00F91078"/>
    <w:rsid w:val="00F92579"/>
    <w:rsid w:val="00F92BC1"/>
    <w:rsid w:val="00F96BDF"/>
    <w:rsid w:val="00FA0546"/>
    <w:rsid w:val="00FA1728"/>
    <w:rsid w:val="00FA3357"/>
    <w:rsid w:val="00FA4C08"/>
    <w:rsid w:val="00FA670F"/>
    <w:rsid w:val="00FB0F18"/>
    <w:rsid w:val="00FB3BDE"/>
    <w:rsid w:val="00FB5628"/>
    <w:rsid w:val="00FB6919"/>
    <w:rsid w:val="00FB6FB6"/>
    <w:rsid w:val="00FB7FDE"/>
    <w:rsid w:val="00FC0221"/>
    <w:rsid w:val="00FC0661"/>
    <w:rsid w:val="00FC2FB5"/>
    <w:rsid w:val="00FC3B3A"/>
    <w:rsid w:val="00FC45F2"/>
    <w:rsid w:val="00FC624D"/>
    <w:rsid w:val="00FC7BEA"/>
    <w:rsid w:val="00FC7D0E"/>
    <w:rsid w:val="00FD6139"/>
    <w:rsid w:val="00FD6FFA"/>
    <w:rsid w:val="00FD73D2"/>
    <w:rsid w:val="00FE0971"/>
    <w:rsid w:val="00FE0C48"/>
    <w:rsid w:val="00FE1C03"/>
    <w:rsid w:val="00FE27C0"/>
    <w:rsid w:val="00FE43C8"/>
    <w:rsid w:val="00FE4789"/>
    <w:rsid w:val="00FE4ACE"/>
    <w:rsid w:val="00FE6550"/>
    <w:rsid w:val="00FE6DF2"/>
    <w:rsid w:val="00FF2A6C"/>
    <w:rsid w:val="00FF35FE"/>
    <w:rsid w:val="00FF3C83"/>
    <w:rsid w:val="00FF4279"/>
    <w:rsid w:val="00FF5CFD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FD70F"/>
  <w15:docId w15:val="{F0E04708-C2E0-402E-B74D-FB9F3F1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BD"/>
  </w:style>
  <w:style w:type="paragraph" w:styleId="Footer">
    <w:name w:val="footer"/>
    <w:basedOn w:val="Normal"/>
    <w:link w:val="FooterChar"/>
    <w:uiPriority w:val="99"/>
    <w:unhideWhenUsed/>
    <w:rsid w:val="0085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BD"/>
  </w:style>
  <w:style w:type="character" w:styleId="Hyperlink">
    <w:name w:val="Hyperlink"/>
    <w:basedOn w:val="DefaultParagraphFont"/>
    <w:uiPriority w:val="99"/>
    <w:unhideWhenUsed/>
    <w:rsid w:val="008562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54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214BAB"/>
    <w:pPr>
      <w:spacing w:after="0" w:line="240" w:lineRule="auto"/>
      <w:ind w:left="720" w:hanging="720"/>
    </w:pPr>
  </w:style>
  <w:style w:type="character" w:styleId="Emphasis">
    <w:name w:val="Emphasis"/>
    <w:basedOn w:val="DefaultParagraphFont"/>
    <w:uiPriority w:val="20"/>
    <w:qFormat/>
    <w:rsid w:val="00405759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5A2D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5A2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5A2D"/>
    <w:rPr>
      <w:vertAlign w:val="superscript"/>
    </w:rPr>
  </w:style>
  <w:style w:type="paragraph" w:customStyle="1" w:styleId="p1">
    <w:name w:val="p1"/>
    <w:basedOn w:val="Normal"/>
    <w:rsid w:val="001A78E4"/>
    <w:pPr>
      <w:spacing w:after="0" w:line="240" w:lineRule="auto"/>
      <w:ind w:firstLine="540"/>
      <w:jc w:val="both"/>
    </w:pPr>
    <w:rPr>
      <w:rFonts w:ascii="Helvetica" w:hAnsi="Helvetica" w:cs="Times New Roman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1A78E4"/>
  </w:style>
  <w:style w:type="paragraph" w:styleId="FootnoteText">
    <w:name w:val="footnote text"/>
    <w:basedOn w:val="Normal"/>
    <w:link w:val="FootnoteTextChar"/>
    <w:uiPriority w:val="99"/>
    <w:unhideWhenUsed/>
    <w:rsid w:val="00793E70"/>
    <w:pPr>
      <w:spacing w:after="0" w:line="240" w:lineRule="auto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3E70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93E70"/>
    <w:rPr>
      <w:vertAlign w:val="superscript"/>
    </w:rPr>
  </w:style>
  <w:style w:type="character" w:customStyle="1" w:styleId="st">
    <w:name w:val="st"/>
    <w:basedOn w:val="DefaultParagraphFont"/>
    <w:rsid w:val="00793E70"/>
  </w:style>
  <w:style w:type="paragraph" w:customStyle="1" w:styleId="p2">
    <w:name w:val="p2"/>
    <w:basedOn w:val="Normal"/>
    <w:rsid w:val="00987DC0"/>
    <w:pPr>
      <w:spacing w:after="180" w:line="225" w:lineRule="atLeast"/>
    </w:pPr>
    <w:rPr>
      <w:rFonts w:ascii="Times" w:hAnsi="Times" w:cs="Times New Roman"/>
      <w:color w:val="000000"/>
      <w:sz w:val="18"/>
      <w:szCs w:val="18"/>
      <w:lang w:val="en-GB" w:eastAsia="en-GB"/>
    </w:rPr>
  </w:style>
  <w:style w:type="character" w:customStyle="1" w:styleId="s1">
    <w:name w:val="s1"/>
    <w:basedOn w:val="DefaultParagraphFont"/>
    <w:rsid w:val="00987DC0"/>
  </w:style>
  <w:style w:type="paragraph" w:customStyle="1" w:styleId="p3">
    <w:name w:val="p3"/>
    <w:basedOn w:val="Normal"/>
    <w:rsid w:val="00C71AB0"/>
    <w:pPr>
      <w:spacing w:after="0" w:line="210" w:lineRule="atLeast"/>
    </w:pPr>
    <w:rPr>
      <w:rFonts w:ascii="Times" w:hAnsi="Times" w:cs="Times New Roman"/>
      <w:color w:val="000000"/>
      <w:sz w:val="18"/>
      <w:szCs w:val="18"/>
      <w:lang w:val="en-GB" w:eastAsia="en-GB"/>
    </w:rPr>
  </w:style>
  <w:style w:type="paragraph" w:customStyle="1" w:styleId="p4">
    <w:name w:val="p4"/>
    <w:basedOn w:val="Normal"/>
    <w:rsid w:val="00C71AB0"/>
    <w:pPr>
      <w:spacing w:after="0" w:line="210" w:lineRule="atLeast"/>
    </w:pPr>
    <w:rPr>
      <w:rFonts w:ascii="Times" w:hAnsi="Times" w:cs="Times New Roman"/>
      <w:color w:val="0000EE"/>
      <w:sz w:val="18"/>
      <w:szCs w:val="18"/>
      <w:lang w:val="en-GB" w:eastAsia="en-GB"/>
    </w:rPr>
  </w:style>
  <w:style w:type="paragraph" w:customStyle="1" w:styleId="p5">
    <w:name w:val="p5"/>
    <w:basedOn w:val="Normal"/>
    <w:rsid w:val="00C71AB0"/>
    <w:pPr>
      <w:spacing w:after="0" w:line="240" w:lineRule="auto"/>
    </w:pPr>
    <w:rPr>
      <w:rFonts w:ascii="Helvetica" w:hAnsi="Helvetica" w:cs="Times New Roman"/>
      <w:sz w:val="18"/>
      <w:szCs w:val="18"/>
      <w:lang w:val="en-GB" w:eastAsia="en-GB"/>
    </w:rPr>
  </w:style>
  <w:style w:type="paragraph" w:customStyle="1" w:styleId="p6">
    <w:name w:val="p6"/>
    <w:basedOn w:val="Normal"/>
    <w:rsid w:val="00C71AB0"/>
    <w:pPr>
      <w:spacing w:after="0" w:line="240" w:lineRule="auto"/>
    </w:pPr>
    <w:rPr>
      <w:rFonts w:ascii="Helvetica" w:hAnsi="Helvetica" w:cs="Times New Roman"/>
      <w:sz w:val="18"/>
      <w:szCs w:val="18"/>
      <w:lang w:val="en-GB" w:eastAsia="en-GB"/>
    </w:rPr>
  </w:style>
  <w:style w:type="paragraph" w:customStyle="1" w:styleId="p7">
    <w:name w:val="p7"/>
    <w:basedOn w:val="Normal"/>
    <w:rsid w:val="00C71AB0"/>
    <w:pPr>
      <w:spacing w:after="0" w:line="240" w:lineRule="auto"/>
    </w:pPr>
    <w:rPr>
      <w:rFonts w:ascii="Times" w:hAnsi="Times" w:cs="Times New Roman"/>
      <w:color w:val="000000"/>
      <w:sz w:val="20"/>
      <w:szCs w:val="20"/>
      <w:lang w:val="en-GB" w:eastAsia="en-GB"/>
    </w:rPr>
  </w:style>
  <w:style w:type="paragraph" w:customStyle="1" w:styleId="p8">
    <w:name w:val="p8"/>
    <w:basedOn w:val="Normal"/>
    <w:rsid w:val="00C71AB0"/>
    <w:pPr>
      <w:spacing w:after="0" w:line="240" w:lineRule="auto"/>
    </w:pPr>
    <w:rPr>
      <w:rFonts w:ascii="Times" w:hAnsi="Times" w:cs="Times New Roman"/>
      <w:color w:val="000000"/>
      <w:sz w:val="20"/>
      <w:szCs w:val="20"/>
      <w:lang w:val="en-GB" w:eastAsia="en-GB"/>
    </w:rPr>
  </w:style>
  <w:style w:type="character" w:customStyle="1" w:styleId="s2">
    <w:name w:val="s2"/>
    <w:basedOn w:val="DefaultParagraphFont"/>
    <w:rsid w:val="00C71AB0"/>
    <w:rPr>
      <w:u w:val="single"/>
    </w:rPr>
  </w:style>
  <w:style w:type="character" w:customStyle="1" w:styleId="s3">
    <w:name w:val="s3"/>
    <w:basedOn w:val="DefaultParagraphFont"/>
    <w:rsid w:val="00C71AB0"/>
    <w:rPr>
      <w:shd w:val="clear" w:color="auto" w:fill="FFFB00"/>
    </w:rPr>
  </w:style>
  <w:style w:type="character" w:customStyle="1" w:styleId="s4">
    <w:name w:val="s4"/>
    <w:basedOn w:val="DefaultParagraphFont"/>
    <w:rsid w:val="00C71AB0"/>
    <w:rPr>
      <w:rFonts w:ascii="Helvetica" w:hAnsi="Helvetica" w:hint="default"/>
      <w:color w:val="000000"/>
      <w:sz w:val="18"/>
      <w:szCs w:val="18"/>
    </w:rPr>
  </w:style>
  <w:style w:type="character" w:customStyle="1" w:styleId="gp">
    <w:name w:val="gp"/>
    <w:basedOn w:val="DefaultParagraphFont"/>
    <w:rsid w:val="0061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6BFD-8293-364E-8916-FAF92430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3507</Words>
  <Characters>20591</Characters>
  <Application>Microsoft Macintosh Word</Application>
  <DocSecurity>0</DocSecurity>
  <Lines>467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 de Recerca Educació Ciutadana</dc:creator>
  <cp:lastModifiedBy>Microsoft Office User</cp:lastModifiedBy>
  <cp:revision>3</cp:revision>
  <dcterms:created xsi:type="dcterms:W3CDTF">2018-10-16T10:04:00Z</dcterms:created>
  <dcterms:modified xsi:type="dcterms:W3CDTF">2018-10-16T10:04:00Z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id="4Gff6uuz"/&gt;&lt;style id="http://www.zotero.org/styles/elsevier-harvard" hasBibliography="1" bibliographyStyleHasBeenSet="1"/&gt;&lt;prefs&gt;&lt;pref name="fieldType" value="Field"/&gt;&lt;pref name="storeReferenc</vt:lpwstr>
  </property>
  <property fmtid="{D5CDD505-2E9C-101B-9397-08002B2CF9AE}" pid="3" name="ZOTERO_PREF_2">
    <vt:lpwstr>es" value=""/&gt;&lt;pref name="automaticJournalAbbreviations" value=""/&gt;&lt;pref name="noteType" value=""/&gt;&lt;/prefs&gt;&lt;/data&gt;</vt:lpwstr>
  </property>
</Properties>
</file>