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4F43EF" w14:textId="245FA800" w:rsidR="00A26AF6" w:rsidRPr="00364D88" w:rsidRDefault="00B828D5" w:rsidP="00FD656C">
      <w:pPr>
        <w:spacing w:line="360" w:lineRule="auto"/>
        <w:jc w:val="both"/>
        <w:rPr>
          <w:rFonts w:ascii="Arial" w:hAnsi="Arial" w:cs="Arial"/>
          <w:b/>
          <w:sz w:val="24"/>
          <w:lang w:val="en-GB"/>
        </w:rPr>
      </w:pPr>
      <w:r w:rsidRPr="00364D88">
        <w:rPr>
          <w:rFonts w:ascii="Arial" w:hAnsi="Arial" w:cs="Arial"/>
          <w:b/>
          <w:sz w:val="24"/>
          <w:lang w:val="en-GB"/>
        </w:rPr>
        <w:t>T</w:t>
      </w:r>
      <w:r w:rsidR="00595534" w:rsidRPr="00364D88">
        <w:rPr>
          <w:rFonts w:ascii="Arial" w:hAnsi="Arial" w:cs="Arial"/>
          <w:b/>
          <w:sz w:val="24"/>
          <w:lang w:val="en-GB"/>
        </w:rPr>
        <w:t xml:space="preserve">he role of </w:t>
      </w:r>
      <w:r w:rsidR="0093563F" w:rsidRPr="00364D88">
        <w:rPr>
          <w:rFonts w:ascii="Arial" w:hAnsi="Arial" w:cs="Arial"/>
          <w:b/>
          <w:sz w:val="24"/>
          <w:lang w:val="en-GB"/>
        </w:rPr>
        <w:t xml:space="preserve">climate, </w:t>
      </w:r>
      <w:r w:rsidR="0045742F" w:rsidRPr="00364D88">
        <w:rPr>
          <w:rFonts w:ascii="Arial" w:hAnsi="Arial" w:cs="Arial"/>
          <w:b/>
          <w:sz w:val="24"/>
          <w:lang w:val="en-GB"/>
        </w:rPr>
        <w:t xml:space="preserve">foliar stoichiometry and </w:t>
      </w:r>
      <w:r w:rsidR="00B647B2" w:rsidRPr="00364D88">
        <w:rPr>
          <w:rFonts w:ascii="Arial" w:hAnsi="Arial" w:cs="Arial"/>
          <w:b/>
          <w:sz w:val="24"/>
          <w:lang w:val="en-GB"/>
        </w:rPr>
        <w:t xml:space="preserve">plant </w:t>
      </w:r>
      <w:r w:rsidR="0093563F" w:rsidRPr="00364D88">
        <w:rPr>
          <w:rFonts w:ascii="Arial" w:hAnsi="Arial" w:cs="Arial"/>
          <w:b/>
          <w:sz w:val="24"/>
          <w:lang w:val="en-GB"/>
        </w:rPr>
        <w:t xml:space="preserve">diversity </w:t>
      </w:r>
      <w:r w:rsidRPr="00364D88">
        <w:rPr>
          <w:rFonts w:ascii="Arial" w:hAnsi="Arial" w:cs="Arial"/>
          <w:b/>
          <w:sz w:val="24"/>
          <w:lang w:val="en-GB"/>
        </w:rPr>
        <w:t>on ecosystem carbon balance</w:t>
      </w:r>
    </w:p>
    <w:p w14:paraId="619183B9" w14:textId="77777777" w:rsidR="00106B73" w:rsidRPr="00364D88" w:rsidRDefault="00106B73" w:rsidP="00106B73">
      <w:pPr>
        <w:spacing w:line="360" w:lineRule="auto"/>
        <w:jc w:val="both"/>
        <w:rPr>
          <w:rFonts w:ascii="Arial" w:hAnsi="Arial" w:cs="Arial"/>
          <w:lang w:val="en-US"/>
        </w:rPr>
      </w:pPr>
      <w:r w:rsidRPr="00364D88">
        <w:rPr>
          <w:rFonts w:ascii="Arial" w:hAnsi="Arial" w:cs="Arial"/>
          <w:b/>
          <w:lang w:val="en-US"/>
        </w:rPr>
        <w:t>Running head</w:t>
      </w:r>
      <w:r w:rsidRPr="00364D88">
        <w:rPr>
          <w:rFonts w:ascii="Arial" w:hAnsi="Arial" w:cs="Arial"/>
          <w:lang w:val="en-US"/>
        </w:rPr>
        <w:t>: Nutrient and diversity effects on C balance</w:t>
      </w:r>
    </w:p>
    <w:p w14:paraId="32BDC53B" w14:textId="629C0ED8" w:rsidR="002045B9" w:rsidRPr="00364D88" w:rsidRDefault="002045B9" w:rsidP="002045B9">
      <w:pPr>
        <w:spacing w:line="360" w:lineRule="auto"/>
        <w:jc w:val="both"/>
        <w:rPr>
          <w:rFonts w:ascii="Arial" w:hAnsi="Arial" w:cs="Arial"/>
          <w:lang w:val="en-GB"/>
        </w:rPr>
      </w:pPr>
      <w:r w:rsidRPr="00364D88">
        <w:rPr>
          <w:rFonts w:ascii="Arial" w:hAnsi="Arial" w:cs="Arial"/>
          <w:b/>
          <w:lang w:val="en-GB"/>
        </w:rPr>
        <w:t>Authors:</w:t>
      </w:r>
      <w:r w:rsidRPr="00364D88">
        <w:rPr>
          <w:rFonts w:ascii="Arial" w:hAnsi="Arial" w:cs="Arial"/>
          <w:lang w:val="en-GB"/>
        </w:rPr>
        <w:t xml:space="preserve"> M</w:t>
      </w:r>
      <w:r w:rsidR="001D4B42">
        <w:rPr>
          <w:rFonts w:ascii="Arial" w:hAnsi="Arial" w:cs="Arial"/>
          <w:lang w:val="en-GB"/>
        </w:rPr>
        <w:t>arcos</w:t>
      </w:r>
      <w:r w:rsidRPr="00364D88">
        <w:rPr>
          <w:rFonts w:ascii="Arial" w:hAnsi="Arial" w:cs="Arial"/>
          <w:lang w:val="en-GB"/>
        </w:rPr>
        <w:t xml:space="preserve"> Fernández-Martínez</w:t>
      </w:r>
      <w:r w:rsidRPr="00364D88">
        <w:rPr>
          <w:rFonts w:ascii="Arial" w:hAnsi="Arial" w:cs="Arial"/>
          <w:vertAlign w:val="superscript"/>
          <w:lang w:val="en-GB"/>
        </w:rPr>
        <w:t>*1</w:t>
      </w:r>
      <w:r w:rsidR="00832B51" w:rsidRPr="00364D88">
        <w:rPr>
          <w:rFonts w:ascii="Arial" w:hAnsi="Arial" w:cs="Arial"/>
          <w:lang w:val="en-GB"/>
        </w:rPr>
        <w:t xml:space="preserve">, </w:t>
      </w:r>
      <w:r w:rsidR="008A278D" w:rsidRPr="00364D88">
        <w:rPr>
          <w:rFonts w:ascii="Arial" w:hAnsi="Arial" w:cs="Arial"/>
          <w:lang w:val="en-GB"/>
        </w:rPr>
        <w:t>J</w:t>
      </w:r>
      <w:r w:rsidR="001D4B42">
        <w:rPr>
          <w:rFonts w:ascii="Arial" w:hAnsi="Arial" w:cs="Arial"/>
          <w:lang w:val="en-GB"/>
        </w:rPr>
        <w:t>ordi</w:t>
      </w:r>
      <w:r w:rsidR="008A278D" w:rsidRPr="00364D88">
        <w:rPr>
          <w:rFonts w:ascii="Arial" w:hAnsi="Arial" w:cs="Arial"/>
          <w:lang w:val="en-GB"/>
        </w:rPr>
        <w:t xml:space="preserve"> Sardans</w:t>
      </w:r>
      <w:r w:rsidR="006821DC" w:rsidRPr="00364D88">
        <w:rPr>
          <w:rFonts w:ascii="Arial" w:hAnsi="Arial" w:cs="Arial"/>
          <w:vertAlign w:val="superscript"/>
          <w:lang w:val="en-GB"/>
        </w:rPr>
        <w:t>2</w:t>
      </w:r>
      <w:r w:rsidR="008A278D" w:rsidRPr="00364D88">
        <w:rPr>
          <w:rFonts w:ascii="Arial" w:hAnsi="Arial" w:cs="Arial"/>
          <w:vertAlign w:val="superscript"/>
          <w:lang w:val="en-GB"/>
        </w:rPr>
        <w:t>,</w:t>
      </w:r>
      <w:r w:rsidR="006821DC" w:rsidRPr="00364D88">
        <w:rPr>
          <w:rFonts w:ascii="Arial" w:hAnsi="Arial" w:cs="Arial"/>
          <w:vertAlign w:val="superscript"/>
          <w:lang w:val="en-GB"/>
        </w:rPr>
        <w:t>3</w:t>
      </w:r>
      <w:r w:rsidR="00C83DCE" w:rsidRPr="00364D88">
        <w:rPr>
          <w:rFonts w:ascii="Arial" w:hAnsi="Arial" w:cs="Arial"/>
          <w:lang w:val="en-GB"/>
        </w:rPr>
        <w:t>, T</w:t>
      </w:r>
      <w:r w:rsidR="001D4B42">
        <w:rPr>
          <w:rFonts w:ascii="Arial" w:hAnsi="Arial" w:cs="Arial"/>
          <w:lang w:val="en-GB"/>
        </w:rPr>
        <w:t>alie</w:t>
      </w:r>
      <w:r w:rsidR="00C83DCE" w:rsidRPr="00364D88">
        <w:rPr>
          <w:rFonts w:ascii="Arial" w:hAnsi="Arial" w:cs="Arial"/>
          <w:lang w:val="en-GB"/>
        </w:rPr>
        <w:t xml:space="preserve"> Musavi</w:t>
      </w:r>
      <w:r w:rsidR="00994777" w:rsidRPr="00364D88">
        <w:rPr>
          <w:rFonts w:ascii="Arial" w:hAnsi="Arial" w:cs="Arial"/>
          <w:vertAlign w:val="superscript"/>
          <w:lang w:val="en-GB"/>
        </w:rPr>
        <w:t>4</w:t>
      </w:r>
      <w:r w:rsidR="00C83DCE" w:rsidRPr="00364D88">
        <w:rPr>
          <w:rFonts w:ascii="Arial" w:hAnsi="Arial" w:cs="Arial"/>
          <w:lang w:val="en-GB"/>
        </w:rPr>
        <w:t>, M</w:t>
      </w:r>
      <w:r w:rsidR="001D4B42">
        <w:rPr>
          <w:rFonts w:ascii="Arial" w:hAnsi="Arial" w:cs="Arial"/>
          <w:lang w:val="en-GB"/>
        </w:rPr>
        <w:t>irco</w:t>
      </w:r>
      <w:r w:rsidR="00C83DCE" w:rsidRPr="00364D88">
        <w:rPr>
          <w:rFonts w:ascii="Arial" w:hAnsi="Arial" w:cs="Arial"/>
          <w:lang w:val="en-GB"/>
        </w:rPr>
        <w:t xml:space="preserve"> </w:t>
      </w:r>
      <w:r w:rsidR="00C17335" w:rsidRPr="00364D88">
        <w:rPr>
          <w:rFonts w:ascii="Arial" w:hAnsi="Arial" w:cs="Arial"/>
          <w:lang w:val="en-GB"/>
        </w:rPr>
        <w:t>Migliavacca</w:t>
      </w:r>
      <w:r w:rsidR="00994777" w:rsidRPr="00364D88">
        <w:rPr>
          <w:rFonts w:ascii="Arial" w:hAnsi="Arial" w:cs="Arial"/>
          <w:vertAlign w:val="superscript"/>
          <w:lang w:val="en-GB"/>
        </w:rPr>
        <w:t>4</w:t>
      </w:r>
      <w:r w:rsidR="00C83DCE" w:rsidRPr="00364D88">
        <w:rPr>
          <w:rFonts w:ascii="Arial" w:hAnsi="Arial" w:cs="Arial"/>
          <w:lang w:val="en-GB"/>
        </w:rPr>
        <w:t xml:space="preserve">, </w:t>
      </w:r>
      <w:r w:rsidR="001C4791" w:rsidRPr="00364D88">
        <w:rPr>
          <w:rFonts w:ascii="Arial" w:hAnsi="Arial" w:cs="Arial"/>
          <w:lang w:val="en-GB"/>
        </w:rPr>
        <w:t>M</w:t>
      </w:r>
      <w:r w:rsidR="001D4B42">
        <w:rPr>
          <w:rFonts w:ascii="Arial" w:hAnsi="Arial" w:cs="Arial"/>
          <w:lang w:val="en-GB"/>
        </w:rPr>
        <w:t>aitane</w:t>
      </w:r>
      <w:r w:rsidR="001C4791" w:rsidRPr="00364D88">
        <w:rPr>
          <w:rFonts w:ascii="Arial" w:hAnsi="Arial" w:cs="Arial"/>
          <w:lang w:val="en-GB"/>
        </w:rPr>
        <w:t xml:space="preserve"> Iturrate-Garcia</w:t>
      </w:r>
      <w:r w:rsidR="001C4791" w:rsidRPr="00364D88">
        <w:rPr>
          <w:rFonts w:ascii="Arial" w:hAnsi="Arial" w:cs="Arial"/>
          <w:vertAlign w:val="superscript"/>
          <w:lang w:val="en-GB"/>
        </w:rPr>
        <w:t>7</w:t>
      </w:r>
      <w:r w:rsidR="001C4791" w:rsidRPr="00364D88">
        <w:rPr>
          <w:rFonts w:ascii="Arial" w:hAnsi="Arial" w:cs="Arial"/>
          <w:lang w:val="en-GB"/>
        </w:rPr>
        <w:t xml:space="preserve">, </w:t>
      </w:r>
      <w:r w:rsidR="00D00461" w:rsidRPr="00364D88">
        <w:rPr>
          <w:rFonts w:ascii="Arial" w:hAnsi="Arial" w:cs="Arial"/>
          <w:lang w:val="en-GB"/>
        </w:rPr>
        <w:t>R</w:t>
      </w:r>
      <w:r w:rsidR="001D4B42">
        <w:rPr>
          <w:rFonts w:ascii="Arial" w:hAnsi="Arial" w:cs="Arial"/>
          <w:lang w:val="en-GB"/>
        </w:rPr>
        <w:t xml:space="preserve">obert </w:t>
      </w:r>
      <w:r w:rsidR="00D00461" w:rsidRPr="00364D88">
        <w:rPr>
          <w:rFonts w:ascii="Arial" w:hAnsi="Arial" w:cs="Arial"/>
          <w:lang w:val="en-GB"/>
        </w:rPr>
        <w:t>J. Scholes</w:t>
      </w:r>
      <w:r w:rsidR="00BA47C7" w:rsidRPr="00364D88">
        <w:rPr>
          <w:rFonts w:ascii="Arial" w:hAnsi="Arial" w:cs="Arial"/>
          <w:vertAlign w:val="superscript"/>
          <w:lang w:val="en-GB"/>
        </w:rPr>
        <w:t>8</w:t>
      </w:r>
      <w:r w:rsidR="00D00461" w:rsidRPr="00364D88">
        <w:rPr>
          <w:rFonts w:ascii="Arial" w:hAnsi="Arial" w:cs="Arial"/>
          <w:lang w:val="en-GB"/>
        </w:rPr>
        <w:t xml:space="preserve"> </w:t>
      </w:r>
      <w:r w:rsidR="00DB79A9" w:rsidRPr="00364D88">
        <w:rPr>
          <w:rFonts w:ascii="Arial" w:hAnsi="Arial" w:cs="Arial"/>
          <w:lang w:val="en-GB"/>
        </w:rPr>
        <w:t>J</w:t>
      </w:r>
      <w:r w:rsidR="001D4B42">
        <w:rPr>
          <w:rFonts w:ascii="Arial" w:hAnsi="Arial" w:cs="Arial"/>
          <w:lang w:val="en-GB"/>
        </w:rPr>
        <w:t>osep</w:t>
      </w:r>
      <w:r w:rsidR="00DB79A9" w:rsidRPr="00364D88">
        <w:rPr>
          <w:rFonts w:ascii="Arial" w:hAnsi="Arial" w:cs="Arial"/>
          <w:lang w:val="en-GB"/>
        </w:rPr>
        <w:t xml:space="preserve"> Peñuelas</w:t>
      </w:r>
      <w:r w:rsidR="00DB79A9" w:rsidRPr="00364D88">
        <w:rPr>
          <w:rFonts w:ascii="Arial" w:hAnsi="Arial" w:cs="Arial"/>
          <w:vertAlign w:val="superscript"/>
          <w:lang w:val="en-GB"/>
        </w:rPr>
        <w:t>2,3</w:t>
      </w:r>
      <w:r w:rsidR="00DB79A9" w:rsidRPr="00364D88">
        <w:rPr>
          <w:rFonts w:ascii="Arial" w:hAnsi="Arial"/>
          <w:lang w:val="en-GB"/>
        </w:rPr>
        <w:t xml:space="preserve">, </w:t>
      </w:r>
      <w:r w:rsidR="00350EFF" w:rsidRPr="00364D88">
        <w:rPr>
          <w:rFonts w:ascii="Arial" w:hAnsi="Arial"/>
          <w:lang w:val="en-GB"/>
        </w:rPr>
        <w:t>I</w:t>
      </w:r>
      <w:r w:rsidR="001D4B42">
        <w:rPr>
          <w:rFonts w:ascii="Arial" w:hAnsi="Arial"/>
          <w:lang w:val="en-GB"/>
        </w:rPr>
        <w:t xml:space="preserve">van </w:t>
      </w:r>
      <w:r w:rsidR="00350EFF" w:rsidRPr="00364D88">
        <w:rPr>
          <w:rFonts w:ascii="Arial" w:hAnsi="Arial" w:cs="Arial"/>
          <w:lang w:val="en-GB"/>
        </w:rPr>
        <w:t>A. Janssens</w:t>
      </w:r>
      <w:r w:rsidR="00350EFF" w:rsidRPr="00364D88">
        <w:rPr>
          <w:rFonts w:ascii="Arial" w:hAnsi="Arial" w:cs="Arial"/>
          <w:vertAlign w:val="superscript"/>
          <w:lang w:val="en-GB"/>
        </w:rPr>
        <w:t>1</w:t>
      </w:r>
      <w:r w:rsidRPr="00364D88">
        <w:rPr>
          <w:rFonts w:ascii="Arial" w:hAnsi="Arial" w:cs="Arial"/>
          <w:lang w:val="en-GB"/>
        </w:rPr>
        <w:t xml:space="preserve">. </w:t>
      </w:r>
    </w:p>
    <w:p w14:paraId="35442461" w14:textId="77777777" w:rsidR="002045B9" w:rsidRPr="00364D88" w:rsidRDefault="002045B9" w:rsidP="0044545A">
      <w:pPr>
        <w:spacing w:line="360" w:lineRule="auto"/>
        <w:jc w:val="both"/>
        <w:outlineLvl w:val="0"/>
        <w:rPr>
          <w:rFonts w:ascii="Arial" w:hAnsi="Arial" w:cs="Arial"/>
          <w:b/>
          <w:lang w:val="en-GB"/>
        </w:rPr>
      </w:pPr>
      <w:r w:rsidRPr="00364D88">
        <w:rPr>
          <w:rFonts w:ascii="Arial" w:hAnsi="Arial" w:cs="Arial"/>
          <w:b/>
          <w:lang w:val="en-GB"/>
        </w:rPr>
        <w:t>Affiliations:</w:t>
      </w:r>
    </w:p>
    <w:p w14:paraId="4277F238" w14:textId="15D8F288" w:rsidR="006821DC" w:rsidRPr="00364D88" w:rsidRDefault="006821DC" w:rsidP="0044545A">
      <w:pPr>
        <w:spacing w:line="360" w:lineRule="auto"/>
        <w:jc w:val="both"/>
        <w:rPr>
          <w:rFonts w:ascii="Arial" w:hAnsi="Arial" w:cs="Arial"/>
          <w:lang w:val="en-GB"/>
        </w:rPr>
      </w:pPr>
      <w:r w:rsidRPr="00364D88">
        <w:rPr>
          <w:rFonts w:ascii="Arial" w:hAnsi="Arial" w:cs="Arial"/>
          <w:vertAlign w:val="superscript"/>
          <w:lang w:val="en-GB"/>
        </w:rPr>
        <w:t>1</w:t>
      </w:r>
      <w:r w:rsidRPr="00364D88">
        <w:rPr>
          <w:rFonts w:ascii="Arial" w:hAnsi="Arial" w:cs="Arial"/>
          <w:lang w:val="en-GB"/>
        </w:rPr>
        <w:t xml:space="preserve"> </w:t>
      </w:r>
      <w:r w:rsidRPr="00364D88">
        <w:rPr>
          <w:rFonts w:ascii="Arial" w:hAnsi="Arial" w:cs="Arial"/>
          <w:iCs/>
          <w:lang w:val="en-GB"/>
        </w:rPr>
        <w:t>PLECO (Plant</w:t>
      </w:r>
      <w:r w:rsidR="00FF20BB" w:rsidRPr="00364D88">
        <w:rPr>
          <w:rFonts w:ascii="Arial" w:hAnsi="Arial" w:cs="Arial"/>
          <w:iCs/>
          <w:lang w:val="en-GB"/>
        </w:rPr>
        <w:t>s</w:t>
      </w:r>
      <w:r w:rsidRPr="00364D88">
        <w:rPr>
          <w:rFonts w:ascii="Arial" w:hAnsi="Arial" w:cs="Arial"/>
          <w:iCs/>
          <w:lang w:val="en-GB"/>
        </w:rPr>
        <w:t xml:space="preserve"> and </w:t>
      </w:r>
      <w:r w:rsidR="00FF20BB" w:rsidRPr="00364D88">
        <w:rPr>
          <w:rFonts w:ascii="Arial" w:hAnsi="Arial" w:cs="Arial"/>
          <w:iCs/>
          <w:lang w:val="en-GB"/>
        </w:rPr>
        <w:t>Ecosystems</w:t>
      </w:r>
      <w:r w:rsidRPr="00364D88">
        <w:rPr>
          <w:rFonts w:ascii="Arial" w:hAnsi="Arial" w:cs="Arial"/>
          <w:iCs/>
          <w:lang w:val="en-GB"/>
        </w:rPr>
        <w:t>), Department of Biology, University of Antwerp, 2610 Wilrijk, Belgium.</w:t>
      </w:r>
    </w:p>
    <w:p w14:paraId="12345CB5" w14:textId="767E3490" w:rsidR="002045B9" w:rsidRPr="00364D88" w:rsidRDefault="006821DC" w:rsidP="0044545A">
      <w:pPr>
        <w:spacing w:line="360" w:lineRule="auto"/>
        <w:jc w:val="both"/>
        <w:rPr>
          <w:rFonts w:ascii="Arial" w:hAnsi="Arial" w:cs="Arial"/>
          <w:lang w:val="es-ES"/>
        </w:rPr>
      </w:pPr>
      <w:r w:rsidRPr="00364D88">
        <w:rPr>
          <w:rFonts w:ascii="Arial" w:hAnsi="Arial" w:cs="Arial"/>
          <w:vertAlign w:val="superscript"/>
          <w:lang w:val="es-ES"/>
        </w:rPr>
        <w:t>2</w:t>
      </w:r>
      <w:r w:rsidR="002045B9" w:rsidRPr="00364D88">
        <w:rPr>
          <w:rFonts w:ascii="Arial" w:hAnsi="Arial" w:cs="Arial"/>
          <w:lang w:val="es-ES"/>
        </w:rPr>
        <w:t xml:space="preserve"> CSIC, Global Ecology Unit, CREAF-CSIC-UAB, Cerdanyola del Vallès, 08193 Barcelona, Catalonia, Spain </w:t>
      </w:r>
    </w:p>
    <w:p w14:paraId="7DD53975" w14:textId="275F112D" w:rsidR="002045B9" w:rsidRPr="00364D88" w:rsidRDefault="006821DC" w:rsidP="0044545A">
      <w:pPr>
        <w:spacing w:line="360" w:lineRule="auto"/>
        <w:jc w:val="both"/>
        <w:outlineLvl w:val="0"/>
        <w:rPr>
          <w:rFonts w:ascii="Arial" w:hAnsi="Arial" w:cs="Arial"/>
          <w:lang w:val="es-ES"/>
        </w:rPr>
      </w:pPr>
      <w:r w:rsidRPr="00364D88">
        <w:rPr>
          <w:rFonts w:ascii="Arial" w:hAnsi="Arial" w:cs="Arial"/>
          <w:vertAlign w:val="superscript"/>
          <w:lang w:val="es-ES"/>
        </w:rPr>
        <w:t>3</w:t>
      </w:r>
      <w:r w:rsidR="002045B9" w:rsidRPr="00364D88">
        <w:rPr>
          <w:rFonts w:ascii="Arial" w:hAnsi="Arial" w:cs="Arial"/>
          <w:lang w:val="es-ES"/>
        </w:rPr>
        <w:t xml:space="preserve"> CREAF, Cerdanyola del Vallès, 08193 Barcelona, Catalonia, Spain</w:t>
      </w:r>
    </w:p>
    <w:p w14:paraId="2886CC5E" w14:textId="5207A592" w:rsidR="00543C28" w:rsidRPr="00364D88" w:rsidRDefault="00543C28" w:rsidP="0044545A">
      <w:pPr>
        <w:spacing w:line="360" w:lineRule="auto"/>
        <w:jc w:val="both"/>
        <w:outlineLvl w:val="0"/>
        <w:rPr>
          <w:rFonts w:ascii="Arial" w:hAnsi="Arial" w:cs="Arial"/>
          <w:lang w:val="en-GB"/>
        </w:rPr>
      </w:pPr>
      <w:r w:rsidRPr="00364D88">
        <w:rPr>
          <w:rFonts w:ascii="Arial" w:hAnsi="Arial" w:cs="Arial"/>
          <w:vertAlign w:val="superscript"/>
          <w:lang w:val="en-GB"/>
        </w:rPr>
        <w:t>4</w:t>
      </w:r>
      <w:r w:rsidRPr="00364D88">
        <w:rPr>
          <w:rFonts w:ascii="Arial" w:hAnsi="Arial" w:cs="Arial"/>
          <w:lang w:val="en-GB"/>
        </w:rPr>
        <w:t xml:space="preserve"> Department Biogeochemical Integration, Max Planck Institute for Biogeochemistry, Jena, Germany</w:t>
      </w:r>
    </w:p>
    <w:p w14:paraId="63212119" w14:textId="08789958" w:rsidR="00DA49E6" w:rsidRPr="00364D88" w:rsidRDefault="00994777" w:rsidP="0044545A">
      <w:pPr>
        <w:spacing w:line="360" w:lineRule="auto"/>
        <w:jc w:val="both"/>
        <w:rPr>
          <w:rFonts w:ascii="Arial" w:hAnsi="Arial" w:cs="Arial"/>
          <w:lang w:val="en-GB"/>
        </w:rPr>
      </w:pPr>
      <w:r w:rsidRPr="00364D88">
        <w:rPr>
          <w:rFonts w:ascii="Arial" w:hAnsi="Arial" w:cs="Arial"/>
          <w:vertAlign w:val="superscript"/>
          <w:lang w:val="en-GB"/>
        </w:rPr>
        <w:t>7</w:t>
      </w:r>
      <w:r w:rsidR="002045B9" w:rsidRPr="00364D88">
        <w:rPr>
          <w:rFonts w:ascii="Arial" w:hAnsi="Arial" w:cs="Arial"/>
          <w:lang w:val="en-GB"/>
        </w:rPr>
        <w:t xml:space="preserve"> </w:t>
      </w:r>
      <w:r w:rsidR="00DA49E6" w:rsidRPr="00364D88">
        <w:rPr>
          <w:rFonts w:ascii="Arial" w:hAnsi="Arial" w:cs="Arial"/>
          <w:lang w:val="en-GB"/>
        </w:rPr>
        <w:t xml:space="preserve">Department of </w:t>
      </w:r>
      <w:r w:rsidR="007D0DE6" w:rsidRPr="00364D88">
        <w:rPr>
          <w:rFonts w:ascii="Arial" w:hAnsi="Arial" w:cs="Arial"/>
          <w:lang w:val="en-GB"/>
        </w:rPr>
        <w:t>Chemical and Biological Metrology</w:t>
      </w:r>
      <w:r w:rsidR="00FF20BB" w:rsidRPr="00364D88">
        <w:rPr>
          <w:rFonts w:ascii="Arial" w:hAnsi="Arial" w:cs="Arial"/>
          <w:lang w:val="en-GB"/>
        </w:rPr>
        <w:t xml:space="preserve">, </w:t>
      </w:r>
      <w:r w:rsidR="007D0DE6" w:rsidRPr="00364D88">
        <w:rPr>
          <w:rFonts w:ascii="Arial" w:hAnsi="Arial" w:cs="Arial"/>
          <w:lang w:val="en-GB"/>
        </w:rPr>
        <w:t>Federal Institute of Metrology</w:t>
      </w:r>
      <w:r w:rsidR="00543C28" w:rsidRPr="00364D88">
        <w:rPr>
          <w:rFonts w:ascii="Arial" w:hAnsi="Arial" w:cs="Arial"/>
          <w:lang w:val="en-GB"/>
        </w:rPr>
        <w:t>,</w:t>
      </w:r>
      <w:r w:rsidR="00543C28" w:rsidRPr="00364D88">
        <w:rPr>
          <w:sz w:val="24"/>
          <w:lang w:val="en-GB"/>
        </w:rPr>
        <w:t xml:space="preserve"> </w:t>
      </w:r>
      <w:r w:rsidR="007D0DE6" w:rsidRPr="00364D88">
        <w:rPr>
          <w:rFonts w:ascii="Arial" w:hAnsi="Arial" w:cs="Arial"/>
          <w:lang w:val="en-GB"/>
        </w:rPr>
        <w:t>3003 Bern-Wabern</w:t>
      </w:r>
      <w:r w:rsidR="00FF20BB" w:rsidRPr="00364D88">
        <w:rPr>
          <w:rFonts w:ascii="Arial" w:hAnsi="Arial" w:cs="Arial"/>
          <w:lang w:val="en-GB"/>
        </w:rPr>
        <w:t>, Switzerland</w:t>
      </w:r>
    </w:p>
    <w:p w14:paraId="1BC36135" w14:textId="5135D2C6" w:rsidR="00994777" w:rsidRPr="00364D88" w:rsidRDefault="00BA47C7" w:rsidP="0044545A">
      <w:pPr>
        <w:spacing w:line="360" w:lineRule="auto"/>
        <w:jc w:val="both"/>
        <w:rPr>
          <w:rFonts w:ascii="Arial" w:hAnsi="Arial" w:cs="Arial"/>
          <w:lang w:val="en-GB"/>
        </w:rPr>
      </w:pPr>
      <w:r w:rsidRPr="00364D88">
        <w:rPr>
          <w:rFonts w:ascii="Arial" w:hAnsi="Arial" w:cs="Arial"/>
          <w:vertAlign w:val="superscript"/>
          <w:lang w:val="en-GB"/>
        </w:rPr>
        <w:t>8</w:t>
      </w:r>
      <w:r w:rsidR="00994777" w:rsidRPr="00364D88">
        <w:rPr>
          <w:rFonts w:ascii="Arial" w:hAnsi="Arial" w:cs="Arial"/>
          <w:lang w:val="en-GB"/>
        </w:rPr>
        <w:t xml:space="preserve"> </w:t>
      </w:r>
      <w:r w:rsidR="00D00461" w:rsidRPr="00364D88">
        <w:rPr>
          <w:rFonts w:ascii="Arial" w:hAnsi="Arial" w:cs="Arial"/>
          <w:lang w:val="en-GB"/>
        </w:rPr>
        <w:t>Global Change Institute, University of the Witwatersrand, Johannesburg, South Africa</w:t>
      </w:r>
    </w:p>
    <w:p w14:paraId="07A64798" w14:textId="2F47DC10" w:rsidR="002045B9" w:rsidRPr="00364D88" w:rsidRDefault="002045B9" w:rsidP="0044545A">
      <w:pPr>
        <w:spacing w:line="360" w:lineRule="auto"/>
        <w:jc w:val="both"/>
        <w:rPr>
          <w:rFonts w:ascii="Arial" w:hAnsi="Arial" w:cs="Arial"/>
          <w:lang w:val="es-ES"/>
        </w:rPr>
      </w:pPr>
      <w:r w:rsidRPr="00364D88">
        <w:rPr>
          <w:rFonts w:ascii="Arial" w:hAnsi="Arial" w:cs="Arial"/>
          <w:lang w:val="es-ES"/>
        </w:rPr>
        <w:t>*</w:t>
      </w:r>
      <w:r w:rsidRPr="00364D88">
        <w:rPr>
          <w:rFonts w:ascii="Arial" w:hAnsi="Arial" w:cs="Arial"/>
          <w:b/>
          <w:lang w:val="es-ES"/>
        </w:rPr>
        <w:t>Correspondence to</w:t>
      </w:r>
      <w:r w:rsidRPr="00364D88">
        <w:rPr>
          <w:rFonts w:ascii="Arial" w:hAnsi="Arial" w:cs="Arial"/>
          <w:lang w:val="es-ES"/>
        </w:rPr>
        <w:t xml:space="preserve">: M. Fernández-Martínez, </w:t>
      </w:r>
      <w:hyperlink r:id="rId8" w:history="1">
        <w:r w:rsidR="008C2C55" w:rsidRPr="00364D88">
          <w:rPr>
            <w:rStyle w:val="Hipervnculo"/>
            <w:rFonts w:ascii="Arial" w:hAnsi="Arial" w:cs="Arial"/>
            <w:lang w:val="es-ES"/>
          </w:rPr>
          <w:t>marcos.fernandez-martinez@uantwerpen.be</w:t>
        </w:r>
      </w:hyperlink>
    </w:p>
    <w:p w14:paraId="0B1DAD19" w14:textId="77777777" w:rsidR="00A3593C" w:rsidRPr="00364D88" w:rsidRDefault="00A3593C" w:rsidP="00A3593C">
      <w:pPr>
        <w:spacing w:line="360" w:lineRule="auto"/>
        <w:rPr>
          <w:rFonts w:ascii="Arial" w:hAnsi="Arial" w:cs="Arial"/>
          <w:b/>
          <w:lang w:val="en-US"/>
        </w:rPr>
      </w:pPr>
      <w:r w:rsidRPr="00364D88">
        <w:rPr>
          <w:rFonts w:ascii="Arial" w:hAnsi="Arial" w:cs="Arial"/>
          <w:b/>
        </w:rPr>
        <w:t xml:space="preserve">Length of the main text: </w:t>
      </w:r>
      <w:r w:rsidRPr="00364D88">
        <w:rPr>
          <w:rFonts w:ascii="Arial" w:hAnsi="Arial" w:cs="Arial"/>
        </w:rPr>
        <w:t>4752 words</w:t>
      </w:r>
      <w:r w:rsidRPr="00364D88">
        <w:rPr>
          <w:rFonts w:ascii="Arial" w:hAnsi="Arial" w:cs="Arial"/>
          <w:b/>
        </w:rPr>
        <w:br/>
        <w:t xml:space="preserve">Figures and tables: </w:t>
      </w:r>
      <w:r w:rsidRPr="00364D88">
        <w:rPr>
          <w:rFonts w:ascii="Arial" w:hAnsi="Arial" w:cs="Arial"/>
        </w:rPr>
        <w:t>4 figures, 0 tables</w:t>
      </w:r>
      <w:r w:rsidRPr="00364D88">
        <w:rPr>
          <w:rFonts w:ascii="Arial" w:hAnsi="Arial" w:cs="Arial"/>
          <w:b/>
        </w:rPr>
        <w:br/>
        <w:t xml:space="preserve">Length of the captions: </w:t>
      </w:r>
      <w:r w:rsidRPr="00364D88">
        <w:rPr>
          <w:rFonts w:ascii="Arial" w:hAnsi="Arial" w:cs="Arial"/>
        </w:rPr>
        <w:t>387 words</w:t>
      </w:r>
      <w:r w:rsidRPr="00364D88">
        <w:rPr>
          <w:rFonts w:ascii="Arial" w:hAnsi="Arial" w:cs="Arial"/>
          <w:b/>
        </w:rPr>
        <w:br/>
        <w:t xml:space="preserve">References: </w:t>
      </w:r>
      <w:r w:rsidRPr="00364D88">
        <w:rPr>
          <w:rFonts w:ascii="Arial" w:hAnsi="Arial" w:cs="Arial"/>
        </w:rPr>
        <w:t>82</w:t>
      </w:r>
    </w:p>
    <w:p w14:paraId="4436E920" w14:textId="139B862A" w:rsidR="00A3593C" w:rsidRDefault="00A3593C" w:rsidP="0044545A">
      <w:pPr>
        <w:spacing w:line="360" w:lineRule="auto"/>
        <w:rPr>
          <w:rFonts w:ascii="Arial" w:hAnsi="Arial" w:cs="Arial"/>
          <w:b/>
        </w:rPr>
      </w:pPr>
      <w:r>
        <w:rPr>
          <w:rFonts w:ascii="Arial" w:hAnsi="Arial" w:cs="Arial"/>
          <w:b/>
        </w:rPr>
        <w:t>ORCID iDs:</w:t>
      </w:r>
    </w:p>
    <w:p w14:paraId="1DE46ABB" w14:textId="069028F3" w:rsidR="00A3593C" w:rsidRPr="00A3593C" w:rsidRDefault="005E2F04" w:rsidP="00A3593C">
      <w:pPr>
        <w:spacing w:line="360" w:lineRule="auto"/>
        <w:rPr>
          <w:rFonts w:ascii="Arial" w:hAnsi="Arial" w:cs="Arial"/>
          <w:b/>
        </w:rPr>
      </w:pPr>
      <w:r>
        <w:rPr>
          <w:rFonts w:ascii="Arial" w:hAnsi="Arial" w:cs="Arial"/>
        </w:rPr>
        <w:t>Marcos Fernández-Martí</w:t>
      </w:r>
      <w:r w:rsidR="00A3593C" w:rsidRPr="001D4B42">
        <w:rPr>
          <w:rFonts w:ascii="Arial" w:hAnsi="Arial" w:cs="Arial"/>
        </w:rPr>
        <w:t>nez:</w:t>
      </w:r>
      <w:r w:rsidR="00141A42">
        <w:rPr>
          <w:rFonts w:ascii="Arial" w:hAnsi="Arial" w:cs="Arial"/>
          <w:b/>
        </w:rPr>
        <w:t xml:space="preserve"> </w:t>
      </w:r>
      <w:r w:rsidR="00A3593C" w:rsidRPr="00A3593C">
        <w:rPr>
          <w:rFonts w:ascii="Arial" w:hAnsi="Arial" w:cs="Arial"/>
          <w:b/>
        </w:rPr>
        <w:t>0000-0002-5661-3610</w:t>
      </w:r>
      <w:r w:rsidR="00465397">
        <w:rPr>
          <w:rFonts w:ascii="Arial" w:hAnsi="Arial" w:cs="Arial"/>
          <w:b/>
        </w:rPr>
        <w:br/>
      </w:r>
      <w:r w:rsidR="00A3593C" w:rsidRPr="001D4B42">
        <w:rPr>
          <w:rFonts w:ascii="Arial" w:hAnsi="Arial" w:cs="Arial"/>
        </w:rPr>
        <w:t>Jordi Sardans</w:t>
      </w:r>
      <w:r w:rsidR="00A3593C" w:rsidRPr="00A3593C">
        <w:rPr>
          <w:rFonts w:ascii="Arial" w:hAnsi="Arial" w:cs="Arial"/>
          <w:b/>
        </w:rPr>
        <w:t>: 0000-0003-2478-0219</w:t>
      </w:r>
      <w:r w:rsidR="00465397">
        <w:rPr>
          <w:rFonts w:ascii="Arial" w:hAnsi="Arial" w:cs="Arial"/>
          <w:b/>
        </w:rPr>
        <w:br/>
      </w:r>
      <w:r w:rsidRPr="00325913">
        <w:rPr>
          <w:rFonts w:ascii="Arial" w:hAnsi="Arial" w:cs="Arial"/>
          <w:lang w:val="en-US"/>
        </w:rPr>
        <w:t xml:space="preserve">Mirco Migliavacca: </w:t>
      </w:r>
      <w:r w:rsidRPr="001D4B42">
        <w:rPr>
          <w:rFonts w:ascii="Arial" w:hAnsi="Arial" w:cs="Arial"/>
          <w:b/>
        </w:rPr>
        <w:t>0000-0003-3546-8407</w:t>
      </w:r>
      <w:r w:rsidR="00465397">
        <w:rPr>
          <w:rFonts w:ascii="Arial" w:hAnsi="Arial" w:cs="Arial"/>
          <w:b/>
        </w:rPr>
        <w:br/>
      </w:r>
      <w:r w:rsidRPr="005E2F04">
        <w:rPr>
          <w:rFonts w:ascii="Arial" w:hAnsi="Arial" w:cs="Arial"/>
        </w:rPr>
        <w:t>Robert J. Scholes:</w:t>
      </w:r>
      <w:r>
        <w:rPr>
          <w:rFonts w:ascii="Arial" w:hAnsi="Arial" w:cs="Arial"/>
          <w:b/>
        </w:rPr>
        <w:t xml:space="preserve"> </w:t>
      </w:r>
      <w:r w:rsidRPr="005E2F04">
        <w:rPr>
          <w:rFonts w:ascii="Arial" w:hAnsi="Arial" w:cs="Arial"/>
          <w:b/>
        </w:rPr>
        <w:t>0000-0001-5537-6935</w:t>
      </w:r>
      <w:r w:rsidR="00465397">
        <w:rPr>
          <w:rFonts w:ascii="Arial" w:hAnsi="Arial" w:cs="Arial"/>
          <w:b/>
        </w:rPr>
        <w:br/>
      </w:r>
      <w:r w:rsidR="00A3593C" w:rsidRPr="001D4B42">
        <w:rPr>
          <w:rFonts w:ascii="Arial" w:hAnsi="Arial" w:cs="Arial"/>
        </w:rPr>
        <w:t>Josep Peñuelas</w:t>
      </w:r>
      <w:r w:rsidR="00A3593C" w:rsidRPr="00A3593C">
        <w:rPr>
          <w:rFonts w:ascii="Arial" w:hAnsi="Arial" w:cs="Arial"/>
          <w:b/>
        </w:rPr>
        <w:t>: 0000-0002-7215-0150</w:t>
      </w:r>
      <w:r w:rsidR="00465397">
        <w:rPr>
          <w:rFonts w:ascii="Arial" w:hAnsi="Arial" w:cs="Arial"/>
          <w:b/>
        </w:rPr>
        <w:br/>
      </w:r>
      <w:r w:rsidR="00A3593C" w:rsidRPr="001D4B42">
        <w:rPr>
          <w:rFonts w:ascii="Arial" w:hAnsi="Arial" w:cs="Arial"/>
        </w:rPr>
        <w:t>Ivan A Janssens</w:t>
      </w:r>
      <w:r w:rsidR="00A3593C" w:rsidRPr="00A3593C">
        <w:rPr>
          <w:rFonts w:ascii="Arial" w:hAnsi="Arial" w:cs="Arial"/>
          <w:b/>
        </w:rPr>
        <w:t>:</w:t>
      </w:r>
      <w:r w:rsidR="00141A42">
        <w:rPr>
          <w:rFonts w:ascii="Arial" w:hAnsi="Arial" w:cs="Arial"/>
          <w:b/>
        </w:rPr>
        <w:t xml:space="preserve"> </w:t>
      </w:r>
      <w:r w:rsidR="00A3593C" w:rsidRPr="00A3593C">
        <w:rPr>
          <w:rFonts w:ascii="Arial" w:hAnsi="Arial" w:cs="Arial"/>
          <w:b/>
        </w:rPr>
        <w:t>0000-0002-5707-1787</w:t>
      </w:r>
    </w:p>
    <w:p w14:paraId="4D08CA2D" w14:textId="6BC38FC6" w:rsidR="00480F53" w:rsidRPr="00364D88" w:rsidRDefault="00480F53" w:rsidP="00480F53">
      <w:pPr>
        <w:spacing w:line="360" w:lineRule="auto"/>
        <w:outlineLvl w:val="0"/>
        <w:rPr>
          <w:rFonts w:ascii="Arial" w:hAnsi="Arial"/>
          <w:b/>
          <w:lang w:val="en-GB"/>
        </w:rPr>
      </w:pPr>
      <w:r w:rsidRPr="00364D88">
        <w:rPr>
          <w:rFonts w:ascii="Arial" w:hAnsi="Arial"/>
          <w:b/>
          <w:lang w:val="en-GB"/>
        </w:rPr>
        <w:lastRenderedPageBreak/>
        <w:t xml:space="preserve">Abstract </w:t>
      </w:r>
    </w:p>
    <w:p w14:paraId="65410799" w14:textId="603188EA" w:rsidR="00480F53" w:rsidRPr="00364D88" w:rsidRDefault="00480F53" w:rsidP="00480F53">
      <w:pPr>
        <w:spacing w:line="360" w:lineRule="auto"/>
        <w:jc w:val="both"/>
        <w:rPr>
          <w:rFonts w:ascii="Arial" w:hAnsi="Arial"/>
          <w:lang w:val="en-GB"/>
        </w:rPr>
      </w:pPr>
      <w:r w:rsidRPr="00364D88">
        <w:rPr>
          <w:rFonts w:ascii="Arial" w:hAnsi="Arial"/>
          <w:lang w:val="en-GB"/>
        </w:rPr>
        <w:t>Global change is affecting terrestrial carbon balance</w:t>
      </w:r>
      <w:r w:rsidR="001134A7" w:rsidRPr="00364D88">
        <w:rPr>
          <w:rFonts w:ascii="Arial" w:hAnsi="Arial"/>
          <w:lang w:val="en-GB"/>
        </w:rPr>
        <w:t>s</w:t>
      </w:r>
      <w:r w:rsidRPr="00364D88">
        <w:rPr>
          <w:rFonts w:ascii="Arial" w:hAnsi="Arial"/>
          <w:lang w:val="en-GB"/>
        </w:rPr>
        <w:t>. The effect of climate on ecosystem carbon balance has been largely explored</w:t>
      </w:r>
      <w:r w:rsidR="001134A7" w:rsidRPr="00364D88">
        <w:rPr>
          <w:rFonts w:ascii="Arial" w:hAnsi="Arial"/>
          <w:lang w:val="en-GB"/>
        </w:rPr>
        <w:t>,</w:t>
      </w:r>
      <w:r w:rsidRPr="00364D88">
        <w:rPr>
          <w:rFonts w:ascii="Arial" w:hAnsi="Arial"/>
          <w:lang w:val="en-GB"/>
        </w:rPr>
        <w:t xml:space="preserve"> but the role</w:t>
      </w:r>
      <w:r w:rsidR="001134A7" w:rsidRPr="00364D88">
        <w:rPr>
          <w:rFonts w:ascii="Arial" w:hAnsi="Arial"/>
          <w:lang w:val="en-GB"/>
        </w:rPr>
        <w:t>s</w:t>
      </w:r>
      <w:r w:rsidRPr="00364D88">
        <w:rPr>
          <w:rFonts w:ascii="Arial" w:hAnsi="Arial"/>
          <w:lang w:val="en-GB"/>
        </w:rPr>
        <w:t xml:space="preserve"> of other </w:t>
      </w:r>
      <w:r w:rsidR="001134A7" w:rsidRPr="00364D88">
        <w:rPr>
          <w:rFonts w:ascii="Arial" w:hAnsi="Arial"/>
          <w:lang w:val="en-GB"/>
        </w:rPr>
        <w:t xml:space="preserve">concurrently changing </w:t>
      </w:r>
      <w:r w:rsidRPr="00364D88">
        <w:rPr>
          <w:rFonts w:ascii="Arial" w:hAnsi="Arial"/>
          <w:lang w:val="en-GB"/>
        </w:rPr>
        <w:t xml:space="preserve">factors, such as diversity and nutrient availability, remain elusive. We used </w:t>
      </w:r>
      <w:r w:rsidR="00817FED" w:rsidRPr="00364D88">
        <w:rPr>
          <w:rFonts w:ascii="Arial" w:hAnsi="Arial"/>
          <w:lang w:val="en-GB"/>
        </w:rPr>
        <w:t xml:space="preserve">eddy-covariance </w:t>
      </w:r>
      <w:r w:rsidRPr="00364D88">
        <w:rPr>
          <w:rFonts w:ascii="Arial" w:hAnsi="Arial"/>
          <w:lang w:val="en-GB"/>
        </w:rPr>
        <w:t xml:space="preserve">carbon-flux measurements from 62 </w:t>
      </w:r>
      <w:r w:rsidR="00817FED" w:rsidRPr="00364D88">
        <w:rPr>
          <w:rFonts w:ascii="Arial" w:hAnsi="Arial"/>
          <w:lang w:val="en-GB"/>
        </w:rPr>
        <w:t xml:space="preserve">ecosystems </w:t>
      </w:r>
      <w:r w:rsidRPr="00364D88">
        <w:rPr>
          <w:rFonts w:ascii="Arial" w:hAnsi="Arial"/>
          <w:lang w:val="en-GB"/>
        </w:rPr>
        <w:t xml:space="preserve">from which we compiled information on climate, </w:t>
      </w:r>
      <w:r w:rsidR="0082790A" w:rsidRPr="00364D88">
        <w:rPr>
          <w:rFonts w:ascii="Arial" w:hAnsi="Arial"/>
          <w:lang w:val="en-GB"/>
        </w:rPr>
        <w:t xml:space="preserve">ecosystem type, stand age, </w:t>
      </w:r>
      <w:r w:rsidRPr="00364D88">
        <w:rPr>
          <w:rFonts w:ascii="Arial" w:hAnsi="Arial"/>
          <w:lang w:val="en-GB"/>
        </w:rPr>
        <w:t xml:space="preserve">species abundance and foliar </w:t>
      </w:r>
      <w:r w:rsidR="0082790A" w:rsidRPr="00364D88">
        <w:rPr>
          <w:rFonts w:ascii="Arial" w:hAnsi="Arial"/>
          <w:lang w:val="en-GB"/>
        </w:rPr>
        <w:t>concentrations of N and P</w:t>
      </w:r>
      <w:r w:rsidRPr="00364D88">
        <w:rPr>
          <w:rFonts w:ascii="Arial" w:hAnsi="Arial"/>
          <w:lang w:val="en-GB"/>
        </w:rPr>
        <w:t xml:space="preserve"> of the main species, to assess the</w:t>
      </w:r>
      <w:r w:rsidR="0082790A" w:rsidRPr="00364D88">
        <w:rPr>
          <w:rFonts w:ascii="Arial" w:hAnsi="Arial"/>
          <w:lang w:val="en-GB"/>
        </w:rPr>
        <w:t>ir</w:t>
      </w:r>
      <w:r w:rsidRPr="00364D88">
        <w:rPr>
          <w:rFonts w:ascii="Arial" w:hAnsi="Arial"/>
          <w:lang w:val="en-GB"/>
        </w:rPr>
        <w:t xml:space="preserve"> importance </w:t>
      </w:r>
      <w:r w:rsidR="00817FED" w:rsidRPr="00364D88">
        <w:rPr>
          <w:rFonts w:ascii="Arial" w:hAnsi="Arial"/>
          <w:lang w:val="en-GB"/>
        </w:rPr>
        <w:t xml:space="preserve">in the </w:t>
      </w:r>
      <w:r w:rsidR="0082790A" w:rsidRPr="00364D88">
        <w:rPr>
          <w:rFonts w:ascii="Arial" w:hAnsi="Arial"/>
          <w:lang w:val="en-GB"/>
        </w:rPr>
        <w:t>ecosystem</w:t>
      </w:r>
      <w:r w:rsidRPr="00364D88">
        <w:rPr>
          <w:rFonts w:ascii="Arial" w:hAnsi="Arial"/>
          <w:lang w:val="en-GB"/>
        </w:rPr>
        <w:t xml:space="preserve"> carbon balance. Climate and productivity were the main determinants of </w:t>
      </w:r>
      <w:r w:rsidR="0082790A" w:rsidRPr="00364D88">
        <w:rPr>
          <w:rFonts w:ascii="Arial" w:hAnsi="Arial"/>
          <w:lang w:val="en-GB"/>
        </w:rPr>
        <w:t>ecosystem</w:t>
      </w:r>
      <w:r w:rsidRPr="00364D88">
        <w:rPr>
          <w:rFonts w:ascii="Arial" w:hAnsi="Arial"/>
          <w:lang w:val="en-GB"/>
        </w:rPr>
        <w:t xml:space="preserve"> C balance and its stability. In P-rich sites, increasing N was related with increased gross primary production and respiration</w:t>
      </w:r>
      <w:r w:rsidR="0082790A" w:rsidRPr="00364D88">
        <w:rPr>
          <w:rFonts w:ascii="Arial" w:hAnsi="Arial"/>
          <w:lang w:val="en-GB"/>
        </w:rPr>
        <w:t xml:space="preserve"> and vice versa,</w:t>
      </w:r>
      <w:r w:rsidRPr="00364D88">
        <w:rPr>
          <w:rFonts w:ascii="Arial" w:hAnsi="Arial"/>
          <w:lang w:val="en-GB"/>
        </w:rPr>
        <w:t xml:space="preserve"> but reduced </w:t>
      </w:r>
      <w:r w:rsidR="00817FED" w:rsidRPr="00364D88">
        <w:rPr>
          <w:rFonts w:ascii="Arial" w:hAnsi="Arial"/>
          <w:lang w:val="en-GB"/>
        </w:rPr>
        <w:t xml:space="preserve">net </w:t>
      </w:r>
      <w:r w:rsidR="00F520D5" w:rsidRPr="00364D88">
        <w:rPr>
          <w:rFonts w:ascii="Arial" w:hAnsi="Arial"/>
          <w:lang w:val="en-GB"/>
        </w:rPr>
        <w:t>C uptake</w:t>
      </w:r>
      <w:r w:rsidRPr="00364D88">
        <w:rPr>
          <w:rFonts w:ascii="Arial" w:hAnsi="Arial"/>
          <w:lang w:val="en-GB"/>
        </w:rPr>
        <w:t xml:space="preserve">. Our analyses </w:t>
      </w:r>
      <w:r w:rsidR="00817FED" w:rsidRPr="00364D88">
        <w:rPr>
          <w:rFonts w:ascii="Arial" w:hAnsi="Arial"/>
          <w:lang w:val="en-GB"/>
        </w:rPr>
        <w:t xml:space="preserve">did not </w:t>
      </w:r>
      <w:r w:rsidRPr="00364D88">
        <w:rPr>
          <w:rFonts w:ascii="Arial" w:hAnsi="Arial"/>
          <w:lang w:val="en-GB"/>
        </w:rPr>
        <w:t>provide</w:t>
      </w:r>
      <w:r w:rsidR="00817FED" w:rsidRPr="00364D88">
        <w:rPr>
          <w:rFonts w:ascii="Arial" w:hAnsi="Arial"/>
          <w:lang w:val="en-GB"/>
        </w:rPr>
        <w:t xml:space="preserve"> evidence for a strong relation between</w:t>
      </w:r>
      <w:r w:rsidRPr="00364D88">
        <w:rPr>
          <w:rFonts w:ascii="Arial" w:hAnsi="Arial"/>
          <w:lang w:val="en-GB"/>
        </w:rPr>
        <w:t xml:space="preserve"> ecosystem</w:t>
      </w:r>
      <w:r w:rsidR="00817FED" w:rsidRPr="00364D88">
        <w:rPr>
          <w:rFonts w:ascii="Arial" w:hAnsi="Arial"/>
          <w:lang w:val="en-GB"/>
        </w:rPr>
        <w:t xml:space="preserve"> diversity and their </w:t>
      </w:r>
      <w:r w:rsidRPr="00364D88">
        <w:rPr>
          <w:rFonts w:ascii="Arial" w:hAnsi="Arial"/>
          <w:lang w:val="en-GB"/>
        </w:rPr>
        <w:t>productiv</w:t>
      </w:r>
      <w:r w:rsidR="00817FED" w:rsidRPr="00364D88">
        <w:rPr>
          <w:rFonts w:ascii="Arial" w:hAnsi="Arial"/>
          <w:lang w:val="en-GB"/>
        </w:rPr>
        <w:t>ity</w:t>
      </w:r>
      <w:r w:rsidRPr="00364D88">
        <w:rPr>
          <w:rFonts w:ascii="Arial" w:hAnsi="Arial"/>
          <w:lang w:val="en-GB"/>
        </w:rPr>
        <w:t xml:space="preserve"> and stab</w:t>
      </w:r>
      <w:r w:rsidR="00817FED" w:rsidRPr="00364D88">
        <w:rPr>
          <w:rFonts w:ascii="Arial" w:hAnsi="Arial"/>
          <w:lang w:val="en-GB"/>
        </w:rPr>
        <w:t>ility</w:t>
      </w:r>
      <w:r w:rsidRPr="00364D88">
        <w:rPr>
          <w:rFonts w:ascii="Arial" w:hAnsi="Arial"/>
          <w:lang w:val="en-GB"/>
        </w:rPr>
        <w:t xml:space="preserve">. </w:t>
      </w:r>
      <w:r w:rsidR="00817FED" w:rsidRPr="00364D88">
        <w:rPr>
          <w:rFonts w:ascii="Arial" w:hAnsi="Arial"/>
          <w:lang w:val="en-GB"/>
        </w:rPr>
        <w:t xml:space="preserve">Nonetheless, these </w:t>
      </w:r>
      <w:r w:rsidRPr="00364D88">
        <w:rPr>
          <w:rFonts w:ascii="Arial" w:hAnsi="Arial"/>
          <w:lang w:val="en-GB"/>
        </w:rPr>
        <w:t>results sugge</w:t>
      </w:r>
      <w:r w:rsidR="00383C7B" w:rsidRPr="00364D88">
        <w:rPr>
          <w:rFonts w:ascii="Arial" w:hAnsi="Arial"/>
          <w:lang w:val="en-GB"/>
        </w:rPr>
        <w:t xml:space="preserve">st that nutrient imbalances and, potentially, </w:t>
      </w:r>
      <w:r w:rsidRPr="00364D88">
        <w:rPr>
          <w:rFonts w:ascii="Arial" w:hAnsi="Arial"/>
          <w:lang w:val="en-GB"/>
        </w:rPr>
        <w:t xml:space="preserve">diversity loss may </w:t>
      </w:r>
      <w:r w:rsidR="0082790A" w:rsidRPr="00364D88">
        <w:rPr>
          <w:rFonts w:ascii="Arial" w:hAnsi="Arial"/>
          <w:lang w:val="en-GB"/>
        </w:rPr>
        <w:t>alter future</w:t>
      </w:r>
      <w:r w:rsidRPr="00364D88">
        <w:rPr>
          <w:rFonts w:ascii="Arial" w:hAnsi="Arial"/>
          <w:lang w:val="en-GB"/>
        </w:rPr>
        <w:t xml:space="preserve"> global carbon balance. </w:t>
      </w:r>
    </w:p>
    <w:p w14:paraId="675E6E58" w14:textId="088888C6" w:rsidR="002A58B0" w:rsidRPr="00364D88" w:rsidRDefault="002A58B0" w:rsidP="00480F53">
      <w:pPr>
        <w:spacing w:line="360" w:lineRule="auto"/>
        <w:jc w:val="both"/>
        <w:rPr>
          <w:rFonts w:ascii="Arial" w:hAnsi="Arial" w:cs="Arial"/>
        </w:rPr>
      </w:pPr>
      <w:r w:rsidRPr="00364D88">
        <w:rPr>
          <w:rFonts w:ascii="Arial" w:hAnsi="Arial" w:cs="Arial"/>
          <w:b/>
        </w:rPr>
        <w:t>Keywords:</w:t>
      </w:r>
      <w:r w:rsidRPr="00364D88">
        <w:rPr>
          <w:rFonts w:ascii="Arial" w:hAnsi="Arial" w:cs="Arial"/>
        </w:rPr>
        <w:t xml:space="preserve"> Elemental composition, ecosystem functioning, nitrogen, phosphorus, nutrients, biodiversity.</w:t>
      </w:r>
    </w:p>
    <w:p w14:paraId="5A953412" w14:textId="77777777" w:rsidR="002A58B0" w:rsidRPr="00364D88" w:rsidRDefault="002A58B0" w:rsidP="006F6994">
      <w:pPr>
        <w:spacing w:line="360" w:lineRule="auto"/>
        <w:jc w:val="both"/>
        <w:outlineLvl w:val="0"/>
        <w:rPr>
          <w:rFonts w:ascii="Arial" w:hAnsi="Arial"/>
          <w:b/>
          <w:lang w:val="en-GB"/>
        </w:rPr>
      </w:pPr>
      <w:r w:rsidRPr="00364D88">
        <w:rPr>
          <w:rFonts w:ascii="Arial" w:hAnsi="Arial"/>
          <w:b/>
          <w:lang w:val="en-GB"/>
        </w:rPr>
        <w:br w:type="page"/>
      </w:r>
    </w:p>
    <w:p w14:paraId="3FC7CCD7" w14:textId="38B7CF57" w:rsidR="00994777" w:rsidRPr="00364D88" w:rsidRDefault="00FE2F94" w:rsidP="006F6994">
      <w:pPr>
        <w:spacing w:line="360" w:lineRule="auto"/>
        <w:jc w:val="both"/>
        <w:outlineLvl w:val="0"/>
        <w:rPr>
          <w:rFonts w:ascii="Arial" w:hAnsi="Arial"/>
          <w:b/>
          <w:lang w:val="en-GB"/>
        </w:rPr>
      </w:pPr>
      <w:r w:rsidRPr="00364D88">
        <w:rPr>
          <w:rFonts w:ascii="Arial" w:hAnsi="Arial"/>
          <w:b/>
          <w:lang w:val="en-GB"/>
        </w:rPr>
        <w:lastRenderedPageBreak/>
        <w:t>Main</w:t>
      </w:r>
    </w:p>
    <w:p w14:paraId="134EB8F9" w14:textId="0169960C" w:rsidR="008E616F" w:rsidRPr="00364D88" w:rsidRDefault="008E616F" w:rsidP="00F3176B">
      <w:pPr>
        <w:spacing w:line="360" w:lineRule="auto"/>
        <w:jc w:val="both"/>
        <w:outlineLvl w:val="0"/>
        <w:rPr>
          <w:rFonts w:ascii="Arial" w:hAnsi="Arial"/>
          <w:lang w:val="en-GB"/>
        </w:rPr>
      </w:pPr>
      <w:r w:rsidRPr="00364D88">
        <w:rPr>
          <w:rFonts w:ascii="Arial" w:hAnsi="Arial"/>
          <w:lang w:val="en-GB"/>
        </w:rPr>
        <w:t>Anthropogenic activities, and their consequent global change, are altering ecosystems worldwide. Climate change, the alteration of global biogeochemical cycles and biodiversity loss are a</w:t>
      </w:r>
      <w:r w:rsidR="00F3176B" w:rsidRPr="00364D88">
        <w:rPr>
          <w:rFonts w:ascii="Arial" w:hAnsi="Arial"/>
          <w:lang w:val="en-GB"/>
        </w:rPr>
        <w:t>mongst the most important impacts of global change</w:t>
      </w:r>
      <w:r w:rsidR="009E486E" w:rsidRPr="00364D88">
        <w:rPr>
          <w:rFonts w:ascii="Arial" w:hAnsi="Arial"/>
          <w:lang w:val="en-GB"/>
        </w:rPr>
        <w:t xml:space="preserve"> </w:t>
      </w:r>
      <w:r w:rsidR="00D76781" w:rsidRPr="00364D88">
        <w:rPr>
          <w:rFonts w:ascii="Arial" w:hAnsi="Arial"/>
          <w:lang w:val="en-GB"/>
        </w:rPr>
        <w:fldChar w:fldCharType="begin" w:fldLock="1"/>
      </w:r>
      <w:r w:rsidR="00114B12" w:rsidRPr="00364D88">
        <w:rPr>
          <w:rFonts w:ascii="Arial" w:hAnsi="Arial"/>
          <w:lang w:val="en-GB"/>
        </w:rPr>
        <w:instrText>ADDIN CSL_CITATION {"citationItems":[{"id":"ITEM-1","itemData":{"PMID":"19779433","abstract":"Identifying and quantifying planetary boundaries that must not be transgressed could help prevent human activities from causing unacceptable environmental change, argue Johan Rockström and colleagues.","author":[{"dropping-particle":"","family":"Rockström","given":"Johan","non-dropping-particle":"","parse-names":false,"suffix":""},{"dropping-particle":"","family":"Steffen","given":"Will","non-dropping-particle":"","parse-names":false,"suffix":""},{"dropping-particle":"","family":"Noone","given":"Kevin","non-dropping-particle":"","parse-names":false,"suffix":""},{"dropping-particle":"","family":"Persson","given":"Asa","non-dropping-particle":"","parse-names":false,"suffix":""},{"dropping-particle":"","family":"Chapin","given":"F Stuart","non-dropping-particle":"","parse-names":false,"suffix":""},{"dropping-particle":"","family":"Lambin","given":"Eric F","non-dropping-particle":"","parse-names":false,"suffix":""},{"dropping-particle":"","family":"Lenton","given":"Timothy M","non-dropping-particle":"","parse-names":false,"suffix":""},{"dropping-particle":"","family":"Scheffer","given":"Marten","non-dropping-particle":"","parse-names":false,"suffix":""},{"dropping-particle":"","family":"Folke","given":"Carl","non-dropping-particle":"","parse-names":false,"suffix":""},{"dropping-particle":"","family":"Schellnhuber","given":"Hans Joachim","non-dropping-particle":"","parse-names":false,"suffix":""},{"dropping-particle":"","family":"Nykvist","given":"Björn","non-dropping-particle":"","parse-names":false,"suffix":""},{"dropping-particle":"","family":"Wit","given":"Cynthia A","non-dropping-particle":"De","parse-names":false,"suffix":""},{"dropping-particle":"","family":"Hughes","given":"Terry","non-dropping-particle":"","parse-names":false,"suffix":""},{"dropping-particle":"","family":"Leeuw","given":"Sander","non-dropping-particle":"Van Der","parse-names":false,"suffix":""},{"dropping-particle":"","family":"Rodhe","given":"Henning","non-dropping-particle":"","parse-names":false,"suffix":""},{"dropping-particle":"","family":"Sörlin","given":"Sverker","non-dropping-particle":"","parse-names":false,"suffix":""},{"dropping-particle":"","family":"Snyder","given":"Peter K","non-dropping-particle":"","parse-names":false,"suffix":""},{"dropping-particle":"","family":"Costanza","given":"Robert","non-dropping-particle":"","parse-names":false,"suffix":""},{"dropping-particle":"","family":"Svedin","given":"Uno","non-dropping-particle":"","parse-names":false,"suffix":""},{"dropping-particle":"","family":"Falkenmark","given":"Malin","non-dropping-particle":"","parse-names":false,"suffix":""},{"dropping-particle":"","family":"Karlberg","given":"Louise","non-dropping-particle":"","parse-names":false,"suffix":""},{"dropping-particle":"","family":"Corell","given":"Robert W","non-dropping-particle":"","parse-names":false,"suffix":""},{"dropping-particle":"","family":"Fabry","given":"Victoria J","non-dropping-particle":"","parse-names":false,"suffix":""},{"dropping-particle":"","family":"Hansen","given":"James","non-dropping-particle":"","parse-names":false,"suffix":""},{"dropping-particle":"","family":"Walker","given":"Brian","non-dropping-particle":"","parse-names":false,"suffix":""},{"dropping-particle":"","family":"Liverman","given":"Diana","non-dropping-particle":"","parse-names":false,"suffix":""},{"dropping-particle":"","family":"Richardson","given":"Katherine","non-dropping-particle":"","parse-names":false,"suffix":""},{"dropping-particle":"","family":"Crutzen","given":"Paul","non-dropping-particle":"","parse-names":false,"suffix":""},{"dropping-particle":"","family":"Foley","given":"Jonathan A","non-dropping-particle":"","parse-names":false,"suffix":""}],"container-title":"Nature","id":"ITEM-1","issue":"7263","issued":{"date-parts":[["2009"]]},"page":"472-475","publisher":"Nature Publishing Group","title":"A safe operating space for humanity.","type":"article-journal","volume":"461"},"uris":["http://www.mendeley.com/documents/?uuid=c501ad9a-3b67-449c-ae5d-c5b772d59f71"]},{"id":"ITEM-2","itemData":{"DOI":"10.1126/science.1259855","ISSN":"0036-8075","author":[{"dropping-particle":"","family":"Steffen","given":"Will","non-dropping-particle":"","parse-names":false,"suffix":""},{"dropping-particle":"","family":"Richardson","given":"Katherine","non-dropping-particle":"","parse-names":false,"suffix":""},{"dropping-particle":"","family":"Rockstrom","given":"J.","non-dropping-particle":"","parse-names":false,"suffix":""},{"dropping-particle":"","family":"Cornell","given":"Sarah E","non-dropping-particle":"","parse-names":false,"suffix":""},{"dropping-particle":"","family":"Fetzer","given":"Ingo","non-dropping-particle":"","parse-names":false,"suffix":""},{"dropping-particle":"","family":"Bennett","given":"Elena M","non-dropping-particle":"","parse-names":false,"suffix":""},{"dropping-particle":"","family":"Biggs","given":"Reinette","non-dropping-particle":"","parse-names":false,"suffix":""},{"dropping-particle":"","family":"Carpenter","given":"Stephen R","non-dropping-particle":"","parse-names":false,"suffix":""},{"dropping-particle":"","family":"Vries","given":"W.","non-dropping-particle":"de","parse-names":false,"suffix":""},{"dropping-particle":"","family":"Wit","given":"C. A.","non-dropping-particle":"de","parse-names":false,"suffix":""},{"dropping-particle":"","family":"Folke","given":"Carl","non-dropping-particle":"","parse-names":false,"suffix":""},{"dropping-particle":"","family":"Gerten","given":"Dieter","non-dropping-particle":"","parse-names":false,"suffix":""},{"dropping-particle":"","family":"Heinke","given":"Jens","non-dropping-particle":"","parse-names":false,"suffix":""},{"dropping-particle":"","family":"Mace","given":"Georgina M","non-dropping-particle":"","parse-names":false,"suffix":""},{"dropping-particle":"","family":"Persson","given":"Linn M","non-dropping-particle":"","parse-names":false,"suffix":""},{"dropping-particle":"","family":"Ramanathan","given":"Veerabhadran","non-dropping-particle":"","parse-names":false,"suffix":""},{"dropping-particle":"","family":"Reyers","given":"Belinda","non-dropping-particle":"","parse-names":false,"suffix":""},{"dropping-particle":"","family":"Sorlin","given":"S.","non-dropping-particle":"","parse-names":false,"suffix":""}],"container-title":"Science","id":"ITEM-2","issue":"6223","issued":{"date-parts":[["2015","2","13"]]},"page":"1259855-1259855","title":"Planetary boundaries: Guiding human development on a changing planet","type":"article-journal","volume":"347"},"uris":["http://www.mendeley.com/documents/?uuid=1be713f7-ef56-4427-9f38-a8b7e0df9440"]}],"mendeley":{"formattedCitation":"(Rockström &lt;i&gt;et al.&lt;/i&gt;, 2009; Steffen &lt;i&gt;et al.&lt;/i&gt;, 2015)","plainTextFormattedCitation":"(Rockström et al., 2009; Steffen et al., 2015)","previouslyFormattedCitation":"(Rockström &lt;i&gt;et al.&lt;/i&gt;, 2009; Steffen &lt;i&gt;et al.&lt;/i&gt;, 2015)"},"properties":{"noteIndex":0},"schema":"https://github.com/citation-style-language/schema/raw/master/csl-citation.json"}</w:instrText>
      </w:r>
      <w:r w:rsidR="00D76781" w:rsidRPr="00364D88">
        <w:rPr>
          <w:rFonts w:ascii="Arial" w:hAnsi="Arial"/>
          <w:lang w:val="en-GB"/>
        </w:rPr>
        <w:fldChar w:fldCharType="separate"/>
      </w:r>
      <w:r w:rsidR="009E486E" w:rsidRPr="00364D88">
        <w:rPr>
          <w:rFonts w:ascii="Arial" w:hAnsi="Arial"/>
          <w:noProof/>
          <w:lang w:val="en-GB"/>
        </w:rPr>
        <w:t xml:space="preserve">(Rockström </w:t>
      </w:r>
      <w:r w:rsidR="009E486E" w:rsidRPr="00364D88">
        <w:rPr>
          <w:rFonts w:ascii="Arial" w:hAnsi="Arial"/>
          <w:i/>
          <w:noProof/>
          <w:lang w:val="en-GB"/>
        </w:rPr>
        <w:t>et al.</w:t>
      </w:r>
      <w:r w:rsidR="009E486E" w:rsidRPr="00364D88">
        <w:rPr>
          <w:rFonts w:ascii="Arial" w:hAnsi="Arial"/>
          <w:noProof/>
          <w:lang w:val="en-GB"/>
        </w:rPr>
        <w:t xml:space="preserve">, 2009; Steffen </w:t>
      </w:r>
      <w:r w:rsidR="009E486E" w:rsidRPr="00364D88">
        <w:rPr>
          <w:rFonts w:ascii="Arial" w:hAnsi="Arial"/>
          <w:i/>
          <w:noProof/>
          <w:lang w:val="en-GB"/>
        </w:rPr>
        <w:t>et al.</w:t>
      </w:r>
      <w:r w:rsidR="009E486E" w:rsidRPr="00364D88">
        <w:rPr>
          <w:rFonts w:ascii="Arial" w:hAnsi="Arial"/>
          <w:noProof/>
          <w:lang w:val="en-GB"/>
        </w:rPr>
        <w:t>, 2015)</w:t>
      </w:r>
      <w:r w:rsidR="00D76781" w:rsidRPr="00364D88">
        <w:rPr>
          <w:rFonts w:ascii="Arial" w:hAnsi="Arial"/>
          <w:lang w:val="en-GB"/>
        </w:rPr>
        <w:fldChar w:fldCharType="end"/>
      </w:r>
      <w:r w:rsidRPr="00364D88">
        <w:rPr>
          <w:rFonts w:ascii="Arial" w:hAnsi="Arial"/>
          <w:lang w:val="en-GB"/>
        </w:rPr>
        <w:t xml:space="preserve">. </w:t>
      </w:r>
      <w:r w:rsidR="00832B51" w:rsidRPr="00364D88">
        <w:rPr>
          <w:rFonts w:ascii="Arial" w:hAnsi="Arial"/>
          <w:lang w:val="en-GB"/>
        </w:rPr>
        <w:t>Firstly</w:t>
      </w:r>
      <w:r w:rsidRPr="00364D88">
        <w:rPr>
          <w:rFonts w:ascii="Arial" w:hAnsi="Arial"/>
          <w:lang w:val="en-GB"/>
        </w:rPr>
        <w:t xml:space="preserve">, </w:t>
      </w:r>
      <w:r w:rsidR="00F3176B" w:rsidRPr="00364D88">
        <w:rPr>
          <w:rFonts w:ascii="Arial" w:hAnsi="Arial"/>
          <w:lang w:val="en-GB"/>
        </w:rPr>
        <w:t>climate change</w:t>
      </w:r>
      <w:r w:rsidRPr="00364D88">
        <w:rPr>
          <w:rFonts w:ascii="Arial" w:hAnsi="Arial"/>
          <w:lang w:val="en-GB"/>
        </w:rPr>
        <w:t xml:space="preserve"> is</w:t>
      </w:r>
      <w:r w:rsidR="00F3176B" w:rsidRPr="00364D88">
        <w:rPr>
          <w:rFonts w:ascii="Arial" w:hAnsi="Arial"/>
          <w:lang w:val="en-GB"/>
        </w:rPr>
        <w:t xml:space="preserve"> characterized by increasing mean </w:t>
      </w:r>
      <w:r w:rsidRPr="00364D88">
        <w:rPr>
          <w:rFonts w:ascii="Arial" w:hAnsi="Arial"/>
          <w:lang w:val="en-GB"/>
        </w:rPr>
        <w:t xml:space="preserve">global </w:t>
      </w:r>
      <w:r w:rsidR="00F3176B" w:rsidRPr="00364D88">
        <w:rPr>
          <w:rFonts w:ascii="Arial" w:hAnsi="Arial"/>
          <w:lang w:val="en-GB"/>
        </w:rPr>
        <w:t>temperatures</w:t>
      </w:r>
      <w:r w:rsidR="00832B51" w:rsidRPr="00364D88">
        <w:rPr>
          <w:rFonts w:ascii="Arial" w:hAnsi="Arial"/>
          <w:lang w:val="en-GB"/>
        </w:rPr>
        <w:t xml:space="preserve"> and</w:t>
      </w:r>
      <w:r w:rsidRPr="00364D88">
        <w:rPr>
          <w:rFonts w:ascii="Arial" w:hAnsi="Arial"/>
          <w:lang w:val="en-GB"/>
        </w:rPr>
        <w:t xml:space="preserve"> altering </w:t>
      </w:r>
      <w:r w:rsidR="00F3176B" w:rsidRPr="00364D88">
        <w:rPr>
          <w:rFonts w:ascii="Arial" w:hAnsi="Arial"/>
          <w:lang w:val="en-GB"/>
        </w:rPr>
        <w:t>precipitation regimes</w:t>
      </w:r>
      <w:r w:rsidR="009E486E" w:rsidRPr="00364D88">
        <w:rPr>
          <w:rFonts w:ascii="Arial" w:hAnsi="Arial"/>
          <w:lang w:val="en-GB"/>
        </w:rPr>
        <w:t xml:space="preserve"> </w:t>
      </w:r>
      <w:r w:rsidR="00F3176B" w:rsidRPr="00364D88">
        <w:rPr>
          <w:rFonts w:ascii="Arial" w:hAnsi="Arial"/>
          <w:lang w:val="en-GB"/>
        </w:rPr>
        <w:fldChar w:fldCharType="begin" w:fldLock="1"/>
      </w:r>
      <w:r w:rsidR="00114B12" w:rsidRPr="00364D88">
        <w:rPr>
          <w:rFonts w:ascii="Arial" w:hAnsi="Arial"/>
          <w:lang w:val="en-GB"/>
        </w:rPr>
        <w:instrText>ADDIN CSL_CITATION {"citationItems":[{"id":"ITEM-1","itemData":{"DOI":"10.1017/CBO9781107415324.015","ISBN":"ISBN 978-1-107-66182-0","ISSN":"1098-6596","PMID":"25246403","abstract":"[Stocker, T.F., D. Qin, G.-K. Plattner, M. Tignor, S.K. Allen, J. Boschung, A. Nauels, Y. Xia, V. Bex and P.M. Midgley (eds.)]","author":[{"dropping-particle":"","family":"Ciais","given":"Philippe","non-dropping-particle":"","parse-names":false,"suffix":""},{"dropping-particle":"","family":"Sabine","given":"Christopher","non-dropping-particle":"","parse-names":false,"suffix":""},{"dropping-particle":"","family":"Bala","given":"G","non-dropping-particle":"","parse-names":false,"suffix":""},{"dropping-particle":"","family":"Bopp","given":"Laurent","non-dropping-particle":"","parse-names":false,"suffix":""},{"dropping-particle":"","family":"Brovkin","given":"Victor","non-dropping-particle":"","parse-names":false,"suffix":""},{"dropping-particle":"","family":"Canadell","given":"J.","non-dropping-particle":"","parse-names":false,"suffix":""},{"dropping-particle":"","family":"Chhabra","given":"A","non-dropping-particle":"","parse-names":false,"suffix":""},{"dropping-particle":"","family":"DeFries","given":"R","non-dropping-particle":"","parse-names":false,"suffix":""},{"dropping-particle":"","family":"Galloway","given":"J.","non-dropping-particle":"","parse-names":false,"suffix":""},{"dropping-particle":"","family":"Heimann","given":"Martin","non-dropping-particle":"","parse-names":false,"suffix":""},{"dropping-particle":"","family":"Jones","given":"C","non-dropping-particle":"","parse-names":false,"suffix":""},{"dropping-particle":"Le","family":"Quéré","given":"C.","non-dropping-particle":"","parse-names":false,"suffix":""},{"dropping-particle":"","family":"Myneni","given":"R.B.","non-dropping-particle":"","parse-names":false,"suffix":""},{"dropping-particle":"","family":"Piao","given":"S","non-dropping-particle":"","parse-names":false,"suffix":""},{"dropping-particle":"","family":"Thornton","given":"P","non-dropping-particle":"","parse-names":false,"suffix":""}],"container-title":"Change, IPCC Climate","id":"ITEM-1","issued":{"date-parts":[["2013"]]},"page":"465-570","title":"The physical science basis. Contribution of working group I to the fifth assessment report of the intergovernmental panel on climate change","type":"article"},"uris":["http://www.mendeley.com/documents/?uuid=fe1bab52-9885-4775-8893-d36c05a91907"]}],"mendeley":{"formattedCitation":"(Ciais &lt;i&gt;et al.&lt;/i&gt;, 2013)","plainTextFormattedCitation":"(Ciais et al., 2013)","previouslyFormattedCitation":"(Ciais &lt;i&gt;et al.&lt;/i&gt;, 2013)"},"properties":{"noteIndex":0},"schema":"https://github.com/citation-style-language/schema/raw/master/csl-citation.json"}</w:instrText>
      </w:r>
      <w:r w:rsidR="00F3176B" w:rsidRPr="00364D88">
        <w:rPr>
          <w:rFonts w:ascii="Arial" w:hAnsi="Arial"/>
          <w:lang w:val="en-GB"/>
        </w:rPr>
        <w:fldChar w:fldCharType="separate"/>
      </w:r>
      <w:r w:rsidR="009E486E" w:rsidRPr="00364D88">
        <w:rPr>
          <w:rFonts w:ascii="Arial" w:hAnsi="Arial"/>
          <w:noProof/>
          <w:lang w:val="en-GB"/>
        </w:rPr>
        <w:t xml:space="preserve">(Ciais </w:t>
      </w:r>
      <w:r w:rsidR="009E486E" w:rsidRPr="00364D88">
        <w:rPr>
          <w:rFonts w:ascii="Arial" w:hAnsi="Arial"/>
          <w:i/>
          <w:noProof/>
          <w:lang w:val="en-GB"/>
        </w:rPr>
        <w:t>et al.</w:t>
      </w:r>
      <w:r w:rsidR="009E486E" w:rsidRPr="00364D88">
        <w:rPr>
          <w:rFonts w:ascii="Arial" w:hAnsi="Arial"/>
          <w:noProof/>
          <w:lang w:val="en-GB"/>
        </w:rPr>
        <w:t>, 2013)</w:t>
      </w:r>
      <w:r w:rsidR="00F3176B" w:rsidRPr="00364D88">
        <w:rPr>
          <w:rFonts w:ascii="Arial" w:hAnsi="Arial"/>
          <w:lang w:val="en-GB"/>
        </w:rPr>
        <w:fldChar w:fldCharType="end"/>
      </w:r>
      <w:r w:rsidR="00BC26A7" w:rsidRPr="00364D88">
        <w:rPr>
          <w:rFonts w:ascii="Arial" w:hAnsi="Arial"/>
          <w:lang w:val="en-GB"/>
        </w:rPr>
        <w:t>, causing dramatic changes in ecosystem functioning</w:t>
      </w:r>
      <w:r w:rsidR="009E486E" w:rsidRPr="00364D88">
        <w:rPr>
          <w:rFonts w:ascii="Arial" w:hAnsi="Arial"/>
          <w:lang w:val="en-GB"/>
        </w:rPr>
        <w:t xml:space="preserve"> </w:t>
      </w:r>
      <w:r w:rsidR="007E7596" w:rsidRPr="00364D88">
        <w:rPr>
          <w:rFonts w:ascii="Arial" w:hAnsi="Arial"/>
          <w:lang w:val="en-GB"/>
        </w:rPr>
        <w:fldChar w:fldCharType="begin" w:fldLock="1"/>
      </w:r>
      <w:r w:rsidR="00114B12" w:rsidRPr="00364D88">
        <w:rPr>
          <w:rFonts w:ascii="Arial" w:hAnsi="Arial"/>
          <w:lang w:val="en-GB"/>
        </w:rPr>
        <w:instrText>ADDIN CSL_CITATION {"citationItems":[{"id":"ITEM-1","itemData":{"DOI":"10.1038/s41558-018-0367-7","ISSN":"1758-678X","author":[{"dropping-particle":"","family":"Fernández-Martínez","given":"M.","non-dropping-particle":"","parse-names":false,"suffix":""},{"dropping-particle":"","family":"Sardans","given":"J.","non-dropping-particle":"","parse-names":false,"suffix":""},{"dropping-particle":"","family":"Chevallier","given":"F.","non-dropping-particle":"","parse-names":false,"suffix":""},{"dropping-particle":"","family":"Ciais","given":"P.","non-dropping-particle":"","parse-names":false,"suffix":""},{"dropping-particle":"","family":"Obersteiner","given":"M.","non-dropping-particle":"","parse-names":false,"suffix":""},{"dropping-particle":"","family":"Vicca","given":"S.","non-dropping-particle":"","parse-names":false,"suffix":""},{"dropping-particle":"","family":"Canadell","given":"J. G.","non-dropping-particle":"","parse-names":false,"suffix":""},{"dropping-particle":"","family":"Bastos","given":"A.","non-dropping-particle":"","parse-names":false,"suffix":""},{"dropping-particle":"","family":"Friedlingstein","given":"P.","non-dropping-particle":"","parse-names":false,"suffix":""},{"dropping-particle":"","family":"Sitch","given":"S.","non-dropping-particle":"","parse-names":false,"suffix":""},{"dropping-particle":"","family":"Piao","given":"S. L.","non-dropping-particle":"","parse-names":false,"suffix":""},{"dropping-particle":"","family":"Janssens","given":"I. A.","non-dropping-particle":"","parse-names":false,"suffix":""},{"dropping-particle":"","family":"Peñuelas","given":"J.","non-dropping-particle":"","parse-names":false,"suffix":""}],"container-title":"Nature Climate Change","id":"ITEM-1","issued":{"date-parts":[["2019"]]},"page":"73–79","title":"Global trends in carbon sinks and their relationships with CO2 and temperature","type":"article-journal","volume":"9"},"uris":["http://www.mendeley.com/documents/?uuid=117b7c6c-43db-4c05-b8e2-a45fe95172d5"]}],"mendeley":{"formattedCitation":"(Fernández-Martínez &lt;i&gt;et al.&lt;/i&gt;, 2019)","plainTextFormattedCitation":"(Fernández-Martínez et al., 2019)","previouslyFormattedCitation":"(Fernández-Martínez &lt;i&gt;et al.&lt;/i&gt;, 2019)"},"properties":{"noteIndex":0},"schema":"https://github.com/citation-style-language/schema/raw/master/csl-citation.json"}</w:instrText>
      </w:r>
      <w:r w:rsidR="007E7596" w:rsidRPr="00364D88">
        <w:rPr>
          <w:rFonts w:ascii="Arial" w:hAnsi="Arial"/>
          <w:lang w:val="en-GB"/>
        </w:rPr>
        <w:fldChar w:fldCharType="separate"/>
      </w:r>
      <w:r w:rsidR="009E486E" w:rsidRPr="00364D88">
        <w:rPr>
          <w:rFonts w:ascii="Arial" w:hAnsi="Arial"/>
          <w:noProof/>
          <w:lang w:val="en-GB"/>
        </w:rPr>
        <w:t xml:space="preserve">(Fernández-Martínez </w:t>
      </w:r>
      <w:r w:rsidR="009E486E" w:rsidRPr="00364D88">
        <w:rPr>
          <w:rFonts w:ascii="Arial" w:hAnsi="Arial"/>
          <w:i/>
          <w:noProof/>
          <w:lang w:val="en-GB"/>
        </w:rPr>
        <w:t>et al.</w:t>
      </w:r>
      <w:r w:rsidR="009E486E" w:rsidRPr="00364D88">
        <w:rPr>
          <w:rFonts w:ascii="Arial" w:hAnsi="Arial"/>
          <w:noProof/>
          <w:lang w:val="en-GB"/>
        </w:rPr>
        <w:t>, 2019)</w:t>
      </w:r>
      <w:r w:rsidR="007E7596" w:rsidRPr="00364D88">
        <w:rPr>
          <w:rFonts w:ascii="Arial" w:hAnsi="Arial"/>
          <w:lang w:val="en-GB"/>
        </w:rPr>
        <w:fldChar w:fldCharType="end"/>
      </w:r>
      <w:r w:rsidR="00832B51" w:rsidRPr="00364D88">
        <w:rPr>
          <w:rFonts w:ascii="Arial" w:hAnsi="Arial"/>
          <w:lang w:val="en-GB"/>
        </w:rPr>
        <w:t>. Secondly, t</w:t>
      </w:r>
      <w:r w:rsidRPr="00364D88">
        <w:rPr>
          <w:rFonts w:ascii="Arial" w:hAnsi="Arial"/>
          <w:lang w:val="en-GB"/>
        </w:rPr>
        <w:t xml:space="preserve">he </w:t>
      </w:r>
      <w:r w:rsidR="00832B51" w:rsidRPr="00364D88">
        <w:rPr>
          <w:rFonts w:ascii="Arial" w:hAnsi="Arial"/>
          <w:lang w:val="en-GB"/>
        </w:rPr>
        <w:t xml:space="preserve">extensive </w:t>
      </w:r>
      <w:r w:rsidRPr="00364D88">
        <w:rPr>
          <w:rFonts w:ascii="Arial" w:hAnsi="Arial"/>
          <w:lang w:val="en-GB"/>
        </w:rPr>
        <w:t>use of fossil fuels (emitting CO</w:t>
      </w:r>
      <w:r w:rsidRPr="00364D88">
        <w:rPr>
          <w:rFonts w:ascii="Arial" w:hAnsi="Arial"/>
          <w:vertAlign w:val="subscript"/>
          <w:lang w:val="en-GB"/>
        </w:rPr>
        <w:t>2</w:t>
      </w:r>
      <w:r w:rsidRPr="00364D88">
        <w:rPr>
          <w:rFonts w:ascii="Arial" w:hAnsi="Arial"/>
          <w:lang w:val="en-GB"/>
        </w:rPr>
        <w:t xml:space="preserve"> and NO</w:t>
      </w:r>
      <w:r w:rsidRPr="00364D88">
        <w:rPr>
          <w:rFonts w:ascii="Arial" w:hAnsi="Arial"/>
          <w:vertAlign w:val="subscript"/>
          <w:lang w:val="en-GB"/>
        </w:rPr>
        <w:t>x</w:t>
      </w:r>
      <w:r w:rsidR="00B77D26" w:rsidRPr="00364D88">
        <w:rPr>
          <w:rFonts w:ascii="Arial" w:hAnsi="Arial"/>
          <w:lang w:val="en-GB"/>
        </w:rPr>
        <w:t>, amongst others</w:t>
      </w:r>
      <w:r w:rsidRPr="00364D88">
        <w:rPr>
          <w:rFonts w:ascii="Arial" w:hAnsi="Arial"/>
          <w:lang w:val="en-GB"/>
        </w:rPr>
        <w:t>) an</w:t>
      </w:r>
      <w:r w:rsidR="00832B51" w:rsidRPr="00364D88">
        <w:rPr>
          <w:rFonts w:ascii="Arial" w:hAnsi="Arial"/>
          <w:lang w:val="en-GB"/>
        </w:rPr>
        <w:t>d the production of fertilisers</w:t>
      </w:r>
      <w:r w:rsidRPr="00364D88">
        <w:rPr>
          <w:rFonts w:ascii="Arial" w:hAnsi="Arial"/>
          <w:lang w:val="en-GB"/>
        </w:rPr>
        <w:t xml:space="preserve"> have triggered unprecedented rates of </w:t>
      </w:r>
      <w:r w:rsidR="00F3176B" w:rsidRPr="00364D88">
        <w:rPr>
          <w:rFonts w:ascii="Arial" w:hAnsi="Arial"/>
          <w:lang w:val="en-GB"/>
        </w:rPr>
        <w:t xml:space="preserve">atmospheric </w:t>
      </w:r>
      <w:r w:rsidR="00B77D26" w:rsidRPr="00364D88">
        <w:rPr>
          <w:rFonts w:ascii="Arial" w:hAnsi="Arial"/>
          <w:lang w:val="en-GB"/>
        </w:rPr>
        <w:t>nitrogen (</w:t>
      </w:r>
      <w:r w:rsidRPr="00364D88">
        <w:rPr>
          <w:rFonts w:ascii="Arial" w:hAnsi="Arial"/>
          <w:lang w:val="en-GB"/>
        </w:rPr>
        <w:t>N</w:t>
      </w:r>
      <w:r w:rsidR="00B77D26" w:rsidRPr="00364D88">
        <w:rPr>
          <w:rFonts w:ascii="Arial" w:hAnsi="Arial"/>
          <w:lang w:val="en-GB"/>
        </w:rPr>
        <w:t>)</w:t>
      </w:r>
      <w:r w:rsidRPr="00364D88">
        <w:rPr>
          <w:rFonts w:ascii="Arial" w:hAnsi="Arial"/>
          <w:lang w:val="en-GB"/>
        </w:rPr>
        <w:t xml:space="preserve"> </w:t>
      </w:r>
      <w:r w:rsidR="00F3176B" w:rsidRPr="00364D88">
        <w:rPr>
          <w:rFonts w:ascii="Arial" w:hAnsi="Arial"/>
          <w:lang w:val="en-GB"/>
        </w:rPr>
        <w:t>deposition</w:t>
      </w:r>
      <w:r w:rsidR="009E486E" w:rsidRPr="00364D88">
        <w:rPr>
          <w:rFonts w:ascii="Arial" w:hAnsi="Arial"/>
          <w:lang w:val="en-GB"/>
        </w:rPr>
        <w:t xml:space="preserve"> </w:t>
      </w:r>
      <w:r w:rsidRPr="00364D88">
        <w:rPr>
          <w:rFonts w:ascii="Arial" w:hAnsi="Arial"/>
          <w:lang w:val="en-GB"/>
        </w:rPr>
        <w:fldChar w:fldCharType="begin" w:fldLock="1"/>
      </w:r>
      <w:r w:rsidR="00114B12" w:rsidRPr="00364D88">
        <w:rPr>
          <w:rFonts w:ascii="Arial" w:hAnsi="Arial"/>
          <w:lang w:val="en-GB"/>
        </w:rPr>
        <w:instrText>ADDIN CSL_CITATION {"citationItems":[{"id":"ITEM-1","itemData":{"DOI":"10.1007/s10533-004-0370-0","ISSN":"0168-2563","author":[{"dropping-particle":"","family":"Galloway","given":"J. N.","non-dropping-particle":"","parse-names":false,"suffix":""},{"dropping-particle":"","family":"Dentener","given":"F. J.","non-dropping-particle":"","parse-names":false,"suffix":""},{"dropping-particle":"","family":"Capone","given":"D. G.","non-dropping-particle":"","parse-names":false,"suffix":""},{"dropping-particle":"","family":"Boyer","given":"E. W.","non-dropping-particle":"","parse-names":false,"suffix":""},{"dropping-particle":"","family":"Howarth","given":"R. W.","non-dropping-particle":"","parse-names":false,"suffix":""},{"dropping-particle":"","family":"Seitzinger","given":"S. P.","non-dropping-particle":"","parse-names":false,"suffix":""},{"dropping-particle":"","family":"Asner","given":"G. P.","non-dropping-particle":"","parse-names":false,"suffix":""},{"dropping-particle":"","family":"Cleveland","given":"C. C.","non-dropping-particle":"","parse-names":false,"suffix":""},{"dropping-particle":"","family":"Green","given":"P. A.","non-dropping-particle":"","parse-names":false,"suffix":""},{"dropping-particle":"","family":"Holland","given":"E. A.","non-dropping-particle":"","parse-names":false,"suffix":""},{"dropping-particle":"","family":"Karl","given":"D. M.","non-dropping-particle":"","parse-names":false,"suffix":""},{"dropping-particle":"","family":"Michaels","given":"A. F.","non-dropping-particle":"","parse-names":false,"suffix":""},{"dropping-particle":"","family":"Porter","given":"J. H.","non-dropping-particle":"","parse-names":false,"suffix":""},{"dropping-particle":"","family":"Townsend","given":"A. R.","non-dropping-particle":"","parse-names":false,"suffix":""},{"dropping-particle":"","family":"V</w:instrText>
      </w:r>
      <w:r w:rsidR="00114B12" w:rsidRPr="00364D88">
        <w:rPr>
          <w:rFonts w:ascii="Tahoma" w:hAnsi="Tahoma" w:cs="Tahoma"/>
          <w:lang w:val="en-GB"/>
        </w:rPr>
        <w:instrText>�</w:instrText>
      </w:r>
      <w:r w:rsidR="00114B12" w:rsidRPr="00364D88">
        <w:rPr>
          <w:rFonts w:ascii="Arial" w:hAnsi="Arial"/>
          <w:lang w:val="en-GB"/>
        </w:rPr>
        <w:instrText>osmarty","given":"C. J.","non-dropping-particle":"","parse-names":false,"suffix":""}],"container-title":"Biogeochemistry","id":"ITEM-1","issue":"2","issued":{"date-parts":[["2004","9"]]},"page":"153-226","title":"Nitrogen Cycles: Past, Present, and Future","type":"article-journal","volume":"70"},"uris":["http://www.mendeley.com/documents/?uuid=2544a4a6-969b-4246-8c3e-a1ae5e84f657"]}],"mendeley":{"formattedCitation":"(Galloway &lt;i&gt;et al.&lt;/i&gt;, 2004)","plainTextFormattedCitation":"(Galloway et al., 2004)","previouslyFormattedCitation":"(Galloway &lt;i&gt;et al.&lt;/i&gt;, 2004)"},"properties":{"noteIndex":0},"schema":"https://github.com/citation-style-language/schema/raw/master/csl-citation.json"}</w:instrText>
      </w:r>
      <w:r w:rsidRPr="00364D88">
        <w:rPr>
          <w:rFonts w:ascii="Arial" w:hAnsi="Arial"/>
          <w:lang w:val="en-GB"/>
        </w:rPr>
        <w:fldChar w:fldCharType="separate"/>
      </w:r>
      <w:r w:rsidR="009E486E" w:rsidRPr="00364D88">
        <w:rPr>
          <w:rFonts w:ascii="Arial" w:hAnsi="Arial"/>
          <w:noProof/>
          <w:lang w:val="en-GB"/>
        </w:rPr>
        <w:t xml:space="preserve">(Galloway </w:t>
      </w:r>
      <w:r w:rsidR="009E486E" w:rsidRPr="00364D88">
        <w:rPr>
          <w:rFonts w:ascii="Arial" w:hAnsi="Arial"/>
          <w:i/>
          <w:noProof/>
          <w:lang w:val="en-GB"/>
        </w:rPr>
        <w:t>et al.</w:t>
      </w:r>
      <w:r w:rsidR="009E486E" w:rsidRPr="00364D88">
        <w:rPr>
          <w:rFonts w:ascii="Arial" w:hAnsi="Arial"/>
          <w:noProof/>
          <w:lang w:val="en-GB"/>
        </w:rPr>
        <w:t>, 2004)</w:t>
      </w:r>
      <w:r w:rsidRPr="00364D88">
        <w:rPr>
          <w:rFonts w:ascii="Arial" w:hAnsi="Arial"/>
          <w:lang w:val="en-GB"/>
        </w:rPr>
        <w:fldChar w:fldCharType="end"/>
      </w:r>
      <w:r w:rsidR="00832B51" w:rsidRPr="00364D88">
        <w:rPr>
          <w:rFonts w:ascii="Arial" w:hAnsi="Arial"/>
          <w:lang w:val="en-GB"/>
        </w:rPr>
        <w:t>, completely modifying global biogeochemical cycles</w:t>
      </w:r>
      <w:r w:rsidR="009E486E" w:rsidRPr="00364D88">
        <w:rPr>
          <w:rFonts w:ascii="Arial" w:hAnsi="Arial"/>
          <w:lang w:val="en-GB"/>
        </w:rPr>
        <w:t xml:space="preserve"> </w:t>
      </w:r>
      <w:r w:rsidR="002340EF" w:rsidRPr="00364D88">
        <w:rPr>
          <w:rFonts w:ascii="Arial" w:hAnsi="Arial"/>
          <w:lang w:val="en-GB"/>
        </w:rPr>
        <w:fldChar w:fldCharType="begin" w:fldLock="1"/>
      </w:r>
      <w:r w:rsidR="007D536C" w:rsidRPr="00364D88">
        <w:rPr>
          <w:rFonts w:ascii="Arial" w:hAnsi="Arial"/>
          <w:lang w:val="en-GB"/>
        </w:rPr>
        <w:instrText>ADDIN CSL_CITATION {"citationItems":[{"id":"ITEM-1","itemData":{"DOI":"10.1111/gcb.14981","ISSN":"1354-1013","abstract":"The availability of carbon (C) from high levels of atmospheric carbon dioxide (CO2 ) and anthropogenic release of nitrogen (N) is increasing, but these increases are not paralleled by increases in levels of phosphorus (P). The current unstoppable changes in the stoichiometries of C and N relative to P have no historical precedent. We describe changes in P and N fluxes over the last five decades that have led to asymmetrical increases in P and N inputs to the biosphere. We identified widespread and rapid changes in N:P ratios in air, soil, water, and organisms and important consequences to the structure, function, and biodiversity of ecosystems. A mass-balance approach found that the combined limited availability of P and N was likely to reduce C storage by natural ecosystems during the remainder of the 21st Century, and projected crop yields of the Millennium Ecosystem Assessment indicated an increase in nutrient deficiency in developing regions if access to P fertilizer is limited. Imbalances of the N:P ratio would likely negatively affect human health, food security, and global economic and geopolitical stability, with feedbacks and synergistic effects on drivers of global environmental change, such as increasing levels of CO2 , climatic warming, and increasing pollution. We summarize potential solutions for avoiding the negative impacts of global imbalances of N:P ratios on the environment, biodiversity, climate change, food security, and human health.","author":[{"dropping-particle":"","family":"Peñuelas","given":"Josep","non-dropping-particle":"","parse-names":false,"suffix":""},{"dropping-particle":"","family":"Janssens","given":"Ivan A.","non-dropping-particle":"","parse-names":false,"suffix":""},{"dropping-particle":"","family":"Ciais","given":"Philippe","non-dropping-particle":"","parse-names":false,"suffix":""},{"dropping-particle":"","family":"Obersteiner","given":"Michael","non-dropping-particle":"","parse-names":false,"suffix":""},{"dropping-particle":"","family":"Sardans","given":"Jordi","non-dropping-particle":"","parse-names":false,"suffix":""}],"container-title":"Global Change Biology","id":"ITEM-1","issued":{"date-parts":[["2020","2","21"]]},"page":"gcb.14981","publisher":"Wiley","title":"Anthropogenic global shifts in biospheric N and P concentrations and ratios and their impacts on biodiversity, ecosystem productivity, food security, and human health","type":"article-journal"},"uris":["http://www.mendeley.com/documents/?uuid=0a4cca15-2634-3877-898e-6569b72c242c"]}],"mendeley":{"formattedCitation":"(Peñuelas &lt;i&gt;et al.&lt;/i&gt;, 2020)","plainTextFormattedCitation":"(Peñuelas et al., 2020)","previouslyFormattedCitation":"(Peñuelas &lt;i&gt;et al.&lt;/i&gt;, 2020)"},"properties":{"noteIndex":0},"schema":"https://github.com/citation-style-language/schema/raw/master/csl-citation.json"}</w:instrText>
      </w:r>
      <w:r w:rsidR="002340EF" w:rsidRPr="00364D88">
        <w:rPr>
          <w:rFonts w:ascii="Arial" w:hAnsi="Arial"/>
          <w:lang w:val="en-GB"/>
        </w:rPr>
        <w:fldChar w:fldCharType="separate"/>
      </w:r>
      <w:r w:rsidR="009E3FDB" w:rsidRPr="00364D88">
        <w:rPr>
          <w:rFonts w:ascii="Arial" w:hAnsi="Arial"/>
          <w:noProof/>
          <w:lang w:val="en-GB"/>
        </w:rPr>
        <w:t xml:space="preserve">(Peñuelas </w:t>
      </w:r>
      <w:r w:rsidR="009E3FDB" w:rsidRPr="00364D88">
        <w:rPr>
          <w:rFonts w:ascii="Arial" w:hAnsi="Arial"/>
          <w:i/>
          <w:noProof/>
          <w:lang w:val="en-GB"/>
        </w:rPr>
        <w:t>et al.</w:t>
      </w:r>
      <w:r w:rsidR="009E3FDB" w:rsidRPr="00364D88">
        <w:rPr>
          <w:rFonts w:ascii="Arial" w:hAnsi="Arial"/>
          <w:noProof/>
          <w:lang w:val="en-GB"/>
        </w:rPr>
        <w:t>, 2020)</w:t>
      </w:r>
      <w:r w:rsidR="002340EF" w:rsidRPr="00364D88">
        <w:rPr>
          <w:rFonts w:ascii="Arial" w:hAnsi="Arial"/>
          <w:lang w:val="en-GB"/>
        </w:rPr>
        <w:fldChar w:fldCharType="end"/>
      </w:r>
      <w:r w:rsidR="00832B51" w:rsidRPr="00364D88">
        <w:rPr>
          <w:rFonts w:ascii="Arial" w:hAnsi="Arial"/>
          <w:lang w:val="en-GB"/>
        </w:rPr>
        <w:t>. These changes can induce</w:t>
      </w:r>
      <w:r w:rsidR="00D76781" w:rsidRPr="00364D88">
        <w:rPr>
          <w:rFonts w:ascii="Arial" w:hAnsi="Arial"/>
          <w:lang w:val="en-GB"/>
        </w:rPr>
        <w:t xml:space="preserve"> elemental stoichiometric </w:t>
      </w:r>
      <w:r w:rsidR="00832B51" w:rsidRPr="00364D88">
        <w:rPr>
          <w:rFonts w:ascii="Arial" w:hAnsi="Arial"/>
          <w:lang w:val="en-GB"/>
        </w:rPr>
        <w:t>shifts</w:t>
      </w:r>
      <w:r w:rsidR="00D76781" w:rsidRPr="00364D88">
        <w:rPr>
          <w:rFonts w:ascii="Arial" w:hAnsi="Arial"/>
          <w:lang w:val="en-GB"/>
        </w:rPr>
        <w:t xml:space="preserve"> </w:t>
      </w:r>
      <w:r w:rsidR="00E53CC8" w:rsidRPr="00364D88">
        <w:rPr>
          <w:rFonts w:ascii="Arial" w:hAnsi="Arial"/>
          <w:lang w:val="en-GB"/>
        </w:rPr>
        <w:fldChar w:fldCharType="begin" w:fldLock="1"/>
      </w:r>
      <w:r w:rsidR="007D536C" w:rsidRPr="00364D88">
        <w:rPr>
          <w:rFonts w:ascii="Arial" w:hAnsi="Arial"/>
          <w:lang w:val="en-GB"/>
        </w:rPr>
        <w:instrText>ADDIN CSL_CITATION {"citationItems":[{"id":"ITEM-1","itemData":{"DOI":"10.1038/s42003-020-0839-y","ISSN":"2399-3642","author":[{"dropping-particle":"","family":"Penuelas","given":"Josep","non-dropping-particle":"","parse-names":false,"suffix":""},{"dropping-particle":"","family":"Fernández-Martínez","given":"Marcos","non-dropping-particle":"","parse-names":false,"suffix":""},{"dropping-particle":"","family":"Vallicrosa","given":"Helena","non-dropping-particle":"","parse-names":false,"suffix":""},{"dropping-particle":"","family":"Maspons","given":"Joan","non-dropping-particle":"","parse-names":false,"suffix":""},{"dropping-particle":"","family":"Zuccarini","given":"Paolo","non-dropping-particle":"","parse-names":false,"suffix":""},{"dropping-particle":"","family":"Carnicer","given":"Jofre","non-dropping-particle":"","parse-names":false,"suffix":""},{"dropping-particle":"","family":"Sanders","given":"Tanja G M","non-dropping-particle":"","parse-names":false,"suffix":""},{"dropping-particle":"","family":"Krüger","given":"Inken","non-dropping-particle":"","parse-names":false,"suffix":""},{"dropping-particle":"","family":"Obersteiner","given":"Michael","non-dropping-particle":"","parse-names":false,"suffix":""},{"dropping-particle":"","family":"Janssens","given":"Ivan A","non-dropping-particle":"","parse-names":false,"suffix":""},{"dropping-particle":"","family":"Ciais","given":"Philippe","non-dropping-particle":"","parse-names":false,"suffix":""},{"dropping-particle":"","family":"Sardans","given":"Jordi","non-dropping-particle":"","parse-names":false,"suffix":""}],"container-title":"Communications Biology","id":"ITEM-1","issue":"1","issued":{"date-parts":[["2020","12","13"]]},"page":"125","publisher":"Springer US","title":"Increasing atmospheric CO2 concentrations correlate with declining nutritional status of European forests","type":"article-journal","volume":"3"},"uris":["http://www.mendeley.com/documents/?uuid=446137fa-f642-47d8-87d5-1cd4a93e5c27"]}],"mendeley":{"formattedCitation":"(Penuelas &lt;i&gt;et al.&lt;/i&gt;, 2020)","plainTextFormattedCitation":"(Penuelas et al., 2020)","previouslyFormattedCitation":"(Penuelas &lt;i&gt;et al.&lt;/i&gt;, 2020)"},"properties":{"noteIndex":0},"schema":"https://github.com/citation-style-language/schema/raw/master/csl-citation.json"}</w:instrText>
      </w:r>
      <w:r w:rsidR="00E53CC8" w:rsidRPr="00364D88">
        <w:rPr>
          <w:rFonts w:ascii="Arial" w:hAnsi="Arial"/>
          <w:lang w:val="en-GB"/>
        </w:rPr>
        <w:fldChar w:fldCharType="separate"/>
      </w:r>
      <w:r w:rsidR="009E3FDB" w:rsidRPr="00364D88">
        <w:rPr>
          <w:rFonts w:ascii="Arial" w:hAnsi="Arial"/>
          <w:noProof/>
          <w:lang w:val="en-GB"/>
        </w:rPr>
        <w:t xml:space="preserve">(Penuelas </w:t>
      </w:r>
      <w:r w:rsidR="009E3FDB" w:rsidRPr="00364D88">
        <w:rPr>
          <w:rFonts w:ascii="Arial" w:hAnsi="Arial"/>
          <w:i/>
          <w:noProof/>
          <w:lang w:val="en-GB"/>
        </w:rPr>
        <w:t>et al.</w:t>
      </w:r>
      <w:r w:rsidR="009E3FDB" w:rsidRPr="00364D88">
        <w:rPr>
          <w:rFonts w:ascii="Arial" w:hAnsi="Arial"/>
          <w:noProof/>
          <w:lang w:val="en-GB"/>
        </w:rPr>
        <w:t>, 2020)</w:t>
      </w:r>
      <w:r w:rsidR="00E53CC8" w:rsidRPr="00364D88">
        <w:rPr>
          <w:rFonts w:ascii="Arial" w:hAnsi="Arial"/>
          <w:lang w:val="en-GB"/>
        </w:rPr>
        <w:fldChar w:fldCharType="end"/>
      </w:r>
      <w:r w:rsidR="00D76781" w:rsidRPr="00364D88">
        <w:rPr>
          <w:rFonts w:ascii="Arial" w:hAnsi="Arial"/>
          <w:lang w:val="en-GB"/>
        </w:rPr>
        <w:t xml:space="preserve"> which can produce </w:t>
      </w:r>
      <w:r w:rsidR="00F3176B" w:rsidRPr="00364D88">
        <w:rPr>
          <w:rFonts w:ascii="Arial" w:hAnsi="Arial"/>
          <w:lang w:val="en-GB"/>
        </w:rPr>
        <w:t xml:space="preserve">imbalances between essential </w:t>
      </w:r>
      <w:r w:rsidR="00D76781" w:rsidRPr="00364D88">
        <w:rPr>
          <w:rFonts w:ascii="Arial" w:hAnsi="Arial"/>
          <w:lang w:val="en-GB"/>
        </w:rPr>
        <w:t>elements</w:t>
      </w:r>
      <w:r w:rsidR="00F3176B" w:rsidRPr="00364D88">
        <w:rPr>
          <w:rFonts w:ascii="Arial" w:hAnsi="Arial"/>
          <w:lang w:val="en-GB"/>
        </w:rPr>
        <w:t xml:space="preserve"> for life, such as </w:t>
      </w:r>
      <w:r w:rsidR="00AD6F2E" w:rsidRPr="00364D88">
        <w:rPr>
          <w:rFonts w:ascii="Arial" w:hAnsi="Arial"/>
          <w:lang w:val="en-GB"/>
        </w:rPr>
        <w:t xml:space="preserve">nitrogen and </w:t>
      </w:r>
      <w:r w:rsidR="00F3176B" w:rsidRPr="00364D88">
        <w:rPr>
          <w:rFonts w:ascii="Arial" w:hAnsi="Arial"/>
          <w:lang w:val="en-GB"/>
        </w:rPr>
        <w:t>phosphorus</w:t>
      </w:r>
      <w:r w:rsidR="009E486E" w:rsidRPr="00364D88">
        <w:rPr>
          <w:rFonts w:ascii="Arial" w:hAnsi="Arial"/>
          <w:lang w:val="en-GB"/>
        </w:rPr>
        <w:t xml:space="preserve"> </w:t>
      </w:r>
      <w:r w:rsidR="00F3176B" w:rsidRPr="00364D88">
        <w:rPr>
          <w:rFonts w:ascii="Arial" w:hAnsi="Arial"/>
          <w:lang w:val="en-GB"/>
        </w:rPr>
        <w:fldChar w:fldCharType="begin" w:fldLock="1"/>
      </w:r>
      <w:r w:rsidR="00114B12" w:rsidRPr="00364D88">
        <w:rPr>
          <w:rFonts w:ascii="Arial" w:hAnsi="Arial"/>
          <w:lang w:val="en-GB"/>
        </w:rPr>
        <w:instrText>ADDIN CSL_CITATION {"citationItems":[{"id":"ITEM-1","itemData":{"DOI":"10.1038/ncomms3934","ISSN":"2041-1723","PMID":"24343268","abstract":"The availability of carbon from rising atmospheric carbon dioxide levels and of nitrogen from various human-induced inputs to ecosystems is continuously increasing; however, these increases are not paralleled by a similar increase in phosphorus inputs. The inexorable change in the stoichiometry of carbon and nitrogen relative to phosphorus has no equivalent in Earth's history. Here we report the profound and yet uncertain consequences of the human imprint on the phosphorus cycle and nitrogen:phosphorus stoichiometry for the structure, functioning and diversity of terrestrial and aquatic organisms and ecosystems. A mass balance approach is used to show that limited phosphorus and nitrogen availability are likely to jointly reduce future carbon storage by natural ecosystems during this century. Further, if phosphorus fertilizers cannot be made increasingly accessible, the crop yields projections of the Millennium Ecosystem Assessment imply an increase of the nutrient deficit in developing regions.","author":[{"dropping-particle":"","family":"Peñuelas","given":"Josep","non-dropping-particle":"","parse-names":false,"suffix":""},{"dropping-particle":"","family":"Poulter","given":"Benjamin","non-dropping-particle":"","parse-names":false,"suffix":""},{"dropping-particle":"","family":"Sardans","given":"Jordi","non-dropping-particle":"","parse-names":false,"suffix":""},{"dropping-particle":"","family":"Ciais","given":"Philippe","non-dropping-particle":"","parse-names":false,"suffix":""},{"dropping-particle":"","family":"Velde","given":"Marijn","non-dropping-particle":"van der","parse-names":false,"suffix":""},{"dropping-particle":"","family":"Bopp","given":"Laurent","non-dropping-particle":"","parse-names":false,"suffix":""},{"dropping-particle":"","family":"Boucher","given":"Olivier","non-dropping-particle":"","parse-names":false,"suffix":""},{"dropping-particle":"","family":"Godderis","given":"Yves","non-dropping-particle":"","parse-names":false,"suffix":""},{"dropping-particle":"","family":"Hinsinger","given":"Philippe","non-dropping-particle":"","parse-names":false,"suffix":""},{"dropping-particle":"","family":"Llusia","given":"Joan","non-dropping-particle":"","parse-names":false,"suffix":""},{"dropping-particle":"","family":"Nardin","given":"Elise","non-dropping-particle":"","parse-names":false,"suffix":""},{"dropping-particle":"","family":"Vicca","given":"Sara","non-dropping-particle":"","parse-names":false,"suffix":""},{"dropping-particle":"","family":"Obersteiner","given":"Michael","non-dropping-particle":"","parse-names":false,"suffix":""},{"dropping-particle":"","family":"Janssens","given":"Ivan A","non-dropping-particle":"","parse-names":false,"suffix":""}],"container-title":"Nature communications","id":"ITEM-1","issued":{"date-parts":[["2013","1","17"]]},"language":"en","page":"2934","publisher":"Nature Publishing Group","title":"Human-induced nitrogen-phosphorus imbalances alter natural and managed ecosystems across the globe.","type":"article-journal","volume":"4"},"uris":["http://www.mendeley.com/documents/?uuid=50e12e44-89fa-447a-a106-459eb4a9f2c5"]},{"id":"ITEM-2","itemData":{"DOI":"10.1111/j.1365-2486.2011.02568.x","ISSN":"13541013","author":[{"dropping-particle":"","family":"Peñuelas","given":"Josep","non-dropping-particle":"","parse-names":false,"suffix":""},{"dropping-particle":"","family":"Sardans","given":"Jordi","non-dropping-particle":"","parse-names":false,"suffix":""},{"dropping-particle":"","family":"Rivas-Ubach","given":"Albert","non-dropping-particle":"","parse-names":false,"suffix":""},{"dropping-particle":"","family":"Janssens","given":"Ivan A.","non-dropping-particle":"","parse-names":false,"suffix":""}],"container-title":"Global Change Biology","id":"ITEM-2","issue":"1","issued":{"date-parts":[["2012","1","27"]]},"page":"3-6","title":"The human-induced imbalance between C, N and P in Earth's life system","type":"article-journal","volume":"18"},"uris":["http://www.mendeley.com/documents/?uuid=b7fe89b4-9df4-485c-a091-7da408a6a9d5"]}],"mendeley":{"formattedCitation":"(Peñuelas &lt;i&gt;et al.&lt;/i&gt;, 2012, 2013)","plainTextFormattedCitation":"(Peñuelas et al., 2012, 2013)","previouslyFormattedCitation":"(Peñuelas &lt;i&gt;et al.&lt;/i&gt;, 2012, 2013)"},"properties":{"noteIndex":0},"schema":"https://github.com/citation-style-language/schema/raw/master/csl-citation.json"}</w:instrText>
      </w:r>
      <w:r w:rsidR="00F3176B" w:rsidRPr="00364D88">
        <w:rPr>
          <w:rFonts w:ascii="Arial" w:hAnsi="Arial"/>
          <w:lang w:val="en-GB"/>
        </w:rPr>
        <w:fldChar w:fldCharType="separate"/>
      </w:r>
      <w:r w:rsidR="009E486E" w:rsidRPr="00364D88">
        <w:rPr>
          <w:rFonts w:ascii="Arial" w:hAnsi="Arial"/>
          <w:noProof/>
          <w:lang w:val="en-GB"/>
        </w:rPr>
        <w:t xml:space="preserve">(Peñuelas </w:t>
      </w:r>
      <w:r w:rsidR="009E486E" w:rsidRPr="00364D88">
        <w:rPr>
          <w:rFonts w:ascii="Arial" w:hAnsi="Arial"/>
          <w:i/>
          <w:noProof/>
          <w:lang w:val="en-GB"/>
        </w:rPr>
        <w:t>et al.</w:t>
      </w:r>
      <w:r w:rsidR="009E486E" w:rsidRPr="00364D88">
        <w:rPr>
          <w:rFonts w:ascii="Arial" w:hAnsi="Arial"/>
          <w:noProof/>
          <w:lang w:val="en-GB"/>
        </w:rPr>
        <w:t>, 2012, 2013)</w:t>
      </w:r>
      <w:r w:rsidR="00F3176B" w:rsidRPr="00364D88">
        <w:rPr>
          <w:rFonts w:ascii="Arial" w:hAnsi="Arial"/>
          <w:lang w:val="en-GB"/>
        </w:rPr>
        <w:fldChar w:fldCharType="end"/>
      </w:r>
      <w:r w:rsidR="00D76781" w:rsidRPr="00364D88">
        <w:rPr>
          <w:rFonts w:ascii="Arial" w:hAnsi="Arial"/>
          <w:lang w:val="en-GB"/>
        </w:rPr>
        <w:t>.</w:t>
      </w:r>
      <w:r w:rsidR="00F3176B" w:rsidRPr="00364D88">
        <w:rPr>
          <w:rFonts w:ascii="Arial" w:hAnsi="Arial"/>
          <w:lang w:val="en-GB"/>
        </w:rPr>
        <w:t xml:space="preserve"> </w:t>
      </w:r>
      <w:r w:rsidR="00832B51" w:rsidRPr="00364D88">
        <w:rPr>
          <w:rFonts w:ascii="Arial" w:hAnsi="Arial"/>
          <w:lang w:val="en-GB"/>
        </w:rPr>
        <w:t>Thirdly, b</w:t>
      </w:r>
      <w:r w:rsidR="00F3176B" w:rsidRPr="00364D88">
        <w:rPr>
          <w:rFonts w:ascii="Arial" w:hAnsi="Arial"/>
          <w:lang w:val="en-GB"/>
        </w:rPr>
        <w:t>iodiversity loss</w:t>
      </w:r>
      <w:r w:rsidR="00BC26A7" w:rsidRPr="00364D88">
        <w:rPr>
          <w:rFonts w:ascii="Arial" w:hAnsi="Arial"/>
          <w:lang w:val="en-GB"/>
        </w:rPr>
        <w:t>, caused by habitat destruction, climate change and altered biogeochemical cycles</w:t>
      </w:r>
      <w:r w:rsidR="00F3176B" w:rsidRPr="00364D88">
        <w:rPr>
          <w:rFonts w:ascii="Arial" w:hAnsi="Arial"/>
          <w:lang w:val="en-GB"/>
        </w:rPr>
        <w:t xml:space="preserve">, </w:t>
      </w:r>
      <w:r w:rsidR="00D76781" w:rsidRPr="00364D88">
        <w:rPr>
          <w:rFonts w:ascii="Arial" w:hAnsi="Arial"/>
          <w:lang w:val="en-GB"/>
        </w:rPr>
        <w:t>can entail</w:t>
      </w:r>
      <w:r w:rsidR="00F3176B" w:rsidRPr="00364D88">
        <w:rPr>
          <w:rFonts w:ascii="Arial" w:hAnsi="Arial"/>
          <w:lang w:val="en-GB"/>
        </w:rPr>
        <w:t xml:space="preserve"> important changes in </w:t>
      </w:r>
      <w:r w:rsidR="00832B51" w:rsidRPr="00364D88">
        <w:rPr>
          <w:rFonts w:ascii="Arial" w:hAnsi="Arial"/>
          <w:lang w:val="en-GB"/>
        </w:rPr>
        <w:t xml:space="preserve">species </w:t>
      </w:r>
      <w:r w:rsidR="00F3176B" w:rsidRPr="00364D88">
        <w:rPr>
          <w:rFonts w:ascii="Arial" w:hAnsi="Arial"/>
          <w:lang w:val="en-GB"/>
        </w:rPr>
        <w:t>composition and functionality of ecosystems</w:t>
      </w:r>
      <w:r w:rsidR="009E486E" w:rsidRPr="00364D88">
        <w:rPr>
          <w:rFonts w:ascii="Arial" w:hAnsi="Arial"/>
          <w:lang w:val="en-GB"/>
        </w:rPr>
        <w:t xml:space="preserve"> </w:t>
      </w:r>
      <w:r w:rsidR="00F3176B" w:rsidRPr="00364D88">
        <w:rPr>
          <w:rFonts w:ascii="Arial" w:hAnsi="Arial"/>
          <w:lang w:val="en-GB"/>
        </w:rPr>
        <w:fldChar w:fldCharType="begin" w:fldLock="1"/>
      </w:r>
      <w:r w:rsidR="00114B12" w:rsidRPr="00364D88">
        <w:rPr>
          <w:rFonts w:ascii="Arial" w:hAnsi="Arial"/>
          <w:lang w:val="en-GB"/>
        </w:rPr>
        <w:instrText>ADDIN CSL_CITATION {"citationItems":[{"id":"ITEM-1","itemData":{"DOI":"10.1038/nature11118","ISBN":"1476-4687","ISSN":"0028-0836","PMID":"22678289","abstract":"Evidence is mounting that extinctions are altering key processes important to the productivity and sustainability of Earth's ecosystems. Further species loss will accelerate change in ecosystem processes, but it is unclear how these effects compare to the direct effects of other forms of environmental change that are both driving diversity loss and altering ecosystem function. Here we use a suite of meta-analyses of published data to show that the effects of species loss on productivity and decomposition--two processes important in all ecosystems--are of comparable magnitude to the effects of many other global environmental changes. In experiments, intermediate levels of species loss (21-40%) reduced plant production by 5-10%, comparable to previously documented effects of ultraviolet radiation and climate warming. Higher levels of extinction (41-60%) had effects rivalling those of ozone, acidification, elevated CO(2) and nutrient pollution. At intermediate levels, species loss generally had equal or greater effects on decomposition than did elevated CO(2) and nitrogen addition. The identity of species lost also had a large effect on changes in productivity and decomposition, generating a wide range of plausible outcomes for extinction. Despite the need for more studies on interactive effects of diversity loss and environmental changes, our analyses clearly show that the ecosystem consequences of local species loss are as quantitatively significant as the direct effects of several global change stressors that have mobilized major international concern and remediation efforts.","author":[{"dropping-particle":"","family":"Hooper","given":"David U.","non-dropping-particle":"","parse-names":false,"suffix":""},{"dropping-particle":"","family":"Adair","given":"E. Carol","non-dropping-particle":"","parse-names":false,"suffix":""},{"dropping-particle":"","family":"Cardinale","given":"Bradley J.","non-dropping-particle":"","parse-names":false,"suffix":""},{"dropping-particle":"","family":"Byrnes","given":"Jarrett E. K.","non-dropping-particle":"","parse-names":false,"suffix":""},{"dropping-particle":"","family":"Hungate","given":"Bruce a.","non-dropping-particle":"","parse-names":false,"suffix":""},{"dropping-particle":"","family":"Matulich","given":"Kristin L.","non-dropping-particle":"","parse-names":false,"suffix":""},{"dropping-particle":"","family":"Gonzalez","given":"Andrew","non-dropping-particle":"","parse-names":false,"suffix":""},{"dropping-particle":"","family":"Duffy","given":"J. Emmett","non-dropping-particle":"","parse-names":false,"suffix":""},{"dropping-particle":"","family":"Gamfeldt","given":"Lars","non-dropping-particle":"","parse-names":false,"suffix":""},{"dropping-particle":"","family":"O’Connor","given":"Mary I.","non-dropping-particle":"","parse-names":false,"suffix":""},{"dropping-particle":"","family":"O/'Connor","given":"Mary I","non-dropping-particle":"","parse-names":false,"suffix":""}],"container-title":"Nature","id":"ITEM-1","issue":"7401","issued":{"date-parts":[["2012"]]},"page":"105-108","publisher":"Nature Publishing Group","title":"A global synthesis reveals biodiversity loss as a major driver of ecosystem change","type":"article-journal","volume":"486"},"uris":["http://www.mendeley.com/documents/?uuid=f71d4708-da86-4b51-9b8b-a8a82c23619b"]}],"mendeley":{"formattedCitation":"(Hooper &lt;i&gt;et al.&lt;/i&gt;, 2012)","plainTextFormattedCitation":"(Hooper et al., 2012)","previouslyFormattedCitation":"(Hooper &lt;i&gt;et al.&lt;/i&gt;, 2012)"},"properties":{"noteIndex":0},"schema":"https://github.com/citation-style-language/schema/raw/master/csl-citation.json"}</w:instrText>
      </w:r>
      <w:r w:rsidR="00F3176B" w:rsidRPr="00364D88">
        <w:rPr>
          <w:rFonts w:ascii="Arial" w:hAnsi="Arial"/>
          <w:lang w:val="en-GB"/>
        </w:rPr>
        <w:fldChar w:fldCharType="separate"/>
      </w:r>
      <w:r w:rsidR="009E486E" w:rsidRPr="00364D88">
        <w:rPr>
          <w:rFonts w:ascii="Arial" w:hAnsi="Arial"/>
          <w:noProof/>
          <w:lang w:val="en-GB"/>
        </w:rPr>
        <w:t xml:space="preserve">(Hooper </w:t>
      </w:r>
      <w:r w:rsidR="009E486E" w:rsidRPr="00364D88">
        <w:rPr>
          <w:rFonts w:ascii="Arial" w:hAnsi="Arial"/>
          <w:i/>
          <w:noProof/>
          <w:lang w:val="en-GB"/>
        </w:rPr>
        <w:t>et al.</w:t>
      </w:r>
      <w:r w:rsidR="009E486E" w:rsidRPr="00364D88">
        <w:rPr>
          <w:rFonts w:ascii="Arial" w:hAnsi="Arial"/>
          <w:noProof/>
          <w:lang w:val="en-GB"/>
        </w:rPr>
        <w:t>, 2012)</w:t>
      </w:r>
      <w:r w:rsidR="00F3176B" w:rsidRPr="00364D88">
        <w:rPr>
          <w:rFonts w:ascii="Arial" w:hAnsi="Arial"/>
          <w:lang w:val="en-GB"/>
        </w:rPr>
        <w:fldChar w:fldCharType="end"/>
      </w:r>
      <w:r w:rsidR="00BC26A7" w:rsidRPr="00364D88">
        <w:rPr>
          <w:rFonts w:ascii="Arial" w:hAnsi="Arial"/>
          <w:lang w:val="en-GB"/>
        </w:rPr>
        <w:t xml:space="preserve"> </w:t>
      </w:r>
      <w:r w:rsidR="00F3176B" w:rsidRPr="00364D88">
        <w:rPr>
          <w:rFonts w:ascii="Arial" w:hAnsi="Arial"/>
          <w:lang w:val="en-GB"/>
        </w:rPr>
        <w:t xml:space="preserve">and the </w:t>
      </w:r>
      <w:r w:rsidR="00D76781" w:rsidRPr="00364D88">
        <w:rPr>
          <w:rFonts w:ascii="Arial" w:hAnsi="Arial"/>
          <w:lang w:val="en-GB"/>
        </w:rPr>
        <w:t xml:space="preserve">ecosystem </w:t>
      </w:r>
      <w:r w:rsidR="00F3176B" w:rsidRPr="00364D88">
        <w:rPr>
          <w:rFonts w:ascii="Arial" w:hAnsi="Arial"/>
          <w:lang w:val="en-GB"/>
        </w:rPr>
        <w:t>services they provide</w:t>
      </w:r>
      <w:r w:rsidR="009E486E" w:rsidRPr="00364D88">
        <w:rPr>
          <w:rFonts w:ascii="Arial" w:hAnsi="Arial"/>
          <w:lang w:val="en-GB"/>
        </w:rPr>
        <w:t xml:space="preserve"> </w:t>
      </w:r>
      <w:r w:rsidR="00F3176B" w:rsidRPr="00364D88">
        <w:rPr>
          <w:rFonts w:ascii="Arial" w:hAnsi="Arial"/>
          <w:lang w:val="en-GB"/>
        </w:rPr>
        <w:fldChar w:fldCharType="begin" w:fldLock="1"/>
      </w:r>
      <w:r w:rsidR="00114B12" w:rsidRPr="00364D88">
        <w:rPr>
          <w:rFonts w:ascii="Arial" w:hAnsi="Arial"/>
          <w:lang w:val="en-GB"/>
        </w:rPr>
        <w:instrText>ADDIN CSL_CITATION {"citationItems":[{"id":"ITEM-1","itemData":{"DOI":"10.1038/ncomms2328","ISBN":"2041-1723","ISSN":"20411723","PMID":"23299890","abstract":"Forests are of major importance to human society, contributing several crucial ecosystem services. Biodiversity is suggested to positively influence multiple services but evidence from natural systems at scales relevant to management is scarce. Here, across a scale of 400,000 km(2), we report that tree species richness in production forests shows positive to positively hump-shaped relationships with multiple ecosystem services. These include production of tree biomass, soil carbon storage, berry production and game production potential. For example, biomass production was approximately 50% greater with five than with one tree species. In addition, we show positive relationships between tree species richness and proxies for other biodiversity components. Importantly, no single tree species was able to promote all services, and some services were negatively correlated to each other. Management of production forests will therefore benefit from considering multiple tree species to sustain the full range of benefits that the society obtains from forests.","author":[{"dropping-particle":"","family":"Gamfeldt","given":"Lars","non-dropping-particle":"","parse-names":false,"suffix":""},{"dropping-particle":"","family":"Snäll","given":"Tord","non-dropping-particle":"","parse-names":false,"suffix":""},{"dropping-particle":"","family":"Bagchi","given":"Robert","non-dropping-particle":"","parse-names":false,"suffix":""},{"dropping-particle":"","family":"Jonsson","given":"Micael","non-dropping-particle":"","parse-names":false,"suffix":""},{"dropping-particle":"","family":"Gustafsson","given":"Lena","non-dropping-particle":"","parse-names":false,"suffix":""},{"dropping-particle":"","family":"Kjellander","given":"Petter","non-dropping-particle":"","parse-names":false,"suffix":""},{"dropping-particle":"","family":"Ruiz-Jaen","given":"María C.","non-dropping-particle":"","parse-names":false,"suffix":""},{"dropping-particle":"","family":"Fröberg","given":"Mats","non-dropping-particle":"","parse-names":false,"suffix":""},{"dropping-particle":"","family":"Stendahl","given":"Johan","non-dropping-particle":"","parse-names":false,"suffix":""},{"dropping-particle":"","family":"Philipson","given":"Christopher D.","non-dropping-particle":"","parse-names":false,"suffix":""},{"dropping-particle":"","family":"Mikusiński","given":"Grzegorz","non-dropping-particle":"","parse-names":false,"suffix":""},{"dropping-particle":"","family":"Andersson","given":"Erik","non-dropping-particle":"","parse-names":false,"suffix":""},{"dropping-particle":"","family":"Westerlund","given":"Bertil","non-dropping-particle":"","parse-names":false,"suffix":""},{"dropping-particle":"","family":"Andrén","given":"Henrik","non-dropping-particle":"","parse-names":false,"suffix":""},{"dropping-particle":"","family":"Moberg","given":"Fredrik","non-dropping-particle":"","parse-names":false,"suffix":""},{"dropping-particle":"","family":"Moen","given":"Jon","non-dropping-particle":"","parse-names":false,"suffix":""},{"dropping-particle":"","family":"Bengtsson","given":"Jan","non-dropping-particle":"","parse-names":false,"suffix":""}],"container-title":"Nature Communications","id":"ITEM-1","issued":{"date-parts":[["2013"]]},"title":"Higher levels of multiple ecosystem services are found in forests with more tree species","type":"article-journal","volume":"4"},"uris":["http://www.mendeley.com/documents/?uuid=da5f3c9a-93d8-4568-97d8-b22b559ad266"]}],"mendeley":{"formattedCitation":"(Gamfeldt &lt;i&gt;et al.&lt;/i&gt;, 2013)","plainTextFormattedCitation":"(Gamfeldt et al., 2013)","previouslyFormattedCitation":"(Gamfeldt &lt;i&gt;et al.&lt;/i&gt;, 2013)"},"properties":{"noteIndex":0},"schema":"https://github.com/citation-style-language/schema/raw/master/csl-citation.json"}</w:instrText>
      </w:r>
      <w:r w:rsidR="00F3176B" w:rsidRPr="00364D88">
        <w:rPr>
          <w:rFonts w:ascii="Arial" w:hAnsi="Arial"/>
          <w:lang w:val="en-GB"/>
        </w:rPr>
        <w:fldChar w:fldCharType="separate"/>
      </w:r>
      <w:r w:rsidR="009E486E" w:rsidRPr="00364D88">
        <w:rPr>
          <w:rFonts w:ascii="Arial" w:hAnsi="Arial"/>
          <w:noProof/>
          <w:lang w:val="en-GB"/>
        </w:rPr>
        <w:t xml:space="preserve">(Gamfeldt </w:t>
      </w:r>
      <w:r w:rsidR="009E486E" w:rsidRPr="00364D88">
        <w:rPr>
          <w:rFonts w:ascii="Arial" w:hAnsi="Arial"/>
          <w:i/>
          <w:noProof/>
          <w:lang w:val="en-GB"/>
        </w:rPr>
        <w:t>et al.</w:t>
      </w:r>
      <w:r w:rsidR="009E486E" w:rsidRPr="00364D88">
        <w:rPr>
          <w:rFonts w:ascii="Arial" w:hAnsi="Arial"/>
          <w:noProof/>
          <w:lang w:val="en-GB"/>
        </w:rPr>
        <w:t>, 2013)</w:t>
      </w:r>
      <w:r w:rsidR="00F3176B" w:rsidRPr="00364D88">
        <w:rPr>
          <w:rFonts w:ascii="Arial" w:hAnsi="Arial"/>
          <w:lang w:val="en-GB"/>
        </w:rPr>
        <w:fldChar w:fldCharType="end"/>
      </w:r>
      <w:r w:rsidR="00F3176B" w:rsidRPr="00364D88">
        <w:rPr>
          <w:rFonts w:ascii="Arial" w:hAnsi="Arial"/>
          <w:lang w:val="en-GB"/>
        </w:rPr>
        <w:t>. The large repercussions of all these impacts on the Earth system and, therefore, on human societies</w:t>
      </w:r>
      <w:r w:rsidR="009E486E" w:rsidRPr="00364D88">
        <w:rPr>
          <w:rFonts w:ascii="Arial" w:hAnsi="Arial"/>
          <w:lang w:val="en-GB"/>
        </w:rPr>
        <w:t xml:space="preserve"> </w:t>
      </w:r>
      <w:r w:rsidR="00F3176B" w:rsidRPr="00364D88">
        <w:rPr>
          <w:rFonts w:ascii="Arial" w:hAnsi="Arial"/>
          <w:lang w:val="en-GB"/>
        </w:rPr>
        <w:fldChar w:fldCharType="begin" w:fldLock="1"/>
      </w:r>
      <w:r w:rsidR="00114B12" w:rsidRPr="00364D88">
        <w:rPr>
          <w:rFonts w:ascii="Arial" w:hAnsi="Arial"/>
          <w:lang w:val="en-GB"/>
        </w:rPr>
        <w:instrText>ADDIN CSL_CITATION {"citationItems":[{"id":"ITEM-1","itemData":{"DOI":"10.1038/nature11373","ISBN":"00280836","ISSN":"0028-0836","PMID":"22678280","abstract":"The most unique feature of Earth is the existence of life, and the most extraordinary feature of life is its diversity. Approximately 9 million types of plants, animals, protists and fungi inhabit the Earth. So, too, do 7 billion people. Two decades ago, at the first Earth Summit, the vast majority of the world's nations declared that human actions were dismantling the Earth's ecosystems, eliminating genes, species and biological traits at an alarming rate. This observation led to the question of how such loss of biological diversity will alter the functioning of ecosystems and their ability to provide society with the goods and services needed to prosper.","author":[{"dropping-particle":"","family":"Cardinale","given":"Bradley J.","non-dropping-particle":"","parse-names":false,"suffix":""},{"dropping-particle":"","family":"Duffy","given":"J. Emmett","non-dropping-particle":"","parse-names":false,"suffix":""},{"dropping-particle":"","family":"Gonzalez","given":"Andrew","non-dropping-particle":"","parse-names":false,"suffix":""},{"dropping-particle":"","family":"Hooper","given":"David U.","non-dropping-particle":"","parse-names":false,"suffix":""},{"dropping-particle":"","family":"Perrings","given":"Charles","non-dropping-particle":"","parse-names":false,"suffix":""},{"dropping-particle":"","family":"Venail","given":"Patrick","non-dropping-particle":"","parse-names":false,"suffix":""},{"dropping-particle":"","family":"Narwani","given":"Anita","non-dropping-particle":"","parse-names":false,"suffix":""},{"dropping-particle":"","family":"Mace","given":"Georgina M.","non-dropping-particle":"","parse-names":false,"suffix":""},{"dropping-particle":"","family":"Tilman","given":"David","non-dropping-particle":"","parse-names":false,"suffix":""},{"dropping-particle":"","family":"A.Wardle","given":"David","non-dropping-particle":"","parse-names":false,"suffix":""},{"dropping-particle":"","family":"Kinzig","given":"Ann P.","non-dropping-particle":"","parse-names":false,"suffix":""},{"dropping-particle":"","family":"Daily","given":"Gretchen C.","non-dropping-particle":"","parse-names":false,"suffix":""},{"dropping-particle":"","family":"Loreau","given":"Michel","non-dropping-particle":"","parse-names":false,"suffix":""},{"dropping-particle":"","family":"Grace","given":"James B.","non-dropping-particle":"","parse-names":false,"suffix":""},{"dropping-particle":"","family":"Larigauderie","given":"Anne","non-dropping-particle":"","parse-names":false,"suffix":""},{"dropping-particle":"","family":"Srivastava","given":"Diane S.","non-dropping-particle":"","parse-names":false,"suffix":""},{"dropping-particle":"","family":"Naeem","given":"Shahid","non-dropping-particle":"","parse-names":false,"suffix":""}],"container-title":"Nature","id":"ITEM-1","issue":"7415","issued":{"date-parts":[["2012"]]},"page":"326-326","title":"Biodiversity loss and its impact on humanity","type":"article-journal","volume":"489"},"uris":["http://www.mendeley.com/documents/?uuid=f6a15fe7-f5ae-4671-8e5c-87c2077763b2"]},{"id":"ITEM-2","itemData":{"DOI":"10.1038/ncomms3934","ISSN":"2041-1723","PMID":"24343268","abstract":"The availability of carbon from rising atmospheric carbon dioxide levels and of nitrogen from various human-induced inputs to ecosystems is continuously increasing; however, these increases are not paralleled by a similar increase in phosphorus inputs. The inexorable change in the stoichiometry of carbon and nitrogen relative to phosphorus has no equivalent in Earth's history. Here we report the profound and yet uncertain consequences of the human imprint on the phosphorus cycle and nitrogen:phosphorus stoichiometry for the structure, functioning and diversity of terrestrial and aquatic organisms and ecosystems. A mass balance approach is used to show that limited phosphorus and nitrogen availability are likely to jointly reduce future carbon storage by natural ecosystems during this century. Further, if phosphorus fertilizers cannot be made increasingly accessible, the crop yields projections of the Millennium Ecosystem Assessment imply an increase of the nutrient deficit in developing regions.","author":[{"dropping-particle":"","family":"Peñuelas","given":"Josep","non-dropping-particle":"","parse-names":false,"suffix":""},{"dropping-particle":"","family":"Poulter","given":"Benjamin","non-dropping-particle":"","parse-names":false,"suffix":""},{"dropping-particle":"","family":"Sardans","given":"Jordi","non-dropping-particle":"","parse-names":false,"suffix":""},{"dropping-particle":"","family":"Ciais","given":"Philippe","non-dropping-particle":"","parse-names":false,"suffix":""},{"dropping-particle":"","family":"Velde","given":"Marijn","non-dropping-particle":"van der","parse-names":false,"suffix":""},{"dropping-particle":"","family":"Bopp","given":"Laurent","non-dropping-particle":"","parse-names":false,"suffix":""},{"dropping-particle":"","family":"Boucher","given":"Olivier","non-dropping-particle":"","parse-names":false,"suffix":""},{"dropping-particle":"","family":"Godderis","given":"Yves","non-dropping-particle":"","parse-names":false,"suffix":""},{"dropping-particle":"","family":"Hinsinger","given":"Philippe","non-dropping-particle":"","parse-names":false,"suffix":""},{"dropping-particle":"","family":"Llusia","given":"Joan","non-dropping-particle":"","parse-names":false,"suffix":""},{"dropping-particle":"","family":"Nardin","given":"Elise","non-dropping-particle":"","parse-names":false,"suffix":""},{"dropping-particle":"","family":"Vicca","given":"Sara","non-dropping-particle":"","parse-names":false,"suffix":""},{"dropping-particle":"","family":"Obersteiner","given":"Michael","non-dropping-particle":"","parse-names":false,"suffix":""},{"dropping-particle":"","family":"Janssens","given":"Ivan A","non-dropping-particle":"","parse-names":false,"suffix":""}],"container-title":"Nature communications","id":"ITEM-2","issued":{"date-parts":[["2013","1","17"]]},"language":"en","page":"2934","publisher":"Nature Publishing Group","title":"Human-induced nitrogen-phosphorus imbalances alter natural and managed ecosystems across the globe.","type":"article-journal","volume":"4"},"uris":["http://www.mendeley.com/documents/?uuid=50e12e44-89fa-447a-a106-459eb4a9f2c5"]}],"mendeley":{"formattedCitation":"(Cardinale &lt;i&gt;et al.&lt;/i&gt;, 2012; Peñuelas &lt;i&gt;et al.&lt;/i&gt;, 2013)","plainTextFormattedCitation":"(Cardinale et al., 2012; Peñuelas et al., 2013)","previouslyFormattedCitation":"(Cardinale &lt;i&gt;et al.&lt;/i&gt;, 2012; Peñuelas &lt;i&gt;et al.&lt;/i&gt;, 2013)"},"properties":{"noteIndex":0},"schema":"https://github.com/citation-style-language/schema/raw/master/csl-citation.json"}</w:instrText>
      </w:r>
      <w:r w:rsidR="00F3176B" w:rsidRPr="00364D88">
        <w:rPr>
          <w:rFonts w:ascii="Arial" w:hAnsi="Arial"/>
          <w:lang w:val="en-GB"/>
        </w:rPr>
        <w:fldChar w:fldCharType="separate"/>
      </w:r>
      <w:r w:rsidR="009E486E" w:rsidRPr="00364D88">
        <w:rPr>
          <w:rFonts w:ascii="Arial" w:hAnsi="Arial"/>
          <w:noProof/>
          <w:lang w:val="en-GB"/>
        </w:rPr>
        <w:t xml:space="preserve">(Cardinale </w:t>
      </w:r>
      <w:r w:rsidR="009E486E" w:rsidRPr="00364D88">
        <w:rPr>
          <w:rFonts w:ascii="Arial" w:hAnsi="Arial"/>
          <w:i/>
          <w:noProof/>
          <w:lang w:val="en-GB"/>
        </w:rPr>
        <w:t>et al.</w:t>
      </w:r>
      <w:r w:rsidR="009E486E" w:rsidRPr="00364D88">
        <w:rPr>
          <w:rFonts w:ascii="Arial" w:hAnsi="Arial"/>
          <w:noProof/>
          <w:lang w:val="en-GB"/>
        </w:rPr>
        <w:t xml:space="preserve">, 2012; Peñuelas </w:t>
      </w:r>
      <w:r w:rsidR="009E486E" w:rsidRPr="00364D88">
        <w:rPr>
          <w:rFonts w:ascii="Arial" w:hAnsi="Arial"/>
          <w:i/>
          <w:noProof/>
          <w:lang w:val="en-GB"/>
        </w:rPr>
        <w:t>et al.</w:t>
      </w:r>
      <w:r w:rsidR="009E486E" w:rsidRPr="00364D88">
        <w:rPr>
          <w:rFonts w:ascii="Arial" w:hAnsi="Arial"/>
          <w:noProof/>
          <w:lang w:val="en-GB"/>
        </w:rPr>
        <w:t>, 2013)</w:t>
      </w:r>
      <w:r w:rsidR="00F3176B" w:rsidRPr="00364D88">
        <w:rPr>
          <w:rFonts w:ascii="Arial" w:hAnsi="Arial"/>
          <w:lang w:val="en-GB"/>
        </w:rPr>
        <w:fldChar w:fldCharType="end"/>
      </w:r>
      <w:r w:rsidR="00F3176B" w:rsidRPr="00364D88">
        <w:rPr>
          <w:rFonts w:ascii="Arial" w:hAnsi="Arial"/>
          <w:lang w:val="en-GB"/>
        </w:rPr>
        <w:t>, have triggered intensive research in</w:t>
      </w:r>
      <w:r w:rsidR="00D76781" w:rsidRPr="00364D88">
        <w:rPr>
          <w:rFonts w:ascii="Arial" w:hAnsi="Arial"/>
          <w:lang w:val="en-GB"/>
        </w:rPr>
        <w:t xml:space="preserve">to the </w:t>
      </w:r>
      <w:r w:rsidR="008E133E" w:rsidRPr="00364D88">
        <w:rPr>
          <w:rFonts w:ascii="Arial" w:hAnsi="Arial"/>
          <w:lang w:val="en-GB"/>
        </w:rPr>
        <w:t>effects</w:t>
      </w:r>
      <w:r w:rsidR="00D76781" w:rsidRPr="00364D88">
        <w:rPr>
          <w:rFonts w:ascii="Arial" w:hAnsi="Arial"/>
          <w:lang w:val="en-GB"/>
        </w:rPr>
        <w:t xml:space="preserve"> of global change on ecosystems.</w:t>
      </w:r>
      <w:r w:rsidR="00F3176B" w:rsidRPr="00364D88">
        <w:rPr>
          <w:rFonts w:ascii="Arial" w:hAnsi="Arial"/>
          <w:lang w:val="en-GB"/>
        </w:rPr>
        <w:t xml:space="preserve"> </w:t>
      </w:r>
      <w:r w:rsidR="00D76781" w:rsidRPr="00364D88">
        <w:rPr>
          <w:rFonts w:ascii="Arial" w:hAnsi="Arial"/>
          <w:lang w:val="en-GB"/>
        </w:rPr>
        <w:t xml:space="preserve">One of the </w:t>
      </w:r>
      <w:r w:rsidR="00B77F1D" w:rsidRPr="00364D88">
        <w:rPr>
          <w:rFonts w:ascii="Arial" w:hAnsi="Arial"/>
          <w:lang w:val="en-GB"/>
        </w:rPr>
        <w:t>most important</w:t>
      </w:r>
      <w:r w:rsidR="00D76781" w:rsidRPr="00364D88">
        <w:rPr>
          <w:rFonts w:ascii="Arial" w:hAnsi="Arial"/>
          <w:lang w:val="en-GB"/>
        </w:rPr>
        <w:t xml:space="preserve"> features of ecosystems, given the </w:t>
      </w:r>
      <w:r w:rsidR="00B77F1D" w:rsidRPr="00364D88">
        <w:rPr>
          <w:rFonts w:ascii="Arial" w:hAnsi="Arial"/>
          <w:lang w:val="en-GB"/>
        </w:rPr>
        <w:t xml:space="preserve">current </w:t>
      </w:r>
      <w:r w:rsidR="00D76781" w:rsidRPr="00364D88">
        <w:rPr>
          <w:rFonts w:ascii="Arial" w:hAnsi="Arial"/>
          <w:lang w:val="en-GB"/>
        </w:rPr>
        <w:t xml:space="preserve">climate </w:t>
      </w:r>
      <w:r w:rsidR="00B77F1D" w:rsidRPr="00364D88">
        <w:rPr>
          <w:rFonts w:ascii="Arial" w:hAnsi="Arial"/>
          <w:lang w:val="en-GB"/>
        </w:rPr>
        <w:t>emergency</w:t>
      </w:r>
      <w:r w:rsidR="00D76781" w:rsidRPr="00364D88">
        <w:rPr>
          <w:rFonts w:ascii="Arial" w:hAnsi="Arial"/>
          <w:lang w:val="en-GB"/>
        </w:rPr>
        <w:t>, is their carbon (C) balance</w:t>
      </w:r>
      <w:r w:rsidR="00DA7B23" w:rsidRPr="00364D88">
        <w:rPr>
          <w:rFonts w:ascii="Arial" w:hAnsi="Arial"/>
          <w:lang w:val="en-GB"/>
        </w:rPr>
        <w:t>,</w:t>
      </w:r>
      <w:r w:rsidR="004439B5" w:rsidRPr="00364D88">
        <w:rPr>
          <w:rFonts w:ascii="Arial" w:hAnsi="Arial"/>
          <w:lang w:val="en-GB"/>
        </w:rPr>
        <w:t xml:space="preserve"> this is</w:t>
      </w:r>
      <w:r w:rsidR="00DA7B23" w:rsidRPr="00364D88">
        <w:rPr>
          <w:rFonts w:ascii="Arial" w:hAnsi="Arial"/>
          <w:lang w:val="en-GB"/>
        </w:rPr>
        <w:t>:</w:t>
      </w:r>
      <w:r w:rsidR="004439B5" w:rsidRPr="00364D88">
        <w:rPr>
          <w:rFonts w:ascii="Arial" w:hAnsi="Arial"/>
          <w:lang w:val="en-GB"/>
        </w:rPr>
        <w:t xml:space="preserve"> gross primary production (GPP), </w:t>
      </w:r>
      <w:r w:rsidR="00DA7B23" w:rsidRPr="00364D88">
        <w:rPr>
          <w:rFonts w:ascii="Arial" w:hAnsi="Arial"/>
          <w:lang w:val="en-GB"/>
        </w:rPr>
        <w:t xml:space="preserve">ecosystem </w:t>
      </w:r>
      <w:r w:rsidR="004439B5" w:rsidRPr="00364D88">
        <w:rPr>
          <w:rFonts w:ascii="Arial" w:hAnsi="Arial"/>
          <w:lang w:val="en-GB"/>
        </w:rPr>
        <w:t>respiration (Re) and net ecosystem production (NEP = GPP – Re)</w:t>
      </w:r>
      <w:r w:rsidR="00D76781" w:rsidRPr="00364D88">
        <w:rPr>
          <w:rFonts w:ascii="Arial" w:hAnsi="Arial"/>
          <w:lang w:val="en-GB"/>
        </w:rPr>
        <w:t xml:space="preserve">. </w:t>
      </w:r>
      <w:r w:rsidR="00103339" w:rsidRPr="00364D88">
        <w:rPr>
          <w:rFonts w:ascii="Arial" w:hAnsi="Arial"/>
          <w:lang w:val="en-GB"/>
        </w:rPr>
        <w:t xml:space="preserve">The ecosystem-level C-use efficiency (CUEe), defined as the NEP:GPP ratio, is another important feature to understand how C is used in ecosystems </w:t>
      </w:r>
      <w:r w:rsidR="00103339" w:rsidRPr="00364D88">
        <w:rPr>
          <w:rFonts w:ascii="Arial" w:hAnsi="Arial"/>
          <w:lang w:val="en-GB"/>
        </w:rPr>
        <w:fldChar w:fldCharType="begin" w:fldLock="1"/>
      </w:r>
      <w:r w:rsidR="004C0ACC" w:rsidRPr="00364D88">
        <w:rPr>
          <w:rFonts w:ascii="Arial" w:hAnsi="Arial"/>
          <w:lang w:val="en-GB"/>
        </w:rPr>
        <w:instrText>ADDIN CSL_CITATION {"citationItems":[{"id":"ITEM-1","itemData":{"DOI":"doi:10.1038/nclimate2177","ISSN":"1758-678X","abstract":"Forests strongly affect climate through the exchange of large amounts of atmospheric CO2 (ref. 1). The main drivers of spatial variability in net ecosystem production (NEP) on a global scale are, however, poorly known. As increasing nutrient availability increases the production of biomass per unit of photosynthesis2 and reduces heterotrophic3 respiration in forests, we expected nutrients to determine carbon sequestration in forests. Our synthesis study of 92 forests in different climate zones revealed that nutrient availability indeed plays a crucial role in determining NEP and ecosystem carbon-use efficiency (CUEe; that is, the ratio of NEP to gross primary production (GPP)). Forests with high GPP exhibited high NEP only in nutrient-rich forests (CUEe = 33 ± 4%; mean ± s.e.m.). In nutrient-poor forests, a much larger proportion of GPP was released through ecosystem respiration, resulting in lower CUEe (6 ± 4%). Our finding that nutrient availability exerts a stronger control on NEP than on carbon input (GPP) conflicts with assumptions of nearly all global coupled carbon cycle–climate models, which assume that carbon inputs through photosynthesis drive biomass production and carbon sequestration. An improved global understanding of nutrient availability would therefore greatly improve carbon cycle modelling and should become a critical focus for future research.","author":[{"dropping-particle":"","family":"Fernández-Martínez","given":"Marcos","non-dropping-particle":"","parse-names":false,"suffix":""},{"dropping-particle":"","family":"Vicca","given":"S.","non-dropping-particle":"","parse-names":false,"suffix":""},{"dropping-particle":"","family":"Janssens","given":"I. A.","non-dropping-particle":"","parse-names":false,"suffix":""},{"dropping-particle":"","family":"Sardans","given":"J.","non-dropping-particle":"","parse-names":false,"suffix":""},{"dropping-particle":"","family":"Luyssaert","given":"S.","non-dropping-particle":"","parse-names":false,"suffix":""},{"dropping-particle":"","family":"Campioli","given":"M.","non-dropping-particle":"","parse-names":false,"suffix":""},{"dropping-particle":"","family":"Chapin III","given":"F. S.","non-dropping-particle":"","parse-names":false,"suffix":""},{"dropping-particle":"","family":"Ciais","given":"P.","non-dropping-particle":"","parse-names":false,"suffix":""},{"dropping-particle":"","family":"Malhi","given":"Y.","non-dropping-particle":"","parse-names":false,"suffix":""},{"dropping-particle":"","family":"Obersteiner","given":"M.","non-dropping-particle":"","parse-names":false,"suffix":""},{"dropping-particle":"","family":"Papale","given":"D.","non-dropping-particle":"","parse-names":false,"suffix":""},{"dropping-particle":"","family":"Piao","given":"S. L.","non-dropping-particle":"","parse-names":false,"suffix":""},{"dropping-particle":"","family":"Reichstein","given":"M.","non-dropping-particle":"","parse-names":false,"suffix":""},{"dropping-particle":"","family":"Rodà","given":"F.","non-dropping-particle":"","parse-names":false,"suffix":""},{"dropping-particle":"","family":"Peñuelas","given":"J.","non-dropping-particle":"","parse-names":false,"suffix":""}],"container-title":"Nature Climate Change","id":"ITEM-1","issue":"6","issued":{"date-parts":[["2014","4","6"]]},"page":"471–476","publisher":"Nature Publishing Group","title":"Nutrient availability as the key regulator of global forest carbon balance","title-short":"Nature Clim. Change","type":"article-journal","volume":"4"},"uris":["http://www.mendeley.com/documents/?uuid=f2f133a0-5090-42a6-bac1-54f1aadcf678"]}],"mendeley":{"formattedCitation":"(Fernández-Martínez &lt;i&gt;et al.&lt;/i&gt;, 2014a)","plainTextFormattedCitation":"(Fernández-Martínez et al., 2014a)","previouslyFormattedCitation":"(Fernández-Martínez &lt;i&gt;et al.&lt;/i&gt;, 2014a)"},"properties":{"noteIndex":0},"schema":"https://github.com/citation-style-language/schema/raw/master/csl-citation.json"}</w:instrText>
      </w:r>
      <w:r w:rsidR="00103339" w:rsidRPr="00364D88">
        <w:rPr>
          <w:rFonts w:ascii="Arial" w:hAnsi="Arial"/>
          <w:lang w:val="en-GB"/>
        </w:rPr>
        <w:fldChar w:fldCharType="separate"/>
      </w:r>
      <w:r w:rsidR="00103339" w:rsidRPr="00364D88">
        <w:rPr>
          <w:rFonts w:ascii="Arial" w:hAnsi="Arial"/>
          <w:noProof/>
          <w:lang w:val="en-GB"/>
        </w:rPr>
        <w:t xml:space="preserve">(Fernández-Martínez </w:t>
      </w:r>
      <w:r w:rsidR="00103339" w:rsidRPr="00364D88">
        <w:rPr>
          <w:rFonts w:ascii="Arial" w:hAnsi="Arial"/>
          <w:i/>
          <w:noProof/>
          <w:lang w:val="en-GB"/>
        </w:rPr>
        <w:t>et al.</w:t>
      </w:r>
      <w:r w:rsidR="00103339" w:rsidRPr="00364D88">
        <w:rPr>
          <w:rFonts w:ascii="Arial" w:hAnsi="Arial"/>
          <w:noProof/>
          <w:lang w:val="en-GB"/>
        </w:rPr>
        <w:t>, 2014a)</w:t>
      </w:r>
      <w:r w:rsidR="00103339" w:rsidRPr="00364D88">
        <w:rPr>
          <w:rFonts w:ascii="Arial" w:hAnsi="Arial"/>
          <w:lang w:val="en-GB"/>
        </w:rPr>
        <w:fldChar w:fldCharType="end"/>
      </w:r>
      <w:r w:rsidR="00103339" w:rsidRPr="00364D88">
        <w:rPr>
          <w:rFonts w:ascii="Arial" w:hAnsi="Arial"/>
          <w:lang w:val="en-GB"/>
        </w:rPr>
        <w:t xml:space="preserve">. </w:t>
      </w:r>
    </w:p>
    <w:p w14:paraId="69BC8402" w14:textId="249796E3" w:rsidR="00D76781" w:rsidRPr="00364D88" w:rsidRDefault="00D76781" w:rsidP="00F3176B">
      <w:pPr>
        <w:spacing w:line="360" w:lineRule="auto"/>
        <w:jc w:val="both"/>
        <w:outlineLvl w:val="0"/>
        <w:rPr>
          <w:rFonts w:ascii="Arial" w:hAnsi="Arial"/>
          <w:lang w:val="en-GB"/>
        </w:rPr>
      </w:pPr>
      <w:r w:rsidRPr="00364D88">
        <w:rPr>
          <w:rFonts w:ascii="Arial" w:hAnsi="Arial"/>
          <w:lang w:val="en-GB"/>
        </w:rPr>
        <w:t>W</w:t>
      </w:r>
      <w:r w:rsidR="00F3176B" w:rsidRPr="00364D88">
        <w:rPr>
          <w:rFonts w:ascii="Arial" w:hAnsi="Arial"/>
          <w:lang w:val="en-GB"/>
        </w:rPr>
        <w:t xml:space="preserve">hile </w:t>
      </w:r>
      <w:r w:rsidRPr="00364D88">
        <w:rPr>
          <w:rFonts w:ascii="Arial" w:hAnsi="Arial"/>
          <w:lang w:val="en-GB"/>
        </w:rPr>
        <w:t xml:space="preserve">the role of </w:t>
      </w:r>
      <w:r w:rsidR="00F3176B" w:rsidRPr="00364D88">
        <w:rPr>
          <w:rFonts w:ascii="Arial" w:hAnsi="Arial"/>
          <w:lang w:val="en-GB"/>
        </w:rPr>
        <w:t xml:space="preserve">climate </w:t>
      </w:r>
      <w:r w:rsidR="00B77F1D" w:rsidRPr="00364D88">
        <w:rPr>
          <w:rFonts w:ascii="Arial" w:hAnsi="Arial"/>
          <w:lang w:val="en-GB"/>
        </w:rPr>
        <w:t xml:space="preserve">and the alteration of the N cycle (i.e., N deposition) </w:t>
      </w:r>
      <w:r w:rsidRPr="00364D88">
        <w:rPr>
          <w:rFonts w:ascii="Arial" w:hAnsi="Arial"/>
          <w:lang w:val="en-GB"/>
        </w:rPr>
        <w:t xml:space="preserve">on ecosystem C balance has been </w:t>
      </w:r>
      <w:r w:rsidR="00071D38" w:rsidRPr="00364D88">
        <w:rPr>
          <w:rFonts w:ascii="Arial" w:hAnsi="Arial"/>
          <w:lang w:val="en-GB"/>
        </w:rPr>
        <w:t xml:space="preserve">intensively </w:t>
      </w:r>
      <w:r w:rsidRPr="00364D88">
        <w:rPr>
          <w:rFonts w:ascii="Arial" w:hAnsi="Arial"/>
          <w:lang w:val="en-GB"/>
        </w:rPr>
        <w:t>investigated</w:t>
      </w:r>
      <w:r w:rsidR="009E486E" w:rsidRPr="00364D88">
        <w:rPr>
          <w:rFonts w:ascii="Arial" w:hAnsi="Arial"/>
          <w:lang w:val="en-GB"/>
        </w:rPr>
        <w:t xml:space="preserve"> </w:t>
      </w:r>
      <w:r w:rsidRPr="00364D88">
        <w:rPr>
          <w:rFonts w:ascii="Arial" w:hAnsi="Arial"/>
          <w:lang w:val="en-GB"/>
        </w:rPr>
        <w:fldChar w:fldCharType="begin" w:fldLock="1"/>
      </w:r>
      <w:r w:rsidR="004C0ACC" w:rsidRPr="00364D88">
        <w:rPr>
          <w:rFonts w:ascii="Arial" w:hAnsi="Arial"/>
          <w:lang w:val="en-GB"/>
        </w:rPr>
        <w:instrText>ADDIN CSL_CITATION {"citationItems":[{"id":"ITEM-1","itemData":{"DOI":"10.1111/j.1365-2486.2007.01432.x","ISSN":"1354-1013","author":[{"dropping-particle":"","family":"Luyssaert","given":"S.","non-dropping-particle":"","parse-names":false,"suffix":""},{"dropping-particle":"","family":"Janssens","given":"I. A.","non-dropping-particle":"","parse-names":false,"suffix":""},{"dropping-particle":"","family":"Sulkava","given":"M.","non-dropping-particle":"","parse-names":false,"suffix":""},{"dropping-particle":"","family":"Papale","given":"D.","non-dropping-particle":"","parse-names":false,"suffix":""},{"dropping-particle":"","family":"Dolman","given":"A. J.","non-dropping-particle":"","parse-names":false,"suffix":""},{"dropping-particle":"","family":"Reichstein","given":"M.","non-dropping-particle":"","parse-names":false,"suffix":""},{"dropping-particle":"","family":"Hollmén","given":"J.","non-dropping-particle":"","parse-names":false,"suffix":""},{"dropping-particle":"","family":"Martin","given":"J. G.","non-dropping-particle":"","parse-names":false,"suffix":""},{"dropping-particle":"","family":"Suni","given":"T.","non-dropping-particle":"","parse-names":false,"suffix":""},{"dropping-particle":"","family":"Vesala","given":"T.","non-dropping-particle":"","parse-names":false,"suffix":""},{"dropping-particle":"","family":"Loustau","given":"D.","non-dropping-particle":"","parse-names":false,"suffix":""},{"dropping-particle":"","family":"Law","given":"B. E.","non-dropping-particle":"","parse-names":false,"suffix":""},{"dropping-particle":"","family":"Moors","given":"E. J.","non-dropping-particle":"","parse-names":false,"suffix":""}],"container-title":"Global Change Biology","id":"ITEM-1","issue":"10","issued":{"date-parts":[["2007","10"]]},"page":"2110-2127","title":"Photosynthesis drives anomalies in net carbon-exchange of pine forests at different latitudes","type":"article-journal","volume":"13"},"uris":["http://www.mendeley.com/documents/?uuid=55ef6a07-bf45-4672-bb06-3d5a77b61dbc"]},{"id":"ITEM-2","itemData":{"DOI":"10.1007/s00468-013-0975-9","ISSN":"0931-1890","abstract":"Key message Stand age, water availability, and the length of the warm period are the most influencing controls of forest structure, functioning, and efficiency. Abstract We aimed to discern the distribution and controls of plant biomass, carbon fluxes, and resource-use efficiencies of forest ecosystems ranging from boreal to tropical forests. We analysed a global forest database containing estimates of stand biomass and carbon fluxes (400 and 111 sites, respectively) from which we calculated resource-use efficiencies (biomass production, carbon sequestration, light, and water-use efficiencies). We used the WorldClim climatic database and remote-sensing data derived from the Moderate Resolution Imaging Spectro- radiometer to analyse climatic controls of ecosystem","author":[{"dropping-particle":"","family":"Fernández-Martínez","given":"Marcos","non-dropping-particle":"","parse-names":false,"suffix":""},{"dropping-particle":"","family":"Vicca","given":"Sara","non-dropping-particle":"","parse-names":false,"suffix":""},{"dropping-particle":"","family":"Janssens","given":"Ivan A.","non-dropping-particle":"","parse-names":false,"suffix":""},{"dropping-particle":"","family":"Luyssaert","given":"Sebastiaan","non-dropping-particle":"","parse-names":false,"suffix":""},{"dropping-particle":"","family":"Campioli","given":"Matteo","non-dropping-particle":"","parse-names":false,"suffix":""},{"dropping-particle":"","family":"Sardans","given":"Jordi","non-dropping-particle":"","parse-names":false,"suffix":""},{"dropping-particle":"","family":"Estiarte","given":"Marc","non-dropping-particle":"","parse-names":false,"suffix":""},{"dropping-particle":"","family":"Peñuelas","given":"Josep","non-dropping-particle":"","parse-names":false,"suffix":""}],"container-title":"Trees, structure and function","id":"ITEM-2","issue":"2","issued":{"date-parts":[["2014","1","1"]]},"note":"From Duplicate 1 ( \n\n\n\n\n\n\n\nSpatial variability and controls over biomass stocks, carbon fluxes and resource-use efficiencies in forest ecosystems\n\n\n\n\n\n\n\n- Fernández-Martínez, Marcos; Vicca, S; Janssens, Ivan a; Campioli, M; Luyssaert, Sebastiaan; Sardans, Jordi; Peñuelas, Josep )\n\n\n\n","page":"597-611","title":"Spatial variability and controls over biomass stocks, carbon fluxes and resource-use efficiencies in forest ecosystems","type":"article-journal","volume":"28"},"uris":["http://www.mendeley.com/documents/?uuid=5d74c1d2-bf0b-4aec-93de-1760cfac4dda"]},{"id":"ITEM-3","itemData":{"DOI":"10.1007/s13398-014-0173-7.2","ISBN":"1726-4189","ISSN":"0717-6163","PMID":"15003161","abstract":"Concentrations of atmospheric carbon dioxide (CO2) have continued to increase whereas atmospheric deposition of sulphur and nitrogen has declined in Europe and the USA during recent decades. Using time series of flux observations from 23 forests distributed throughout Europe and the USA, and generalised mixed models, we found that forest-level net ecosystem production and gross primary production have increased by 1% annually from 1995 to 2011. Statistical models indicated that increasing atmospheric CO2 was the most important factor driving the increasing strength of carbon sinks in these forests. We also found that the reduction of sulphur deposition in Europe and the USA lead to higher recovery in ecosystem respiration than in gross primary production, thus limiting the increase of carbon sequestration. By contrast, trends in climate and nitrogen deposition did not significantly contribute to changing carbon fluxes during the studied period. Our findings support the hypothesis of a general CO2-fertilization effect on vegetation growth and suggest that, so far unknown, sulphur deposition plays a significant role in the carbon balance of forests in industrialized regions. Our results show the need to include the effects of changing atmospheric composition, beyond CO2, to assess future dynamics of carbon-climate feedbacks not currently considered in earth system/climate modelling.","author":[{"dropping-particle":"","family":"Fernández-Martínez","given":"Marcos","non-dropping-particle":"","parse-names":false,"suffix":""},{"dropping-particle":"","family":"Vicca","given":"Sara","non-dropping-particle":"","parse-names":false,"suffix":""},{"dropping-particle":"","family":"Janssens","given":"Ivan. A.","non-dropping-particle":"","parse-names":false,"suffix":""},{"dropping-particle":"","family":"Ciais","given":"Philippe","non-dropping-particle":"","parse-names":false,"suffix":""},{"dropping-particle":"","family":"Obersteiner","given":"Michael","non-dropping-particle":"","parse-names":false,"suffix":""},{"dropping-particle":"","family":"Bartrons","given":"Mireia","non-dropping-particle":"","parse-names":false,"suffix":""},{"dropping-particle":"","family":"Sardans","given":"Jordi","non-dropping-particle":"","parse-names":false,"suffix":""},{"dropping-particle":"","family":"Verger","given":"Aleixandre","non-dropping-particle":"","parse-names":false,"suffix":""},{"dropping-particle":"","family":"Canadell","given":"Josep G.","non-dropping-particle":"","parse-names":false,"suffix":""},{"dropping-particle":"","family":"Chevallier","given":"Frédéric","non-dropping-particle":"","parse-names":false,"suffix":""},{"dropping-particle":"","family":"Wang","given":"Xuhui","non-dropping-particle":"","parse-names":false,"suffix":""},{"dropping-particle":"","family":"Bernhofer","given":"Christian","non-dropping-particle":"","parse-names":false,"suffix":""},{"dropping-particle":"","family":"Curtis","given":"Peter S.","non-dropping-particle":"","parse-names":false,"suffix":""},{"dropping-particle":"","family":"Gianelle","given":"Damiano","non-dropping-particle":"","parse-names":false,"suffix":""}],"container-title":"Scientific Reports","id":"ITEM-3","issue":"July","issued":{"date-parts":[["2017"]]},"page":"1-13","title":"Atmospheric deposition, CO2, and change in the land carbon sink","type":"article-journal","volume":"7:9632"},"uris":["http://www.mendeley.com/documents/?uuid=b7950bae-967d-46a8-8d39-a87ee535e37e"]},{"id":"ITEM-4","itemData":{"DOI":"10.1016/j.cosust.2014.09.001","ISSN":"18773435","abstract":"The carbon to nitrogen response of forest ecosystems depends on the possible occurrence of nitrogen limitation versus possible co-limitations by other drivers, such as low temperature or availability of phosphorus. A combination of nitrogen retention estimates and stoichiometric scaling is used to illustrate the most likely carbon–nitrogen responses for needle-leaved and broadleaved forests to atmospheric nitrogen deposition. Results are evaluated against field observations and nitrogen addition experiments. The likely change in carbon to nitrogen response with nitrogen deposition level is hypothesized, distinguishing three threshold values that mark the forest carbon responses. We estimated that at global scale nitrogen deposition currently increases the forest carbon sink by 276–448 Tg C yr?1, with approximately 60% retained in tree wood and 40% in soil. Furthermore, the long-term carbon response to nitrogen, accounting for nitrogen saturation over time is hypothesized. In this context, the role of global scale coupled carbon–nitrogen models is also evaluated in view of current knowledge affecting carbon–nitrogen responses, including interactions with other drivers.","author":[{"dropping-particle":"","family":"Vries","given":"Wim","non-dropping-particle":"de","parse-names":false,"suffix":""},{"dropping-particle":"","family":"Du","given":"Enzai","non-dropping-particle":"","parse-names":false,"suffix":""},{"dropping-particle":"","family":"Butterbach-Bahl","given":"Klaus","non-dropping-particle":"","parse-names":false,"suffix":""}],"container-title":"Current Opinion in Environmental Sustainability","id":"ITEM-4","issued":{"date-parts":[["2014","11"]]},"page":"90-104","title":"Short and long-term impacts of nitrogen deposition on carbon sequestration by forest ecosystems","type":"article-journal","volume":"9-10"},"uris":["http://www.mendeley.com/documents/?uuid=4f59b352-82a0-44cf-9d27-8e568fc2d9b7"]},{"id":"ITEM-5","itemData":{"DOI":"10.1038/ngeo844","ISSN":"1752-0894","author":[{"dropping-particle":"","family":"Janssens","given":"I. A.","non-dropping-particle":"","parse-names":false,"suffix":""},{"dropping-particle":"","family":"Dieleman","given":"W.","non-dropping-particle":"","parse-names":false,"suffix":""},{"dropping-particle":"","family":"Luyssaert","given":"S.","non-dropping-particle":"","parse-names":false,"suffix":""},{"dropping-particle":"","family":"Subke","given":"J-A.","non-dropping-particle":"","parse-names":false,"suffix":""},{"dropping-particle":"","family":"Reichstein","given":"M.","non-dropping-particle":"","parse-names":false,"suffix":""},{"dropping-particle":"","family":"Ceulemans","given":"R.","non-dropping-particle":"","parse-names":false,"suffix":""},{"dropping-particle":"","family":"Ciais","given":"P.","non-dropping-particle":"","parse-names":false,"suffix":""},{"dropping-particle":"","family":"Dolman","given":"A. J.","non-dropping-particle":"","parse-names":false,"suffix":""},{"dropping-particle":"","family":"Grace","given":"J.","non-dropping-particle":"","parse-names":false,"suffix":""},{"dropping-particle":"","family":"Matteucci","given":"G.","non-dropping-particle":"","parse-names":false,"suffix":""},{"dropping-particle":"","family":"Papale","given":"D.","non-dropping-particle":"","parse-names":false,"suffix":""},{"dropping-particle":"","family":"Piao","given":"S. L.","non-dropping-particle":"","parse-names":false,"suffix":""},{"dropping-particle":"","family":"Schulze","given":"E-D.","non-dropping-particle":"","parse-names":false,"suffix":""},{"dropping-particle":"","family":"Tang","given":"J.","non-dropping-particle":"","parse-names":false,"suffix":""},{"dropping-particle":"","family":"Law","given":"B.E.","non-dropping-particle":"","parse-names":false,"suffix":""}],"container-title":"Nature Geoscience","id":"ITEM-5","issue":"5","issued":{"date-parts":[["2010","4","25"]]},"page":"315-322","publisher":"Nature Publishing Group","title":"Reduction of forest soil respiration in response to nitrogen deposition","type":"article-journal","volume":"3"},"uris":["http://www.mendeley.com/documents/?uuid=bce587c3-bb4e-4cdc-ae41-96216f2b40b5"]},{"id":"ITEM-6","itemData":{"DOI":"10.1029/2004GB002417","ISSN":"08866236","abstract":"We analyzed measurements of net ecosystem exchange of CO2 (NEE) over 15 European forests (the EuroFlux data set) to investigate which climate and forest characteristics explain temporal and intersite variations in NEE and its components, gross primary production (GPP) and respiration (R). Informed stepwise regression was used to derive a parameter-efficient, empirical model that was consistent with process knowledge. The resulting model required seven site-specific parameters to describe flux behavior at different temporal scales as a function of radiation, temperature, and air humidity. The interpretation appeared robust despite method and data uncertainties, although the data set was probably biased toward well-watered boreal and temperate European forests. Radiation, temperature, and leaf area (through forest assimilation capacity) appear to be the main drivers of the observed temporal and intersite variation in gross primary production, ecosystem respiration, and net ecosystem exchange. Copyright 2005 by the American Geophysical Union.","author":[{"dropping-particle":"","family":"Dijk","given":"Albert I.J.M.","non-dropping-particle":"van","parse-names":false,"suffix":""},{"dropping-particle":"","family":"Dolman","given":"A. J.","non-dropping-particle":"","parse-names":false,"suffix":""},{"dropping-particle":"","family":"Schulze","given":"Ernst Detlef","non-dropping-particle":"","parse-names":false,"suffix":""}],"container-title":"Global Biogeochemical Cycles","id":"ITEM-6","issue":"2","issued":{"date-parts":[["2005"]]},"page":"1-15","title":"Radiation, temperature, and leaf area explain ecosystem carbon fluxes in boreal and temperate European forests","type":"article-journal","volume":"19"},"uris":["http://www.mendeley.com/documents/?uuid=9e9c60a0-777e-4353-a6fb-5411db7b8c34"]}],"mendeley":{"formattedCitation":"(van Dijk &lt;i&gt;et al.&lt;/i&gt;, 2005; Luyssaert &lt;i&gt;et al.&lt;/i&gt;, 2007a; Janssens &lt;i&gt;et al.&lt;/i&gt;, 2010; de Vries &lt;i&gt;et al.&lt;/i&gt;, 2014; Fernández-Martínez &lt;i&gt;et al.&lt;/i&gt;, 2014b, 2017)","plainTextFormattedCitation":"(van Dijk et al., 2005; Luyssaert et al., 2007a; Janssens et al., 2010; de Vries et al., 2014; Fernández-Martínez et al., 2014b, 2017)","previouslyFormattedCitation":"(van Dijk &lt;i&gt;et al.&lt;/i&gt;, 2005; Luyssaert &lt;i&gt;et al.&lt;/i&gt;, 2007a; Janssens &lt;i&gt;et al.&lt;/i&gt;, 2010; de Vries &lt;i&gt;et al.&lt;/i&gt;, 2014; Fernández-Martínez &lt;i&gt;et al.&lt;/i&gt;, 2014b, 2017)"},"properties":{"noteIndex":0},"schema":"https://github.com/citation-style-language/schema/raw/master/csl-citation.json"}</w:instrText>
      </w:r>
      <w:r w:rsidRPr="00364D88">
        <w:rPr>
          <w:rFonts w:ascii="Arial" w:hAnsi="Arial"/>
          <w:lang w:val="en-GB"/>
        </w:rPr>
        <w:fldChar w:fldCharType="separate"/>
      </w:r>
      <w:r w:rsidR="00103339" w:rsidRPr="00364D88">
        <w:rPr>
          <w:rFonts w:ascii="Arial" w:hAnsi="Arial"/>
          <w:noProof/>
          <w:lang w:val="en-GB"/>
        </w:rPr>
        <w:t xml:space="preserve">(van Dijk </w:t>
      </w:r>
      <w:r w:rsidR="00103339" w:rsidRPr="00364D88">
        <w:rPr>
          <w:rFonts w:ascii="Arial" w:hAnsi="Arial"/>
          <w:i/>
          <w:noProof/>
          <w:lang w:val="en-GB"/>
        </w:rPr>
        <w:t>et al.</w:t>
      </w:r>
      <w:r w:rsidR="00103339" w:rsidRPr="00364D88">
        <w:rPr>
          <w:rFonts w:ascii="Arial" w:hAnsi="Arial"/>
          <w:noProof/>
          <w:lang w:val="en-GB"/>
        </w:rPr>
        <w:t xml:space="preserve">, 2005; Luyssaert </w:t>
      </w:r>
      <w:r w:rsidR="00103339" w:rsidRPr="00364D88">
        <w:rPr>
          <w:rFonts w:ascii="Arial" w:hAnsi="Arial"/>
          <w:i/>
          <w:noProof/>
          <w:lang w:val="en-GB"/>
        </w:rPr>
        <w:t>et al.</w:t>
      </w:r>
      <w:r w:rsidR="00103339" w:rsidRPr="00364D88">
        <w:rPr>
          <w:rFonts w:ascii="Arial" w:hAnsi="Arial"/>
          <w:noProof/>
          <w:lang w:val="en-GB"/>
        </w:rPr>
        <w:t xml:space="preserve">, 2007a; Janssens </w:t>
      </w:r>
      <w:r w:rsidR="00103339" w:rsidRPr="00364D88">
        <w:rPr>
          <w:rFonts w:ascii="Arial" w:hAnsi="Arial"/>
          <w:i/>
          <w:noProof/>
          <w:lang w:val="en-GB"/>
        </w:rPr>
        <w:t>et al.</w:t>
      </w:r>
      <w:r w:rsidR="00103339" w:rsidRPr="00364D88">
        <w:rPr>
          <w:rFonts w:ascii="Arial" w:hAnsi="Arial"/>
          <w:noProof/>
          <w:lang w:val="en-GB"/>
        </w:rPr>
        <w:t xml:space="preserve">, 2010; de Vries </w:t>
      </w:r>
      <w:r w:rsidR="00103339" w:rsidRPr="00364D88">
        <w:rPr>
          <w:rFonts w:ascii="Arial" w:hAnsi="Arial"/>
          <w:i/>
          <w:noProof/>
          <w:lang w:val="en-GB"/>
        </w:rPr>
        <w:t>et al.</w:t>
      </w:r>
      <w:r w:rsidR="00103339" w:rsidRPr="00364D88">
        <w:rPr>
          <w:rFonts w:ascii="Arial" w:hAnsi="Arial"/>
          <w:noProof/>
          <w:lang w:val="en-GB"/>
        </w:rPr>
        <w:t xml:space="preserve">, 2014; Fernández-Martínez </w:t>
      </w:r>
      <w:r w:rsidR="00103339" w:rsidRPr="00364D88">
        <w:rPr>
          <w:rFonts w:ascii="Arial" w:hAnsi="Arial"/>
          <w:i/>
          <w:noProof/>
          <w:lang w:val="en-GB"/>
        </w:rPr>
        <w:t>et al.</w:t>
      </w:r>
      <w:r w:rsidR="00103339" w:rsidRPr="00364D88">
        <w:rPr>
          <w:rFonts w:ascii="Arial" w:hAnsi="Arial"/>
          <w:noProof/>
          <w:lang w:val="en-GB"/>
        </w:rPr>
        <w:t>, 2014b, 2017)</w:t>
      </w:r>
      <w:r w:rsidRPr="00364D88">
        <w:rPr>
          <w:rFonts w:ascii="Arial" w:hAnsi="Arial"/>
          <w:lang w:val="en-GB"/>
        </w:rPr>
        <w:fldChar w:fldCharType="end"/>
      </w:r>
      <w:r w:rsidRPr="00364D88">
        <w:rPr>
          <w:rFonts w:ascii="Arial" w:hAnsi="Arial"/>
          <w:lang w:val="en-GB"/>
        </w:rPr>
        <w:t xml:space="preserve">, </w:t>
      </w:r>
      <w:r w:rsidR="00B77F1D" w:rsidRPr="00364D88">
        <w:rPr>
          <w:rFonts w:ascii="Arial" w:hAnsi="Arial"/>
          <w:lang w:val="en-GB"/>
        </w:rPr>
        <w:t xml:space="preserve">we barely have any evidence regarding the role of diversity and elemental composition of ecosystems on C balance. </w:t>
      </w:r>
      <w:r w:rsidR="00C600D9" w:rsidRPr="00364D88">
        <w:rPr>
          <w:rFonts w:ascii="Arial" w:hAnsi="Arial"/>
          <w:lang w:val="en-GB"/>
        </w:rPr>
        <w:t xml:space="preserve">Filling in this </w:t>
      </w:r>
      <w:r w:rsidR="00071D38" w:rsidRPr="00364D88">
        <w:rPr>
          <w:rFonts w:ascii="Arial" w:hAnsi="Arial"/>
          <w:lang w:val="en-GB"/>
        </w:rPr>
        <w:t xml:space="preserve">knowledge </w:t>
      </w:r>
      <w:r w:rsidR="00C600D9" w:rsidRPr="00364D88">
        <w:rPr>
          <w:rFonts w:ascii="Arial" w:hAnsi="Arial"/>
          <w:lang w:val="en-GB"/>
        </w:rPr>
        <w:t xml:space="preserve">gap </w:t>
      </w:r>
      <w:r w:rsidR="00B77F1D" w:rsidRPr="00364D88">
        <w:rPr>
          <w:rFonts w:ascii="Arial" w:hAnsi="Arial"/>
          <w:lang w:val="en-GB"/>
        </w:rPr>
        <w:t>is crucial given that different facets of the global change are currently reducing biodiversity and</w:t>
      </w:r>
      <w:r w:rsidR="00F740A9" w:rsidRPr="00364D88">
        <w:rPr>
          <w:rFonts w:ascii="Arial" w:hAnsi="Arial"/>
          <w:lang w:val="en-GB"/>
        </w:rPr>
        <w:t>, therefore,</w:t>
      </w:r>
      <w:r w:rsidR="00B77F1D" w:rsidRPr="00364D88">
        <w:rPr>
          <w:rFonts w:ascii="Arial" w:hAnsi="Arial"/>
          <w:lang w:val="en-GB"/>
        </w:rPr>
        <w:t xml:space="preserve"> </w:t>
      </w:r>
      <w:r w:rsidR="00066E38" w:rsidRPr="00364D88">
        <w:rPr>
          <w:rFonts w:ascii="Arial" w:hAnsi="Arial"/>
          <w:lang w:val="en-GB"/>
        </w:rPr>
        <w:t xml:space="preserve">directly (altering species </w:t>
      </w:r>
      <w:r w:rsidR="00E53CC8" w:rsidRPr="00364D88">
        <w:rPr>
          <w:rFonts w:ascii="Arial" w:hAnsi="Arial"/>
          <w:lang w:val="en-GB"/>
        </w:rPr>
        <w:t xml:space="preserve">elemental </w:t>
      </w:r>
      <w:r w:rsidR="00066E38" w:rsidRPr="00364D88">
        <w:rPr>
          <w:rFonts w:ascii="Arial" w:hAnsi="Arial"/>
          <w:lang w:val="en-GB"/>
        </w:rPr>
        <w:t>concen</w:t>
      </w:r>
      <w:r w:rsidR="00582601" w:rsidRPr="00364D88">
        <w:rPr>
          <w:rFonts w:ascii="Arial" w:hAnsi="Arial"/>
          <w:lang w:val="en-GB"/>
        </w:rPr>
        <w:t>trations) and indirectly (changing</w:t>
      </w:r>
      <w:r w:rsidR="00066E38" w:rsidRPr="00364D88">
        <w:rPr>
          <w:rFonts w:ascii="Arial" w:hAnsi="Arial"/>
          <w:lang w:val="en-GB"/>
        </w:rPr>
        <w:t xml:space="preserve"> species pools) </w:t>
      </w:r>
      <w:r w:rsidR="00B77F1D" w:rsidRPr="00364D88">
        <w:rPr>
          <w:rFonts w:ascii="Arial" w:hAnsi="Arial"/>
          <w:lang w:val="en-GB"/>
        </w:rPr>
        <w:t xml:space="preserve">shifting the elemental composition of ecosystems. </w:t>
      </w:r>
      <w:r w:rsidR="00182BC2" w:rsidRPr="00364D88">
        <w:rPr>
          <w:rFonts w:ascii="Arial" w:hAnsi="Arial"/>
          <w:lang w:val="en-GB"/>
        </w:rPr>
        <w:t xml:space="preserve">On the other hand, </w:t>
      </w:r>
      <w:r w:rsidR="009529D9" w:rsidRPr="00364D88">
        <w:rPr>
          <w:rFonts w:ascii="Arial" w:hAnsi="Arial"/>
          <w:lang w:val="en-GB"/>
        </w:rPr>
        <w:t xml:space="preserve">both </w:t>
      </w:r>
      <w:r w:rsidR="00182BC2" w:rsidRPr="00364D88">
        <w:rPr>
          <w:rFonts w:ascii="Arial" w:hAnsi="Arial"/>
          <w:lang w:val="en-GB"/>
        </w:rPr>
        <w:t xml:space="preserve">diversity </w:t>
      </w:r>
      <w:r w:rsidR="009529D9" w:rsidRPr="00364D88">
        <w:rPr>
          <w:rFonts w:ascii="Arial" w:hAnsi="Arial"/>
          <w:lang w:val="en-GB"/>
        </w:rPr>
        <w:t>and elemental composition of organisms have been demonstrated to play an important role on ecosystem functioning</w:t>
      </w:r>
      <w:r w:rsidR="009E486E" w:rsidRPr="00364D88">
        <w:rPr>
          <w:rFonts w:ascii="Arial" w:hAnsi="Arial"/>
          <w:lang w:val="en-GB"/>
        </w:rPr>
        <w:t xml:space="preserve"> </w:t>
      </w:r>
      <w:r w:rsidR="00B27907" w:rsidRPr="00364D88">
        <w:rPr>
          <w:rFonts w:ascii="Arial" w:hAnsi="Arial"/>
          <w:lang w:val="en-GB"/>
        </w:rPr>
        <w:fldChar w:fldCharType="begin" w:fldLock="1"/>
      </w:r>
      <w:r w:rsidR="00114B12" w:rsidRPr="00364D88">
        <w:rPr>
          <w:rFonts w:ascii="Arial" w:hAnsi="Arial"/>
          <w:lang w:val="en-GB"/>
        </w:rPr>
        <w:instrText>ADDIN CSL_CITATION {"citationItems":[{"id":"ITEM-1","itemData":{"DOI":"10.1038/nature11118","ISBN":"1476-4687","ISSN":"0028-0836","PMID":"22678289","abstract":"Evidence is mounting that extinctions are altering key processes important to the productivity and sustainability of Earth's ecosystems. Further species loss will accelerate change in ecosystem processes, but it is unclear how these effects compare to the direct effects of other forms of environmental change that are both driving diversity loss and altering ecosystem function. Here we use a suite of meta-analyses of published data to show that the effects of species loss on productivity and decomposition--two processes important in all ecosystems--are of comparable magnitude to the effects of many other global environmental changes. In experiments, intermediate levels of species loss (21-40%) reduced plant production by 5-10%, comparable to previously documented effects of ultraviolet radiation and climate warming. Higher levels of extinction (41-60%) had effects rivalling those of ozone, acidification, elevated CO(2) and nutrient pollution. At intermediate levels, species loss generally had equal or greater effects on decomposition than did elevated CO(2) and nitrogen addition. The identity of species lost also had a large effect on changes in productivity and decomposition, generating a wide range of plausible outcomes for extinction. Despite the need for more studies on interactive effects of diversity loss and environmental changes, our analyses clearly show that the ecosystem consequences of local species loss are as quantitatively significant as the direct effects of several global change stressors that have mobilized major international concern and remediation efforts.","author":[{"dropping-particle":"","family":"Hooper","given":"David U.","non-dropping-particle":"","parse-names":false,"suffix":""},{"dropping-particle":"","family":"Adair","given":"E. Carol","non-dropping-particle":"","parse-names":false,"suffix":""},{"dropping-particle":"","family":"Cardinale","given":"Bradley J.","non-dropping-particle":"","parse-names":false,"suffix":""},{"dropping-particle":"","family":"Byrnes","given":"Jarrett E. K.","non-dropping-particle":"","parse-names":false,"suffix":""},{"dropping-particle":"","family":"Hungate","given":"Bruce a.","non-dropping-particle":"","parse-names":false,"suffix":""},{"dropping-particle":"","family":"Matulich","given":"Kristin L.","non-dropping-particle":"","parse-names":false,"suffix":""},{"dropping-particle":"","family":"Gonzalez","given":"Andrew","non-dropping-particle":"","parse-names":false,"suffix":""},{"dropping-particle":"","family":"Duffy","given":"J. Emmett","non-dropping-particle":"","parse-names":false,"suffix":""},{"dropping-particle":"","family":"Gamfeldt","given":"Lars","non-dropping-particle":"","parse-names":false,"suffix":""},{"dropping-particle":"","family":"O’Connor","given":"Mary I.","non-dropping-particle":"","parse-names":false,"suffix":""},{"dropping-particle":"","family":"O/'Connor","given":"Mary I","non-dropping-particle":"","parse-names":false,"suffix":""}],"container-title":"Nature","id":"ITEM-1","issue":"7401","issued":{"date-parts":[["2012"]]},"page":"105-108","publisher":"Nature Publishing Group","title":"A global synthesis reveals biodiversity loss as a major driver of ecosystem change","type":"article-journal","volume":"486"},"uris":["http://www.mendeley.com/documents/?uuid=f71d4708-da86-4b51-9b8b-a8a82c23619b"]},{"id":"ITEM-2","itemData":{"ISBN":"0691074909","abstract":"Synthesizing a wide range of knowledge, the authors show how an understanding of the biochemical deployment of elements in organisms from microbes to metazoa provides the key to making sense of both aquatic and terrestrial ecosystems. Stoichiometry and homeostasis -- Biological chemistry: building cells from elements -- The stoichiometry of autotroph growth: variation at the base of food webs -- How to build an animal: the stoichiometry of Metazoans -- Imbalanced resources and animal growth -- The stoichiometry of consumer-driven nutrient recycling -- Stoichiometry in communities: dynamics and interactions -- Big-scale stoichiometry: ecosystems in space and time -- Recapitulation and integration.","author":[{"dropping-particle":"","family":"Sterner","given":"Robert Warner.","non-dropping-particle":"","parse-names":false,"suffix":""},{"dropping-particle":"","family":"Elser","given":"James J.","non-dropping-particle":"","parse-names":false,"suffix":""}],"id":"ITEM-2","issued":{"date-parts":[["2002"]]},"number-of-pages":"439","publisher":"Princeton University Press","title":"Ecological stoichiometry : the biology of elements from molecules to the biosphere","type":"book"},"uris":["http://www.mendeley.com/documents/?uuid=1f9b3733-ed39-310e-bb7f-7d6a99f64cbf"]}],"mendeley":{"formattedCitation":"(Sterner &amp; Elser, 2002; Hooper &lt;i&gt;et al.&lt;/i&gt;, 2012)","plainTextFormattedCitation":"(Sterner &amp; Elser, 2002; Hooper et al., 2012)","previouslyFormattedCitation":"(Sterner &amp; Elser, 2002; Hooper &lt;i&gt;et al.&lt;/i&gt;, 2012)"},"properties":{"noteIndex":0},"schema":"https://github.com/citation-style-language/schema/raw/master/csl-citation.json"}</w:instrText>
      </w:r>
      <w:r w:rsidR="00B27907" w:rsidRPr="00364D88">
        <w:rPr>
          <w:rFonts w:ascii="Arial" w:hAnsi="Arial"/>
          <w:lang w:val="en-GB"/>
        </w:rPr>
        <w:fldChar w:fldCharType="separate"/>
      </w:r>
      <w:r w:rsidR="009E486E" w:rsidRPr="00364D88">
        <w:rPr>
          <w:rFonts w:ascii="Arial" w:hAnsi="Arial"/>
          <w:noProof/>
          <w:lang w:val="en-GB"/>
        </w:rPr>
        <w:t xml:space="preserve">(Sterner &amp; </w:t>
      </w:r>
      <w:r w:rsidR="009E486E" w:rsidRPr="00364D88">
        <w:rPr>
          <w:rFonts w:ascii="Arial" w:hAnsi="Arial"/>
          <w:noProof/>
          <w:lang w:val="en-GB"/>
        </w:rPr>
        <w:lastRenderedPageBreak/>
        <w:t xml:space="preserve">Elser, 2002; Hooper </w:t>
      </w:r>
      <w:r w:rsidR="009E486E" w:rsidRPr="00364D88">
        <w:rPr>
          <w:rFonts w:ascii="Arial" w:hAnsi="Arial"/>
          <w:i/>
          <w:noProof/>
          <w:lang w:val="en-GB"/>
        </w:rPr>
        <w:t>et al.</w:t>
      </w:r>
      <w:r w:rsidR="009E486E" w:rsidRPr="00364D88">
        <w:rPr>
          <w:rFonts w:ascii="Arial" w:hAnsi="Arial"/>
          <w:noProof/>
          <w:lang w:val="en-GB"/>
        </w:rPr>
        <w:t>, 2012)</w:t>
      </w:r>
      <w:r w:rsidR="00B27907" w:rsidRPr="00364D88">
        <w:rPr>
          <w:rFonts w:ascii="Arial" w:hAnsi="Arial"/>
          <w:lang w:val="en-GB"/>
        </w:rPr>
        <w:fldChar w:fldCharType="end"/>
      </w:r>
      <w:r w:rsidR="009529D9" w:rsidRPr="00364D88">
        <w:rPr>
          <w:rFonts w:ascii="Arial" w:hAnsi="Arial"/>
          <w:lang w:val="en-GB"/>
        </w:rPr>
        <w:t xml:space="preserve">, thus entailing ecosystem changes if species are lost or stoichiometric imbalances occur. </w:t>
      </w:r>
    </w:p>
    <w:p w14:paraId="09FFB3FF" w14:textId="60366AA5" w:rsidR="00C01D0F" w:rsidRPr="00364D88" w:rsidRDefault="00F3176B" w:rsidP="00F3176B">
      <w:pPr>
        <w:spacing w:line="360" w:lineRule="auto"/>
        <w:jc w:val="both"/>
        <w:outlineLvl w:val="0"/>
        <w:rPr>
          <w:rFonts w:ascii="Arial" w:hAnsi="Arial"/>
          <w:lang w:val="en-GB"/>
        </w:rPr>
      </w:pPr>
      <w:r w:rsidRPr="00364D88">
        <w:rPr>
          <w:rFonts w:ascii="Arial" w:hAnsi="Arial"/>
          <w:lang w:val="en-GB"/>
        </w:rPr>
        <w:t xml:space="preserve">It is </w:t>
      </w:r>
      <w:r w:rsidR="004439B5" w:rsidRPr="00364D88">
        <w:rPr>
          <w:rFonts w:ascii="Arial" w:hAnsi="Arial"/>
          <w:lang w:val="en-GB"/>
        </w:rPr>
        <w:t xml:space="preserve">now widely accepted that </w:t>
      </w:r>
      <w:r w:rsidR="00F64A7D" w:rsidRPr="00364D88">
        <w:rPr>
          <w:rFonts w:ascii="Arial" w:hAnsi="Arial"/>
          <w:lang w:val="en-GB"/>
        </w:rPr>
        <w:t xml:space="preserve">ecosystems with </w:t>
      </w:r>
      <w:r w:rsidRPr="00364D88">
        <w:rPr>
          <w:rFonts w:ascii="Arial" w:hAnsi="Arial"/>
          <w:lang w:val="en-GB"/>
        </w:rPr>
        <w:t xml:space="preserve">higher diversity </w:t>
      </w:r>
      <w:r w:rsidR="00F64A7D" w:rsidRPr="00364D88">
        <w:rPr>
          <w:rFonts w:ascii="Arial" w:hAnsi="Arial"/>
          <w:lang w:val="en-GB"/>
        </w:rPr>
        <w:t xml:space="preserve">also present higher </w:t>
      </w:r>
      <w:r w:rsidRPr="00364D88">
        <w:rPr>
          <w:rFonts w:ascii="Arial" w:hAnsi="Arial"/>
          <w:lang w:val="en-GB"/>
        </w:rPr>
        <w:t xml:space="preserve">productivity </w:t>
      </w:r>
      <w:r w:rsidR="00F64A7D" w:rsidRPr="00364D88">
        <w:rPr>
          <w:rFonts w:ascii="Arial" w:hAnsi="Arial"/>
          <w:lang w:val="en-GB"/>
        </w:rPr>
        <w:t xml:space="preserve">(often biomass production) </w:t>
      </w:r>
      <w:r w:rsidRPr="00364D88">
        <w:rPr>
          <w:rFonts w:ascii="Arial" w:hAnsi="Arial"/>
          <w:lang w:val="en-GB"/>
        </w:rPr>
        <w:t xml:space="preserve">and </w:t>
      </w:r>
      <w:r w:rsidR="00F64A7D" w:rsidRPr="00364D88">
        <w:rPr>
          <w:rFonts w:ascii="Arial" w:hAnsi="Arial"/>
          <w:lang w:val="en-GB"/>
        </w:rPr>
        <w:t>lower</w:t>
      </w:r>
      <w:r w:rsidR="004439B5" w:rsidRPr="00364D88">
        <w:rPr>
          <w:rFonts w:ascii="Arial" w:hAnsi="Arial"/>
          <w:lang w:val="en-GB"/>
        </w:rPr>
        <w:t xml:space="preserve"> </w:t>
      </w:r>
      <w:r w:rsidR="00F64A7D" w:rsidRPr="00364D88">
        <w:rPr>
          <w:rFonts w:ascii="Arial" w:hAnsi="Arial"/>
          <w:lang w:val="en-GB"/>
        </w:rPr>
        <w:t xml:space="preserve">temporal </w:t>
      </w:r>
      <w:r w:rsidRPr="00364D88">
        <w:rPr>
          <w:rFonts w:ascii="Arial" w:hAnsi="Arial"/>
          <w:lang w:val="en-GB"/>
        </w:rPr>
        <w:t>variability</w:t>
      </w:r>
      <w:r w:rsidR="009E486E" w:rsidRPr="00364D88">
        <w:rPr>
          <w:rFonts w:ascii="Arial" w:hAnsi="Arial"/>
          <w:lang w:val="en-GB"/>
        </w:rPr>
        <w:t xml:space="preserve"> </w:t>
      </w:r>
      <w:r w:rsidRPr="00364D88">
        <w:rPr>
          <w:rFonts w:ascii="Arial" w:hAnsi="Arial"/>
          <w:lang w:val="en-GB"/>
        </w:rPr>
        <w:fldChar w:fldCharType="begin" w:fldLock="1"/>
      </w:r>
      <w:r w:rsidR="00114B12" w:rsidRPr="00364D88">
        <w:rPr>
          <w:rFonts w:ascii="Arial" w:hAnsi="Arial"/>
          <w:lang w:val="en-GB"/>
        </w:rPr>
        <w:instrText>ADDIN CSL_CITATION {"citationItems":[{"id":"ITEM-1","itemData":{"DOI":"10.1038/nature11373","ISBN":"00280836","ISSN":"0028-0836","PMID":"22678280","abstract":"The most unique feature of Earth is the existence of life, and the most extraordinary feature of life is its diversity. Approximately 9 million types of plants, animals, protists and fungi inhabit the Earth. So, too, do 7 billion people. Two decades ago, at the first Earth Summit, the vast majority of the world's nations declared that human actions were dismantling the Earth's ecosystems, eliminating genes, species and biological traits at an alarming rate. This observation led to the question of how such loss of biological diversity will alter the functioning of ecosystems and their ability to provide society with the goods and services needed to prosper.","author":[{"dropping-particle":"","family":"Cardinale","given":"Bradley J.","non-dropping-particle":"","parse-names":false,"suffix":""},{"dropping-particle":"","family":"Duffy","given":"J. Emmett","non-dropping-particle":"","parse-names":false,"suffix":""},{"dropping-particle":"","family":"Gonzalez","given":"Andrew","non-dropping-particle":"","parse-names":false,"suffix":""},{"dropping-particle":"","family":"Hooper","given":"David U.","non-dropping-particle":"","parse-names":false,"suffix":""},{"dropping-particle":"","family":"Perrings","given":"Charles","non-dropping-particle":"","parse-names":false,"suffix":""},{"dropping-particle":"","family":"Venail","given":"Patrick","non-dropping-particle":"","parse-names":false,"suffix":""},{"dropping-particle":"","family":"Narwani","given":"Anita","non-dropping-particle":"","parse-names":false,"suffix":""},{"dropping-particle":"","family":"Mace","given":"Georgina M.","non-dropping-particle":"","parse-names":false,"suffix":""},{"dropping-particle":"","family":"Tilman","given":"David","non-dropping-particle":"","parse-names":false,"suffix":""},{"dropping-particle":"","family":"A.Wardle","given":"David","non-dropping-particle":"","parse-names":false,"suffix":""},{"dropping-particle":"","family":"Kinzig","given":"Ann P.","non-dropping-particle":"","parse-names":false,"suffix":""},{"dropping-particle":"","family":"Daily","given":"Gretchen C.","non-dropping-particle":"","parse-names":false,"suffix":""},{"dropping-particle":"","family":"Loreau","given":"Michel","non-dropping-particle":"","parse-names":false,"suffix":""},{"dropping-particle":"","family":"Grace","given":"James B.","non-dropping-particle":"","parse-names":false,"suffix":""},{"dropping-particle":"","family":"Larigauderie","given":"Anne","non-dropping-particle":"","parse-names":false,"suffix":""},{"dropping-particle":"","family":"Srivastava","given":"Diane S.","non-dropping-particle":"","parse-names":false,"suffix":""},{"dropping-particle":"","family":"Naeem","given":"Shahid","non-dropping-particle":"","parse-names":false,"suffix":""}],"container-title":"Nature","id":"ITEM-1","issue":"7415","issued":{"date-parts":[["2012"]]},"page":"326-326","title":"Biodiversity loss and its impact on humanity","type":"article-journal","volume":"489"},"uris":["http://www.mendeley.com/documents/?uuid=f6a15fe7-f5ae-4671-8e5c-87c2077763b2"]},{"id":"ITEM-2","itemData":{"DOI":"10.1038/s41559-016-0048","ISSN":"2397-334X","author":[{"dropping-particle":"","family":"Musavi","given":"Talie","non-dropping-particle":"","parse-names":false,"suffix":""},{"dropping-particle":"","family":"Migliavacca","given":"Mirco","non-dropping-particle":"","parse-names":false,"suffix":""},{"dropping-particle":"","family":"Reichstein","given":"Markus","non-dropping-particle":"","parse-names":false,"suffix":""},{"dropping-particle":"","family":"Kattge","given":"Jens","non-dropping-particle":"","parse-names":false,"suffix":""},{"dropping-particle":"","family":"Wirth","given":"Christian","non-dropping-particle":"","parse-names":false,"suffix":""},{"dropping-particle":"","family":"Black","given":"T. Andrew","non-dropping-particle":"","parse-names":false,"suffix":""},{"dropping-particle":"","family":"Janssens","given":"Ivan","non-dropping-particle":"","parse-names":false,"suffix":""},{"dropping-particle":"","family":"Knohl","given":"Alexander","non-dropping-particle":"","parse-names":false,"suffix":""},{"dropping-particle":"","family":"Loustau","given":"Denis","non-dropping-particle":"","parse-names":false,"suffix":""},{"dropping-particle":"","family":"Roupsard","given":"Olivier","non-dropping-particle":"","parse-names":false,"suffix":""},{"dropping-particle":"","family":"Varlagin","given":"Andrej","non-dropping-particle":"","parse-names":false,"suffix":""},{"dropping-particle":"","family":"Rambal","given":"Serge","non-dropping-particle":"","parse-names":false,"suffix":""},{"dropping-particle":"","family":"Cescatti","given":"Alessandro","non-dropping-particle":"","parse-names":false,"suffix":""},{"dropping-particle":"","family":"Gianelle","given":"Damiano","non-dropping-particle":"","parse-names":false,"suffix":""},{"dropping-particle":"","family":"Kondo","given":"Hiroaki","non-dropping-particle":"","parse-names":false,"suffix":""},{"dropping-particle":"","family":"Tamrakar","given":"Rijan","non-dropping-particle":"","parse-names":false,"suffix":""},{"dropping-particle":"","family":"Mahecha","given":"Miguel D.","non-dropping-particle":"","parse-names":false,"suffix":""}],"container-title":"Nature Ecology &amp; Evolution","id":"ITEM-2","issue":"2","issued":{"date-parts":[["2017"]]},"page":"0048","publisher":"Nature Publishing Group","title":"Stand age and species richness dampen interannual variation of ecosystem-level photosynthetic capacity","type":"article-journal","volume":"1"},"uris":["http://www.mendeley.com/documents/?uuid=fe4ba24d-dd2c-4a93-b6bd-ab6f4ed61e77"]},{"id":"ITEM-3","itemData":{"DOI":"10.1073/pnas.1703928114","ISSN":"10916490","abstract":"Experiments have shown positive biodiversity-ecosystem functioning (BEF) relationships in small plots with model communities established from species pools typically comprising few dozen species. Whether patterns found can be extrapolated to complex, nonexperimental, real-world landscapes that provide ecosystem services to humans remains unclear. Here, we combine species inventories from a large-scale network of 447 1-km2 plots with remotely sensed indices of primary productivity (years 2000–2015). We show that landscape-scale productivity and its temporal stability increase with the diversity of plants and other taxa. Effects of biodiversity indicators on productivity were comparable in size to effects of other important drivers related to climate, topography, and land cover. These effects occurred in plots that integrated different ecosystem types (i.e., metaecosystems) and were consistent over vast environmental and altitudinal gradients. The BEF relations we report are as strong or even exceed the ones found in small-scale experiments, despite different community assembly processes and a species pool comprising nearly 2,000 vascular plant species. Growing season length increased progressively over the observation period, and this shift was accelerated in more diverse plots, suggesting that a large species pool is important for adaption to climate change. Our study further implies that abiotic global-change drivers may mediate ecosystem functioning through biodiversity changes.","author":[{"dropping-particle":"","family":"Oehri","given":"Jacqueline","non-dropping-particle":"","parse-names":false,"suffix":""},{"dropping-particle":"","family":"Schmid","given":"Bernhard","non-dropping-particle":"","parse-names":false,"suffix":""},{"dropping-particle":"","family":"Schaepman-Strub","given":"Gabriela","non-dropping-particle":"","parse-names":false,"suffix":""},{"dropping-particle":"","family":"Niklaus","given":"Pascal A.","non-dropping-particle":"","parse-names":false,"suffix":""}],"container-title":"Proceedings of the National Academy of Sciences of the United States of America","id":"ITEM-3","issue":"38","issued":{"date-parts":[["2017"]]},"page":"10160-10165","title":"Biodiversity promotes primary productivity and growing season lengthening at the landscape scale","type":"article-journal","volume":"114"},"uris":["http://www.mendeley.com/documents/?uuid=1b6af151-4952-4188-a576-42ead9f736a2"]}],"mendeley":{"formattedCitation":"(Cardinale &lt;i&gt;et al.&lt;/i&gt;, 2012; Musavi &lt;i&gt;et al.&lt;/i&gt;, 2017; Oehri &lt;i&gt;et al.&lt;/i&gt;, 2017)","plainTextFormattedCitation":"(Cardinale et al., 2012; Musavi et al., 2017; Oehri et al., 2017)","previouslyFormattedCitation":"(Cardinale &lt;i&gt;et al.&lt;/i&gt;, 2012; Musavi &lt;i&gt;et al.&lt;/i&gt;, 2017; Oehri &lt;i&gt;et al.&lt;/i&gt;, 2017)"},"properties":{"noteIndex":0},"schema":"https://github.com/citation-style-language/schema/raw/master/csl-citation.json"}</w:instrText>
      </w:r>
      <w:r w:rsidRPr="00364D88">
        <w:rPr>
          <w:rFonts w:ascii="Arial" w:hAnsi="Arial"/>
          <w:lang w:val="en-GB"/>
        </w:rPr>
        <w:fldChar w:fldCharType="separate"/>
      </w:r>
      <w:r w:rsidR="009E486E" w:rsidRPr="00364D88">
        <w:rPr>
          <w:rFonts w:ascii="Arial" w:hAnsi="Arial"/>
          <w:noProof/>
          <w:lang w:val="en-GB"/>
        </w:rPr>
        <w:t xml:space="preserve">(Cardinale </w:t>
      </w:r>
      <w:r w:rsidR="009E486E" w:rsidRPr="00364D88">
        <w:rPr>
          <w:rFonts w:ascii="Arial" w:hAnsi="Arial"/>
          <w:i/>
          <w:noProof/>
          <w:lang w:val="en-GB"/>
        </w:rPr>
        <w:t>et al.</w:t>
      </w:r>
      <w:r w:rsidR="009E486E" w:rsidRPr="00364D88">
        <w:rPr>
          <w:rFonts w:ascii="Arial" w:hAnsi="Arial"/>
          <w:noProof/>
          <w:lang w:val="en-GB"/>
        </w:rPr>
        <w:t xml:space="preserve">, 2012; Musavi </w:t>
      </w:r>
      <w:r w:rsidR="009E486E" w:rsidRPr="00364D88">
        <w:rPr>
          <w:rFonts w:ascii="Arial" w:hAnsi="Arial"/>
          <w:i/>
          <w:noProof/>
          <w:lang w:val="en-GB"/>
        </w:rPr>
        <w:t>et al.</w:t>
      </w:r>
      <w:r w:rsidR="009E486E" w:rsidRPr="00364D88">
        <w:rPr>
          <w:rFonts w:ascii="Arial" w:hAnsi="Arial"/>
          <w:noProof/>
          <w:lang w:val="en-GB"/>
        </w:rPr>
        <w:t xml:space="preserve">, 2017; Oehri </w:t>
      </w:r>
      <w:r w:rsidR="009E486E" w:rsidRPr="00364D88">
        <w:rPr>
          <w:rFonts w:ascii="Arial" w:hAnsi="Arial"/>
          <w:i/>
          <w:noProof/>
          <w:lang w:val="en-GB"/>
        </w:rPr>
        <w:t>et al.</w:t>
      </w:r>
      <w:r w:rsidR="009E486E" w:rsidRPr="00364D88">
        <w:rPr>
          <w:rFonts w:ascii="Arial" w:hAnsi="Arial"/>
          <w:noProof/>
          <w:lang w:val="en-GB"/>
        </w:rPr>
        <w:t>, 2017)</w:t>
      </w:r>
      <w:r w:rsidRPr="00364D88">
        <w:rPr>
          <w:rFonts w:ascii="Arial" w:hAnsi="Arial"/>
          <w:lang w:val="en-GB"/>
        </w:rPr>
        <w:fldChar w:fldCharType="end"/>
      </w:r>
      <w:r w:rsidR="004439B5" w:rsidRPr="00364D88">
        <w:rPr>
          <w:rFonts w:ascii="Arial" w:hAnsi="Arial"/>
          <w:lang w:val="en-GB"/>
        </w:rPr>
        <w:t xml:space="preserve"> in both</w:t>
      </w:r>
      <w:r w:rsidR="00F64A7D" w:rsidRPr="00364D88">
        <w:rPr>
          <w:rFonts w:ascii="Arial" w:hAnsi="Arial"/>
          <w:lang w:val="en-GB"/>
        </w:rPr>
        <w:t>,</w:t>
      </w:r>
      <w:r w:rsidR="004439B5" w:rsidRPr="00364D88">
        <w:rPr>
          <w:rFonts w:ascii="Arial" w:hAnsi="Arial"/>
          <w:lang w:val="en-GB"/>
        </w:rPr>
        <w:t xml:space="preserve"> aquatic and terrestrial environments</w:t>
      </w:r>
      <w:r w:rsidR="00F64A7D" w:rsidRPr="00364D88">
        <w:rPr>
          <w:rFonts w:ascii="Arial" w:hAnsi="Arial"/>
          <w:lang w:val="en-GB"/>
        </w:rPr>
        <w:t>,</w:t>
      </w:r>
      <w:r w:rsidR="004439B5" w:rsidRPr="00364D88">
        <w:rPr>
          <w:rFonts w:ascii="Arial" w:hAnsi="Arial"/>
          <w:lang w:val="en-GB"/>
        </w:rPr>
        <w:t xml:space="preserve"> across the globe</w:t>
      </w:r>
      <w:r w:rsidR="009E486E" w:rsidRPr="00364D88">
        <w:rPr>
          <w:rFonts w:ascii="Arial" w:hAnsi="Arial"/>
          <w:lang w:val="en-GB"/>
        </w:rPr>
        <w:t xml:space="preserve"> </w:t>
      </w:r>
      <w:r w:rsidRPr="00364D88">
        <w:rPr>
          <w:rFonts w:ascii="Arial" w:hAnsi="Arial"/>
          <w:lang w:val="en-GB"/>
        </w:rPr>
        <w:fldChar w:fldCharType="begin" w:fldLock="1"/>
      </w:r>
      <w:r w:rsidR="00114B12" w:rsidRPr="00364D88">
        <w:rPr>
          <w:rFonts w:ascii="Arial" w:hAnsi="Arial"/>
          <w:lang w:val="en-GB"/>
        </w:rPr>
        <w:instrText>ADDIN CSL_CITATION {"citationItems":[{"id":"ITEM-1","itemData":{"DOI":"10.1126/science.aaf8957","ISBN":"0036-8075","ISSN":"0036-8075","PMID":"27738143","abstract":"The biodiversity-productivity relationship (BPR) is foundational to our understanding of the global extinction crisis and its impacts on ecosystem functioning. Understanding BPR is critical for the accurate valuation and effective conservation of biodiversity. Using ground-sourced data from 777,126 permanent plots, spanning 44 countries andmost terrestrial biomes,we reveal a globally consistent positive concave-down BPR, showing that continued biodiversity loss would result in an accelerating decline in forest productivityworldwide.The value of biodiversity inmaintaining commercial forest productivity alone—US$166 billion to 490 billion per year according to our estimation—ismore than twice what it would cost to implement effective global conservation.This highlights the need for a worldwide reassessment of biodiversity values, forestmanagement strategies, and conservation priorities.","author":[{"dropping-particle":"","family":"Liang","given":"Jingjing","non-dropping-particle":"","parse-names":false,"suffix":""},{"dropping-particle":"","family":"Crowther","given":"Thomas W.","non-dropping-particle":"","parse-names":false,"suffix":""},{"dropping-particle":"","family":"Picard","given":"Nicolas","non-dropping-particle":"","parse-names":false,"suffix":""},{"dropping-particle":"","family":"Wiser","given":"Susan","non-dropping-particle":"","parse-names":false,"suffix":""},{"dropping-particle":"","family":"Zhou","given":"Mo","non-dropping-particle":"","parse-names":false,"suffix":""},{"dropping-particle":"","family":"Alberti","given":"Giorgio","non-dropping-particle":"","parse-names":false,"suffix":""},{"dropping-particle":"","family":"Schulze","given":"E.-D.","non-dropping-particle":"","parse-names":false,"suffix":""},{"dropping-particle":"","family":"McGuire","given":"A. D.","non-dropping-particle":"","parse-names":false,"suffix":""},{"dropping-particle":"","family":"Bozzato","given":"Fabio","non-dropping-particle":"","parse-names":false,"suffix":""},{"dropping-particle":"","family":"Pretzsch","given":"Hans","non-dropping-particle":"","parse-names":false,"suffix":""},{"dropping-particle":"","family":"De-Miguel","given":"S.","non-dropping-particle":"","parse-names":false,"suffix":""},{"dropping-particle":"","family":"Paquette","given":"Alain","non-dropping-particle":"","parse-names":false,"suffix":""},{"dropping-particle":"","family":"Herault","given":"B.","non-dropping-particle":"","parse-names":false,"suffix":""},{"dropping-particle":"","family":"Scherer-Lorenzen","given":"Michael","non-dropping-particle":"","parse-names":false,"suffix":""},{"dropping-particle":"","family":"Barrett","given":"Christopher B.","non-dropping-particle":"","parse-names":false,"suffix":""},{"dropping-particle":"","family":"Glick","given":"Henry B.","non-dropping-particle":"","parse-names":false,"suffix":""},{"dropping-particle":"","family":"Hengeveld","given":"Geerten M.","non-dropping-particle":"","parse-names":false,"suffix":""},{"dropping-particle":"","family":"Nabuurs","given":"G.-J.","non-dropping-particle":"","parse-names":false,"suffix":""},{"dropping-particle":"","family":"Pfautsch","given":"Sebastian","non-dropping-particle":"","parse-names":false,"suffix":""},{"dropping-particle":"","family":"Viana","given":"Helder","non-dropping-particle":"","parse-names":false,"suffix":""},{"dropping-particle":"","family":"Vibrans","given":"Alexander C.","non-dropping-particle":"","parse-names":false,"suffix":""},{"dropping-particle":"","family":"Ammer","given":"Christian","non-dropping-particle":"","parse-names":false,"suffix":""},{"dropping-particle":"","family":"Schall","given":"Peter","non-dropping-particle":"","parse-names":false,"suffix":""},{"dropping-particle":"","family":"Verbyla","given":"David","non-dropping-particle":"","parse-names":false,"suffix":""},{"dropping-particle":"","family":"Tchebakova","given":"Nadja","non-dropping-particle":"","parse-names":false,"suffix":""},{"dropping-particle":"","family":"Fischer","given":"Markus","non-dropping-particle":"","parse-names":false,"suffix":""},{"dropping-particle":"V.","family":"Watson","given":"James","non-dropping-particle":"","parse-names":false,"suffix":""},{"dropping-particle":"","family":"Chen","given":"H. Y. H.","non-dropping-particle":"","parse-names":false,"suffix":""},{"dropping-particle":"","family":"Lei","given":"Xiangdong","non-dropping-particle":"","parse-names":false,"suffix":""},{"dropping-particle":"","family":"Schelhaas","given":"M.-J.","non-dropping-particle":"","parse-names":false,"suffix":""},{"dropping-particle":"","family":"Lu","given":"Huicui","non-dropping-particle":"","parse-names":false,"suffix":""},{"dropping-particle":"","family":"Gianelle","given":"Damiano","non-dropping-particle":"","parse-names":false,"suffix":""},{"dropping-particle":"","family":"Parfenova","given":"Elena I.","non-dropping-particle":"","parse-names":false,"suffix":""},{"dropping-particle":"","family":"Salas","given":"Christian","non-dropping-particle":"","parse-names":false,"suffix":""},{"dropping-particle":"","family":"Lee","given":"E.","non-dropping-particle":"","parse-names":false,"suffix":""},{"dropping-particle":"","family":"Lee","given":"Boknam","non-dropping-particle":"","parse-names":false,"suffix":""},{"dropping-particle":"","family":"Kim","given":"Hyun Seok","non-dropping-particle":"","parse-names":false,"suffix":""},{"dropping-particle":"","family":"Bruelheide","given":"Helge","non-dropping-particle":"","parse-names":false,"suffix":""},{"dropping-particle":"","family":"Coomes","given":"David A.","non-dropping-particle":"","parse-names":false,"suffix":""},{"dropping-particle":"","family":"Piotto","given":"Daniel","non-dropping-particle":"","parse-names":false,"suffix":""},{"dropping-particle":"","family":"Sunderland","given":"Terry","non-dropping-particle":"","parse-names":false,"suffix":""},{"dropping-particle":"","family":"Schmid","given":"Bernhard","non-dropping-particle":"","parse-names":false,"suffix":""},{"dropping-particle":"","family":"Gourlet-Fleury","given":"Sylvie","non-dropping-particle":"","parse-names":false,"suffix":""},{"dropping-particle":"","family":"Sonke","given":"B.","non-dropping-particle":"","parse-names":false,"suffix":""},{"dropping-particle":"","family":"Tavani","given":"Rebecca","non-dropping-particle":"","parse-names":false,"suffix":""},{"dropping-particle":"","family":"Zhu","given":"Jun","non-dropping-particle":"","parse-names":false,"suffix":""},{"dropping-particle":"","family":"Brandl","given":"Susanne","non-dropping-particle":"","parse-names":false,"suffix":""},{"dropping-particle":"","family":"Vayreda","given":"Jordi","non-dropping-particle":"","parse-names":false,"suffix":""},{"dropping-particle":"","family":"Kitahara","given":"Fumiaki","non-dropping-particle":"","parse-names":false,"suffix":""},{"dropping-particle":"","family":"Searle","given":"Eric B.","non-dropping-particle":"","parse-names":false,"suffix":""},{"dropping-particle":"","family":"Neldner","given":"Victor J.","non-dropping-particle":"","parse-names":false,"suffix":""},{"dropping-particle":"","family":"Ngugi","given":"Michael R.","non-dropping-particle":"","parse-names":false,"suffix":""},{"dropping-particle":"","family":"Baraloto","given":"Christopher","non-dropping-particle":"","parse-names":false,"suffix":""},{"dropping-particle":"","family":"Frizzera","given":"Lorenzo","non-dropping-particle":"","parse-names":false,"suffix":""},{"dropping-particle":"","family":"Ba azy","given":"R.","non-dropping-particle":"","parse-names":false,"suffix":""},{"dropping-particle":"","family":"Oleksyn","given":"Jacek","non-dropping-particle":"","parse-names":false,"suffix":""},{"dropping-particle":"","family":"Zawi a-Nied wiecki","given":"T.","non-dropping-particle":"","parse-names":false,"suffix":""},{"dropping-particle":"","family":"Bouriaud","given":"Olivier","non-dropping-particle":"","parse-names":false,"suffix":""},{"dropping-particle":"","family":"Bussotti","given":"Filippo","non-dropping-particle":"","parse-names":false,"suffix":""},{"dropping-particle":"","family":"Finer","given":"L.","non-dropping-particle":"","parse-names":false,"suffix":""},{"dropping-particle":"","family":"Jaroszewicz","given":"Bogdan","non-dropping-particle":"","parse-names":false,"suffix":""},{"dropping-particle":"","family":"Jucker","given":"Tommaso","non-dropping-particle":"","parse-names":false,"suffix":""},{"dropping-particle":"","family":"Valladares","given":"Fernando","non-dropping-particle":"","parse-names":false,"suffix":""},{"dropping-particle":"","family":"Jagodzinski","given":"Andrzej M.","non-dropping-particle":"","parse-names":false,"suffix":""},{"dropping-particle":"","family":"Peri","given":"Pablo L.","non-dropping-particle":"","parse-names":false,"suffix":""},{"dropping-particle":"","family":"Gonmadje","given":"Christelle","non-dropping-particle":"","parse-names":false,"suffix":""},{"dropping-particle":"","family":"Marthy","given":"William","non-dropping-particle":"","parse-names":false,"suffix":""},{"dropping-particle":"","family":"OBrien","given":"T.","non-dropping-particle":"","parse-names":false,"suffix":""},{"dropping-particle":"","family":"Martin","given":"Emanuel H.","non-dropping-particle":"","parse-names":false,"suffix":""},{"dropping-particle":"","family":"Marshall","given":"A. R.","non-dropping-particle":"","parse-names":false,"suffix":""},{"dropping-particle":"","family":"Rovero","given":"Francesco","non-dropping-particle":"","parse-names":false,"suffix":""},{"dropping-particle":"","family":"Bitariho","given":"Robert","non-dropping-particle":"","parse-names":false,"suffix":""},{"dropping-particle":"","family":"Niklaus","given":"Pascal A.","non-dropping-particle":"","parse-names":false,"suffix":""},{"dropping-particle":"","family":"Alvarez-Loayza","given":"Patricia","non-dropping-particle":"","parse-names":false,"suffix":""},{"dropping-particle":"","family":"Chamuya","given":"Nurdin","non-dropping-particle":"","parse-names":false,"suffix":""},{"dropping-particle":"","family":"Valencia","given":"Renato","non-dropping-particle":"","parse-names":false,"suffix":""},{"dropping-particle":"","family":"Mortier","given":"Frédéric","non-dropping-particle":"","parse-names":false,"suffix":""},{"dropping-particle":"","family":"Wortel","given":"Verginia","non-dropping-particle":"","parse-names":false,"suffix":""},{"dropping-particle":"","family":"Engone-Obiang","given":"Nestor L.","non-dropping-particle":"","parse-names":false,"suffix":""},{"dropping-particle":"V.","family":"Ferreira","given":"Leandro","non-dropping-particle":"","parse-names":false,"suffix":""},{"dropping-particle":"","family":"Odeke","given":"David E.","non-dropping-particle":"","parse-names":false,"suffix":""},{"dropping-particle":"","family":"Vasquez","given":"Rodolfo M.","non-dropping-particle":"","parse-names":false,"suffix":""},{"dropping-particle":"","family":"Lewis","given":"S. L.","non-dropping-particle":"","parse-names":false,"suffix":""},{"dropping-particle":"","family":"Reich","given":"Peter B.","non-dropping-particle":"","parse-names":false,"suffix":""}],"container-title":"Science","id":"ITEM-1","issue":"6309","issued":{"date-parts":[["2016","10","14"]]},"page":"aaf8957-aaf8957","title":"Positive biodiversity-productivity relationship predominant in global forests","type":"article-journal","volume":"354"},"uris":["http://www.mendeley.com/documents/?uuid=52d66ea5-16d2-412b-b91d-f4a09256e011"]}],"mendeley":{"formattedCitation":"(Liang &lt;i&gt;et al.&lt;/i&gt;, 2016)","plainTextFormattedCitation":"(Liang et al., 2016)","previouslyFormattedCitation":"(Liang &lt;i&gt;et al.&lt;/i&gt;, 2016)"},"properties":{"noteIndex":0},"schema":"https://github.com/citation-style-language/schema/raw/master/csl-citation.json"}</w:instrText>
      </w:r>
      <w:r w:rsidRPr="00364D88">
        <w:rPr>
          <w:rFonts w:ascii="Arial" w:hAnsi="Arial"/>
          <w:lang w:val="en-GB"/>
        </w:rPr>
        <w:fldChar w:fldCharType="separate"/>
      </w:r>
      <w:r w:rsidR="009E486E" w:rsidRPr="00364D88">
        <w:rPr>
          <w:rFonts w:ascii="Arial" w:hAnsi="Arial"/>
          <w:noProof/>
          <w:lang w:val="en-GB"/>
        </w:rPr>
        <w:t xml:space="preserve">(Liang </w:t>
      </w:r>
      <w:r w:rsidR="009E486E" w:rsidRPr="00364D88">
        <w:rPr>
          <w:rFonts w:ascii="Arial" w:hAnsi="Arial"/>
          <w:i/>
          <w:noProof/>
          <w:lang w:val="en-GB"/>
        </w:rPr>
        <w:t>et al.</w:t>
      </w:r>
      <w:r w:rsidR="009E486E" w:rsidRPr="00364D88">
        <w:rPr>
          <w:rFonts w:ascii="Arial" w:hAnsi="Arial"/>
          <w:noProof/>
          <w:lang w:val="en-GB"/>
        </w:rPr>
        <w:t>, 2016)</w:t>
      </w:r>
      <w:r w:rsidRPr="00364D88">
        <w:rPr>
          <w:rFonts w:ascii="Arial" w:hAnsi="Arial"/>
          <w:lang w:val="en-GB"/>
        </w:rPr>
        <w:fldChar w:fldCharType="end"/>
      </w:r>
      <w:r w:rsidRPr="00364D88">
        <w:rPr>
          <w:rFonts w:ascii="Arial" w:hAnsi="Arial"/>
          <w:lang w:val="en-GB"/>
        </w:rPr>
        <w:t>. However, despite the fact that decomposition rates have also been suggested to increase with diversity of decomposers and plant litter</w:t>
      </w:r>
      <w:r w:rsidR="009E486E" w:rsidRPr="00364D88">
        <w:rPr>
          <w:rFonts w:ascii="Arial" w:hAnsi="Arial"/>
          <w:lang w:val="en-GB"/>
        </w:rPr>
        <w:t xml:space="preserve"> </w:t>
      </w:r>
      <w:r w:rsidRPr="00364D88">
        <w:rPr>
          <w:rFonts w:ascii="Arial" w:hAnsi="Arial"/>
          <w:lang w:val="en-GB"/>
        </w:rPr>
        <w:fldChar w:fldCharType="begin" w:fldLock="1"/>
      </w:r>
      <w:r w:rsidR="00114B12" w:rsidRPr="00364D88">
        <w:rPr>
          <w:rFonts w:ascii="Arial" w:hAnsi="Arial"/>
          <w:lang w:val="en-GB"/>
        </w:rPr>
        <w:instrText>ADDIN CSL_CITATION {"citationItems":[{"id":"ITEM-1","itemData":{"DOI":"10.1038/nature13247","ISBN":"1476-4687 (Electronic)\\r0028-0836 (Linking)","ISSN":"1476-4687","PMID":"24805346","abstract":"The decomposition of dead organic matter is a major determinant of carbon and nutrient cycling in ecosystems, and of carbon fluxes between the biosphere and the atmosphere. Decomposition is driven by a vast diversity of organisms that are structured in complex food webs. Identifying the mechanisms underlying the effects of biodiversity on decomposition is critical given the rapid loss of species worldwide and the effects of this loss on human well-being. Yet despite comprehensive syntheses of studies on how biodiversity affects litter decomposition, key questions remain, including when, where and how biodiversity has a role and whether general patterns and mechanisms occur across ecosystems and different functional types of organism. Here, in field experiments across five terrestrial and aquatic locations, ranging from the subarctic to the tropics, we show that reducing the functional diversity of decomposer organisms and plant litter types slowed the cycling of litter carbon and nitrogen. Moreover, we found evidence of nitrogen transfer from the litter of nitrogen-fixing plants to that of rapidly decomposing plants, but not between other plant functional types, highlighting that specific interactions in litter mixtures control carbon and nitrogen cycling during decomposition. The emergence of this general mechanism and the coherence of patterns across contrasting terrestrial and aquatic ecosystems suggest that biodiversity loss has consistent consequences for litter decomposition and the cycling of major elements on broad spatial scales.","author":[{"dropping-particle":"","family":"Handa","given":"I Tanya","non-dropping-particle":"","parse-names":false,"suffix":""},{"dropping-particle":"","family":"Aerts","given":"Rien","non-dropping-particle":"","parse-names":false,"suffix":""},{"dropping-particle":"","family":"Berendse","given":"Frank","non-dropping-particle":"","parse-names":false,"suffix":""},{"dropping-particle":"","family":"Berg","given":"Matty P","non-dropping-particle":"","parse-names":false,"suffix":""},{"dropping-particle":"","family":"Bruder","given":"Andreas","non-dropping-particle":"","parse-names":false,"suffix":""},{"dropping-particle":"","family":"Butenschoen","given":"Olaf","non-dropping-particle":"","parse-names":false,"suffix":""},{"dropping-particle":"","family":"Chauvet","given":"Eric","non-dropping-particle":"","parse-names":false,"suffix":""},{"dropping-particle":"","family":"Gessner","given":"Mark O","non-dropping-particle":"","parse-names":false,"suffix":""},{"dropping-particle":"","family":"Jabiol","given":"Jérémy","non-dropping-particle":"","parse-names":false,"suffix":""},{"dropping-particle":"","family":"Makkonen","given":"Marika","non-dropping-particle":"","parse-names":false,"suffix":""},{"dropping-particle":"","family":"McKie","given":"Brendan G","non-dropping-particle":"","parse-names":false,"suffix":""},{"dropping-particle":"","family":"Malmqvist","given":"Björn","non-dropping-particle":"","parse-names":false,"suffix":""},{"dropping-particle":"","family":"Peeters","given":"Edwin T H M","non-dropping-particle":"","parse-names":false,"suffix":""},{"dropping-particle":"","family":"Scheu","given":"Stefan","non-dropping-particle":"","parse-names":false,"suffix":""},{"dropping-particle":"","family":"Schmid","given":"Bernhard","non-dropping-particle":"","parse-names":false,"suffix":""},{"dropping-particle":"","family":"Ruijven","given":"Jasper","non-dropping-particle":"van","parse-names":false,"suffix":""},{"dropping-particle":"","family":"Vos","given":"Veronique C a","non-dropping-particle":"","parse-names":false,"suffix":""},{"dropping-particle":"","family":"Hättenschwiler","given":"Stephan","non-dropping-particle":"","parse-names":false,"suffix":""}],"container-title":"Nature","id":"ITEM-1","issue":"7499","issued":{"date-parts":[["2014"]]},"page":"218-21","title":"Consequences of biodiversity loss for litter decomposition across biomes.","type":"article-journal","volume":"509"},"uris":["http://www.mendeley.com/documents/?uuid=6fb671b4-1f3a-4f6e-80fc-21ae359177e5"]}],"mendeley":{"formattedCitation":"(Handa &lt;i&gt;et al.&lt;/i&gt;, 2014)","plainTextFormattedCitation":"(Handa et al., 2014)","previouslyFormattedCitation":"(Handa &lt;i&gt;et al.&lt;/i&gt;, 2014)"},"properties":{"noteIndex":0},"schema":"https://github.com/citation-style-language/schema/raw/master/csl-citation.json"}</w:instrText>
      </w:r>
      <w:r w:rsidRPr="00364D88">
        <w:rPr>
          <w:rFonts w:ascii="Arial" w:hAnsi="Arial"/>
          <w:lang w:val="en-GB"/>
        </w:rPr>
        <w:fldChar w:fldCharType="separate"/>
      </w:r>
      <w:r w:rsidR="009E486E" w:rsidRPr="00364D88">
        <w:rPr>
          <w:rFonts w:ascii="Arial" w:hAnsi="Arial"/>
          <w:noProof/>
          <w:lang w:val="en-GB"/>
        </w:rPr>
        <w:t xml:space="preserve">(Handa </w:t>
      </w:r>
      <w:r w:rsidR="009E486E" w:rsidRPr="00364D88">
        <w:rPr>
          <w:rFonts w:ascii="Arial" w:hAnsi="Arial"/>
          <w:i/>
          <w:noProof/>
          <w:lang w:val="en-GB"/>
        </w:rPr>
        <w:t>et al.</w:t>
      </w:r>
      <w:r w:rsidR="009E486E" w:rsidRPr="00364D88">
        <w:rPr>
          <w:rFonts w:ascii="Arial" w:hAnsi="Arial"/>
          <w:noProof/>
          <w:lang w:val="en-GB"/>
        </w:rPr>
        <w:t>, 2014)</w:t>
      </w:r>
      <w:r w:rsidRPr="00364D88">
        <w:rPr>
          <w:rFonts w:ascii="Arial" w:hAnsi="Arial"/>
          <w:lang w:val="en-GB"/>
        </w:rPr>
        <w:fldChar w:fldCharType="end"/>
      </w:r>
      <w:r w:rsidRPr="00364D88">
        <w:rPr>
          <w:rFonts w:ascii="Arial" w:hAnsi="Arial"/>
          <w:lang w:val="en-GB"/>
        </w:rPr>
        <w:t xml:space="preserve">, it is not </w:t>
      </w:r>
      <w:r w:rsidR="00D505C5" w:rsidRPr="00364D88">
        <w:rPr>
          <w:rFonts w:ascii="Arial" w:hAnsi="Arial"/>
          <w:lang w:val="en-GB"/>
        </w:rPr>
        <w:t>well understood</w:t>
      </w:r>
      <w:r w:rsidRPr="00364D88">
        <w:rPr>
          <w:rFonts w:ascii="Arial" w:hAnsi="Arial"/>
          <w:lang w:val="en-GB"/>
        </w:rPr>
        <w:t xml:space="preserve"> how diversity </w:t>
      </w:r>
      <w:r w:rsidR="00DA7B23" w:rsidRPr="00364D88">
        <w:rPr>
          <w:rFonts w:ascii="Arial" w:hAnsi="Arial"/>
          <w:lang w:val="en-GB"/>
        </w:rPr>
        <w:t>r</w:t>
      </w:r>
      <w:r w:rsidR="008B2BBB" w:rsidRPr="00364D88">
        <w:rPr>
          <w:rFonts w:ascii="Arial" w:hAnsi="Arial"/>
          <w:lang w:val="en-GB"/>
        </w:rPr>
        <w:t>elates</w:t>
      </w:r>
      <w:r w:rsidR="00DA7B23" w:rsidRPr="00364D88">
        <w:rPr>
          <w:rFonts w:ascii="Arial" w:hAnsi="Arial"/>
          <w:lang w:val="en-GB"/>
        </w:rPr>
        <w:t xml:space="preserve"> </w:t>
      </w:r>
      <w:r w:rsidR="00C01D0F" w:rsidRPr="00364D88">
        <w:rPr>
          <w:rFonts w:ascii="Arial" w:hAnsi="Arial"/>
          <w:lang w:val="en-GB"/>
        </w:rPr>
        <w:t>to</w:t>
      </w:r>
      <w:r w:rsidRPr="00364D88">
        <w:rPr>
          <w:rFonts w:ascii="Arial" w:hAnsi="Arial"/>
          <w:lang w:val="en-GB"/>
        </w:rPr>
        <w:t xml:space="preserve"> respiration</w:t>
      </w:r>
      <w:r w:rsidR="008B2BBB" w:rsidRPr="00364D88">
        <w:rPr>
          <w:rFonts w:ascii="Arial" w:hAnsi="Arial"/>
          <w:lang w:val="en-GB"/>
        </w:rPr>
        <w:t xml:space="preserve"> of entire ecosystems</w:t>
      </w:r>
      <w:r w:rsidR="00C600D9" w:rsidRPr="00364D88">
        <w:rPr>
          <w:rFonts w:ascii="Arial" w:hAnsi="Arial"/>
          <w:lang w:val="en-GB"/>
        </w:rPr>
        <w:t xml:space="preserve">, and, hence, </w:t>
      </w:r>
      <w:r w:rsidR="00071D38" w:rsidRPr="00364D88">
        <w:rPr>
          <w:rFonts w:ascii="Arial" w:hAnsi="Arial"/>
          <w:lang w:val="en-GB"/>
        </w:rPr>
        <w:t>to</w:t>
      </w:r>
      <w:r w:rsidR="00F520D5" w:rsidRPr="00364D88">
        <w:rPr>
          <w:rFonts w:ascii="Arial" w:hAnsi="Arial"/>
          <w:lang w:val="en-GB"/>
        </w:rPr>
        <w:t xml:space="preserve"> net</w:t>
      </w:r>
      <w:r w:rsidR="00071D38" w:rsidRPr="00364D88">
        <w:rPr>
          <w:rFonts w:ascii="Arial" w:hAnsi="Arial"/>
          <w:lang w:val="en-GB"/>
        </w:rPr>
        <w:t xml:space="preserve"> </w:t>
      </w:r>
      <w:r w:rsidR="00B27907" w:rsidRPr="00364D88">
        <w:rPr>
          <w:rFonts w:ascii="Arial" w:hAnsi="Arial"/>
          <w:lang w:val="en-GB"/>
        </w:rPr>
        <w:t>C</w:t>
      </w:r>
      <w:r w:rsidR="00C600D9" w:rsidRPr="00364D88">
        <w:rPr>
          <w:rFonts w:ascii="Arial" w:hAnsi="Arial"/>
          <w:lang w:val="en-GB"/>
        </w:rPr>
        <w:t xml:space="preserve"> </w:t>
      </w:r>
      <w:r w:rsidR="00F520D5" w:rsidRPr="00364D88">
        <w:rPr>
          <w:rFonts w:ascii="Arial" w:hAnsi="Arial"/>
          <w:lang w:val="en-GB"/>
        </w:rPr>
        <w:t>uptake</w:t>
      </w:r>
      <w:r w:rsidRPr="00364D88">
        <w:rPr>
          <w:rFonts w:ascii="Arial" w:hAnsi="Arial"/>
          <w:lang w:val="en-GB"/>
        </w:rPr>
        <w:t xml:space="preserve">. </w:t>
      </w:r>
      <w:r w:rsidR="00C01D0F" w:rsidRPr="00364D88">
        <w:rPr>
          <w:rFonts w:ascii="Arial" w:hAnsi="Arial"/>
          <w:lang w:val="en-GB"/>
        </w:rPr>
        <w:t xml:space="preserve">It is, therefore, imperative to </w:t>
      </w:r>
      <w:r w:rsidRPr="00364D88">
        <w:rPr>
          <w:rFonts w:ascii="Arial" w:hAnsi="Arial"/>
          <w:lang w:val="en-GB"/>
        </w:rPr>
        <w:t xml:space="preserve">understand the role of diversity on the </w:t>
      </w:r>
      <w:r w:rsidR="00C01D0F" w:rsidRPr="00364D88">
        <w:rPr>
          <w:rFonts w:ascii="Arial" w:hAnsi="Arial"/>
          <w:lang w:val="en-GB"/>
        </w:rPr>
        <w:t>ecosystem</w:t>
      </w:r>
      <w:r w:rsidRPr="00364D88">
        <w:rPr>
          <w:rFonts w:ascii="Arial" w:hAnsi="Arial"/>
          <w:lang w:val="en-GB"/>
        </w:rPr>
        <w:t xml:space="preserve"> </w:t>
      </w:r>
      <w:r w:rsidR="00071D38" w:rsidRPr="00364D88">
        <w:rPr>
          <w:rFonts w:ascii="Arial" w:hAnsi="Arial"/>
          <w:lang w:val="en-GB"/>
        </w:rPr>
        <w:t xml:space="preserve">net </w:t>
      </w:r>
      <w:r w:rsidR="00B27907" w:rsidRPr="00364D88">
        <w:rPr>
          <w:rFonts w:ascii="Arial" w:hAnsi="Arial"/>
          <w:lang w:val="en-GB"/>
        </w:rPr>
        <w:t>C</w:t>
      </w:r>
      <w:r w:rsidRPr="00364D88">
        <w:rPr>
          <w:rFonts w:ascii="Arial" w:hAnsi="Arial"/>
          <w:lang w:val="en-GB"/>
        </w:rPr>
        <w:t xml:space="preserve"> balance. </w:t>
      </w:r>
      <w:r w:rsidR="00C01D0F" w:rsidRPr="00364D88">
        <w:rPr>
          <w:rFonts w:ascii="Arial" w:hAnsi="Arial"/>
          <w:lang w:val="en-GB"/>
        </w:rPr>
        <w:t xml:space="preserve">On the other hand, there </w:t>
      </w:r>
      <w:r w:rsidR="00C600D9" w:rsidRPr="00364D88">
        <w:rPr>
          <w:rFonts w:ascii="Arial" w:hAnsi="Arial"/>
          <w:lang w:val="en-GB"/>
        </w:rPr>
        <w:t>is evidence</w:t>
      </w:r>
      <w:r w:rsidR="00C01D0F" w:rsidRPr="00364D88">
        <w:rPr>
          <w:rFonts w:ascii="Arial" w:hAnsi="Arial"/>
          <w:lang w:val="en-GB"/>
        </w:rPr>
        <w:t xml:space="preserve"> pointing towards an important role of nutrients on biomass production</w:t>
      </w:r>
      <w:r w:rsidR="009E486E" w:rsidRPr="00364D88">
        <w:rPr>
          <w:rFonts w:ascii="Arial" w:hAnsi="Arial"/>
          <w:lang w:val="en-GB"/>
        </w:rPr>
        <w:t xml:space="preserve"> </w:t>
      </w:r>
      <w:r w:rsidR="00C01D0F" w:rsidRPr="00364D88">
        <w:rPr>
          <w:rFonts w:ascii="Arial" w:hAnsi="Arial"/>
          <w:lang w:val="en-GB"/>
        </w:rPr>
        <w:fldChar w:fldCharType="begin" w:fldLock="1"/>
      </w:r>
      <w:r w:rsidR="00114B12" w:rsidRPr="00364D88">
        <w:rPr>
          <w:rFonts w:ascii="Arial" w:hAnsi="Arial"/>
          <w:lang w:val="en-GB"/>
        </w:rPr>
        <w:instrText>ADDIN CSL_CITATION {"citationItems":[{"id":"ITEM-1","itemData":{"DOI":"10.1111/j.1461-0248.2012.01775.x","ISSN":"1461-0248","PMID":"22472207","abstract":"Trees with sufficient nutrition are known to allocate carbon preferentially to aboveground plant parts. Our global study of 49 forests revealed an even more fundamental carbon allocation response to nutrient availability: forests with high-nutrient availability use 58 ± 3% (mean ± SE; 17 forests) of their photosynthates for plant biomass production (BP), while forests with low-nutrient availability only convert 42 ± 2% (mean ± SE; 19 forests) of annual photosynthates to biomass. This nutrient effect largely overshadows previously observed differences in carbon allocation patterns among climate zones, forest types and age classes. If forests with low-nutrient availability use 16 ± 4% less of their photosynthates for plant growth, what are these used for? Current knowledge suggests that lower BP per unit photosynthesis in forests with low- versus forests with high-nutrient availability reflects not merely an increase in plant respiration, but likely results from reduced carbon allocation to unaccounted components of net primary production, particularly root symbionts.","author":[{"dropping-particle":"","family":"Vicca","given":"S","non-dropping-particle":"","parse-names":false,"suffix":""},{"dropping-particle":"","family":"Luyssaert","given":"S","non-dropping-particle":"","parse-names":false,"suffix":""},{"dropping-particle":"","family":"Peñuelas","given":"J","non-dropping-particle":"","parse-names":false,"suffix":""},{"dropping-particle":"","family":"Campioli","given":"M","non-dropping-particle":"","parse-names":false,"suffix":""},{"dropping-particle":"","family":"Chapin","given":"F S","non-dropping-particle":"","parse-names":false,"suffix":""},{"dropping-particle":"","family":"Ciais","given":"P","non-dropping-particle":"","parse-names":false,"suffix":""},{"dropping-particle":"","family":"Heinemeyer","given":"A","non-dropping-particle":"","parse-names":false,"suffix":""},{"dropping-particle":"","family":"Högberg","given":"P","non-dropping-particle":"","parse-names":false,"suffix":""},{"dropping-particle":"","family":"Kutsch","given":"W L","non-dropping-particle":"","parse-names":false,"suffix":""},{"dropping-particle":"","family":"Law","given":"B E","non-dropping-particle":"","parse-names":false,"suffix":""},{"dropping-particle":"","family":"Malhi","given":"Y","non-dropping-particle":"","parse-names":false,"suffix":""},{"dropping-particle":"","family":"Papale","given":"D","non-dropping-particle":"","parse-names":false,"suffix":""},{"dropping-particle":"","family":"Piao","given":"S L","non-dropping-particle":"","parse-names":false,"suffix":""},{"dropping-particle":"","family":"Reichstein","given":"M","non-dropping-particle":"","parse-names":false,"suffix":""},{"dropping-particle":"","family":"Schulze","given":"E D","non-dropping-particle":"","parse-names":false,"suffix":""},{"dropping-particle":"","family":"Janssens","given":"I a","non-dropping-particle":"","parse-names":false,"suffix":""}],"container-title":"Ecology letters","id":"ITEM-1","issue":"6","issued":{"date-parts":[["2012","6"]]},"page":"520-6","title":"Fertile forests produce biomass more efficiently.","type":"article-journal","volume":"15"},"uris":["http://www.mendeley.com/documents/?uuid=f5db5970-e3c6-4bb5-9c5a-721b493b352f"]}],"mendeley":{"formattedCitation":"(Vicca &lt;i&gt;et al.&lt;/i&gt;, 2012)","plainTextFormattedCitation":"(Vicca et al., 2012)","previouslyFormattedCitation":"(Vicca &lt;i&gt;et al.&lt;/i&gt;, 2012)"},"properties":{"noteIndex":0},"schema":"https://github.com/citation-style-language/schema/raw/master/csl-citation.json"}</w:instrText>
      </w:r>
      <w:r w:rsidR="00C01D0F" w:rsidRPr="00364D88">
        <w:rPr>
          <w:rFonts w:ascii="Arial" w:hAnsi="Arial"/>
          <w:lang w:val="en-GB"/>
        </w:rPr>
        <w:fldChar w:fldCharType="separate"/>
      </w:r>
      <w:r w:rsidR="009E486E" w:rsidRPr="00364D88">
        <w:rPr>
          <w:rFonts w:ascii="Arial" w:hAnsi="Arial"/>
          <w:noProof/>
          <w:lang w:val="en-GB"/>
        </w:rPr>
        <w:t xml:space="preserve">(Vicca </w:t>
      </w:r>
      <w:r w:rsidR="009E486E" w:rsidRPr="00364D88">
        <w:rPr>
          <w:rFonts w:ascii="Arial" w:hAnsi="Arial"/>
          <w:i/>
          <w:noProof/>
          <w:lang w:val="en-GB"/>
        </w:rPr>
        <w:t>et al.</w:t>
      </w:r>
      <w:r w:rsidR="009E486E" w:rsidRPr="00364D88">
        <w:rPr>
          <w:rFonts w:ascii="Arial" w:hAnsi="Arial"/>
          <w:noProof/>
          <w:lang w:val="en-GB"/>
        </w:rPr>
        <w:t>, 2012)</w:t>
      </w:r>
      <w:r w:rsidR="00C01D0F" w:rsidRPr="00364D88">
        <w:rPr>
          <w:rFonts w:ascii="Arial" w:hAnsi="Arial"/>
          <w:lang w:val="en-GB"/>
        </w:rPr>
        <w:fldChar w:fldCharType="end"/>
      </w:r>
      <w:r w:rsidR="00C01D0F" w:rsidRPr="00364D88">
        <w:rPr>
          <w:rFonts w:ascii="Arial" w:hAnsi="Arial"/>
          <w:lang w:val="en-GB"/>
        </w:rPr>
        <w:t xml:space="preserve"> and ecosystem</w:t>
      </w:r>
      <w:r w:rsidR="00071D38" w:rsidRPr="00364D88">
        <w:rPr>
          <w:rFonts w:ascii="Arial" w:hAnsi="Arial"/>
          <w:lang w:val="en-GB"/>
        </w:rPr>
        <w:t xml:space="preserve"> net</w:t>
      </w:r>
      <w:r w:rsidR="00C01D0F" w:rsidRPr="00364D88">
        <w:rPr>
          <w:rFonts w:ascii="Arial" w:hAnsi="Arial"/>
          <w:lang w:val="en-GB"/>
        </w:rPr>
        <w:t xml:space="preserve"> C balance</w:t>
      </w:r>
      <w:r w:rsidR="009E486E" w:rsidRPr="00364D88">
        <w:rPr>
          <w:rFonts w:ascii="Arial" w:hAnsi="Arial"/>
          <w:lang w:val="en-GB"/>
        </w:rPr>
        <w:t xml:space="preserve"> </w:t>
      </w:r>
      <w:r w:rsidR="00C01D0F" w:rsidRPr="00364D88">
        <w:rPr>
          <w:rFonts w:ascii="Arial" w:hAnsi="Arial"/>
          <w:lang w:val="en-GB"/>
        </w:rPr>
        <w:fldChar w:fldCharType="begin" w:fldLock="1"/>
      </w:r>
      <w:r w:rsidR="004C0ACC" w:rsidRPr="00364D88">
        <w:rPr>
          <w:rFonts w:ascii="Arial" w:hAnsi="Arial"/>
          <w:lang w:val="en-GB"/>
        </w:rPr>
        <w:instrText>ADDIN CSL_CITATION {"citationItems":[{"id":"ITEM-1","itemData":{"DOI":"10.1007/s00468-013-0975-9","ISSN":"0931-1890","abstract":"Key message Stand age, water availability, and the length of the warm period are the most influencing controls of forest structure, functioning, and efficiency. Abstract We aimed to discern the distribution and controls of plant biomass, carbon fluxes, and resource-use efficiencies of forest ecosystems ranging from boreal to tropical forests. We analysed a global forest database containing estimates of stand biomass and carbon fluxes (400 and 111 sites, respectively) from which we calculated resource-use efficiencies (biomass production, carbon sequestration, light, and water-use efficiencies). We used the WorldClim climatic database and remote-sensing data derived from the Moderate Resolution Imaging Spectro- radiometer to analyse climatic controls of ecosystem","author":[{"dropping-particle":"","family":"Fernández-Martínez","given":"Marcos","non-dropping-particle":"","parse-names":false,"suffix":""},{"dropping-particle":"","family":"Vicca","given":"Sara","non-dropping-particle":"","parse-names":false,"suffix":""},{"dropping-particle":"","family":"Janssens","given":"Ivan A.","non-dropping-particle":"","parse-names":false,"suffix":""},{"dropping-particle":"","family":"Luyssaert","given":"Sebastiaan","non-dropping-particle":"","parse-names":false,"suffix":""},{"dropping-particle":"","family":"Campioli","given":"Matteo","non-dropping-particle":"","parse-names":false,"suffix":""},{"dropping-particle":"","family":"Sardans","given":"Jordi","non-dropping-particle":"","parse-names":false,"suffix":""},{"dropping-particle":"","family":"Estiarte","given":"Marc","non-dropping-particle":"","parse-names":false,"suffix":""},{"dropping-particle":"","family":"Peñuelas","given":"Josep","non-dropping-particle":"","parse-names":false,"suffix":""}],"container-title":"Trees, structure and function","id":"ITEM-1","issue":"2","issued":{"date-parts":[["2014","1","1"]]},"note":"From Duplicate 1 ( \n\n\n\n\n\n\n\nSpatial variability and controls over biomass stocks, carbon fluxes and resource-use efficiencies in forest ecosystems\n\n\n\n\n\n\n\n- Fernández-Martínez, Marcos; Vicca, S; Janssens, Ivan a; Campioli, M; Luyssaert, Sebastiaan; Sardans, Jordi; Peñuelas, Josep )\n\n\n\n","page":"597-611","title":"Spatial variability and controls over biomass stocks, carbon fluxes and resource-use efficiencies in forest ecosystems","type":"article-journal","volume":"28"},"uris":["http://www.mendeley.com/documents/?uuid=5d74c1d2-bf0b-4aec-93de-1760cfac4dda"]}],"mendeley":{"formattedCitation":"(Fernández-Martínez &lt;i&gt;et al.&lt;/i&gt;, 2014b)","plainTextFormattedCitation":"(Fernández-Martínez et al., 2014b)","previouslyFormattedCitation":"(Fernández-Martínez &lt;i&gt;et al.&lt;/i&gt;, 2014b)"},"properties":{"noteIndex":0},"schema":"https://github.com/citation-style-language/schema/raw/master/csl-citation.json"}</w:instrText>
      </w:r>
      <w:r w:rsidR="00C01D0F" w:rsidRPr="00364D88">
        <w:rPr>
          <w:rFonts w:ascii="Arial" w:hAnsi="Arial"/>
          <w:lang w:val="en-GB"/>
        </w:rPr>
        <w:fldChar w:fldCharType="separate"/>
      </w:r>
      <w:r w:rsidR="00103339" w:rsidRPr="00364D88">
        <w:rPr>
          <w:rFonts w:ascii="Arial" w:hAnsi="Arial"/>
          <w:noProof/>
          <w:lang w:val="en-GB"/>
        </w:rPr>
        <w:t xml:space="preserve">(Fernández-Martínez </w:t>
      </w:r>
      <w:r w:rsidR="00103339" w:rsidRPr="00364D88">
        <w:rPr>
          <w:rFonts w:ascii="Arial" w:hAnsi="Arial"/>
          <w:i/>
          <w:noProof/>
          <w:lang w:val="en-GB"/>
        </w:rPr>
        <w:t>et al.</w:t>
      </w:r>
      <w:r w:rsidR="00103339" w:rsidRPr="00364D88">
        <w:rPr>
          <w:rFonts w:ascii="Arial" w:hAnsi="Arial"/>
          <w:noProof/>
          <w:lang w:val="en-GB"/>
        </w:rPr>
        <w:t>, 2014b)</w:t>
      </w:r>
      <w:r w:rsidR="00C01D0F" w:rsidRPr="00364D88">
        <w:rPr>
          <w:rFonts w:ascii="Arial" w:hAnsi="Arial"/>
          <w:lang w:val="en-GB"/>
        </w:rPr>
        <w:fldChar w:fldCharType="end"/>
      </w:r>
      <w:r w:rsidR="001E51D5" w:rsidRPr="00364D88">
        <w:rPr>
          <w:rFonts w:ascii="Arial" w:hAnsi="Arial"/>
          <w:lang w:val="en-GB"/>
        </w:rPr>
        <w:t>. These findings suggest</w:t>
      </w:r>
      <w:r w:rsidR="002D0D6B" w:rsidRPr="00364D88">
        <w:rPr>
          <w:rFonts w:ascii="Arial" w:hAnsi="Arial"/>
          <w:lang w:val="en-GB"/>
        </w:rPr>
        <w:t xml:space="preserve"> higher productivity and </w:t>
      </w:r>
      <w:r w:rsidR="00F520D5" w:rsidRPr="00364D88">
        <w:rPr>
          <w:rFonts w:ascii="Arial" w:hAnsi="Arial"/>
          <w:lang w:val="en-GB"/>
        </w:rPr>
        <w:t xml:space="preserve">net </w:t>
      </w:r>
      <w:r w:rsidR="002D0D6B" w:rsidRPr="00364D88">
        <w:rPr>
          <w:rFonts w:ascii="Arial" w:hAnsi="Arial"/>
          <w:lang w:val="en-GB"/>
        </w:rPr>
        <w:t xml:space="preserve">C </w:t>
      </w:r>
      <w:r w:rsidR="00F520D5" w:rsidRPr="00364D88">
        <w:rPr>
          <w:rFonts w:ascii="Arial" w:hAnsi="Arial"/>
          <w:lang w:val="en-GB"/>
        </w:rPr>
        <w:t>uptake</w:t>
      </w:r>
      <w:r w:rsidR="002D0D6B" w:rsidRPr="00364D88">
        <w:rPr>
          <w:rFonts w:ascii="Arial" w:hAnsi="Arial"/>
          <w:lang w:val="en-GB"/>
        </w:rPr>
        <w:t xml:space="preserve"> in nutrient-rich ecosystems, where concentrations of foliar N and P of primary producers are also often higher</w:t>
      </w:r>
      <w:r w:rsidR="009E486E" w:rsidRPr="00364D88">
        <w:rPr>
          <w:rFonts w:ascii="Arial" w:hAnsi="Arial"/>
          <w:lang w:val="en-GB"/>
        </w:rPr>
        <w:t xml:space="preserve"> </w:t>
      </w:r>
      <w:r w:rsidR="002D0D6B" w:rsidRPr="00364D88">
        <w:rPr>
          <w:rFonts w:ascii="Arial" w:hAnsi="Arial"/>
          <w:lang w:val="en-GB"/>
        </w:rPr>
        <w:fldChar w:fldCharType="begin" w:fldLock="1"/>
      </w:r>
      <w:r w:rsidR="00114B12" w:rsidRPr="00364D88">
        <w:rPr>
          <w:rFonts w:ascii="Arial" w:hAnsi="Arial"/>
          <w:lang w:val="en-GB"/>
        </w:rPr>
        <w:instrText>ADDIN CSL_CITATION {"citationItems":[{"id":"ITEM-1","itemData":{"DOI":"10.5194/bg-15-3475-2018","ISSN":"17264189","abstract":"The availability of nutrients regulates terrestrial carbon cycling and modifies ecosystem responses to environmental changes. Nonetheless, nutrient availability is often overlooked in climate-carbon cycle studies because it depends on the interplay of various soil factors that would ideally be comprised into one metric. Such a metric does not currently exist. Here, we used a Swedish forest inventory database that contains soil and tree growth data for &gt;&amp;amp;thinsp;2500 forests across Sweden to test which combination soil factors best explains variation in plant growth, and to take the first steps in developing a nutrient availability metric. For the latter, we started from a (yet unvalidated) metric for constraints on nutrient availability that was previously developed by IIASA (Laxenburg, Austria). This IIASA-metric was developed for crops and uses only indirect indicators of nutrient availability. Our analyses revealed that soil organic carbon content (SOC) and the soil carbon to nitrogen (C&amp;amp;thinsp;:&amp;amp;thinsp;N) ratio were the most important factors explaining variation in &lt;q&gt;normalized&lt;/q&gt; (climate-independent) productivity. Normalized productivity increased with decreasing soil C&amp;amp;thinsp;:&amp;amp;thinsp;N ratio (&lt;i&gt;R&lt;/i&gt;&lt;sup&gt;2&lt;/sup&gt;&amp;amp;thinsp;=&amp;amp;thinsp;0.02&amp;amp;ndash;0.13), while SOC exhibited an empirical optimum (&lt;i&gt;R&lt;/i&gt;&lt;sup&gt;2&lt;/sup&gt;&amp;amp;thinsp;=&amp;amp;thinsp;0.05&amp;amp;ndash;0.15). The IIASA-metric was unrelated to normalized productivity (&lt;i&gt;R&lt;/i&gt;&lt;sup&gt;2&lt;/sup&gt;&amp;amp;thinsp;=&amp;amp;thinsp;0.00&amp;amp;ndash;0.01), because the soil factors under consideration were not well implemented, and because the C&amp;amp;thinsp;:&amp;amp;thinsp;N ratio was not included. We upgraded this metric by incorporating soil C&amp;amp;thinsp;:&amp;amp;thinsp;N and adjusting the relationship between SOC and nutrient availability in view of the observed relationship across our database. This upgraded metric explained a significant fraction of the variation (&lt;i&gt;R&lt;/i&gt;&lt;sup&gt;2&lt;/sup&gt;&amp;amp;thinsp;=&amp;amp;thinsp;0.03&amp;amp;ndash;0.21; depending on the applied method) and thus opens up new opportunities to further validate and improve it with other datasets, from forests and from other ecosystem types, to ultimately develop a generic global nutrient availability metric.","author":[{"dropping-particle":"","family":"Sundert","given":"Kevin","non-dropping-particle":"Van","parse-names":false,"suffix":""},{"dropping-particle":"","family":"Horemans","given":"Joanna A.","non-dropping-particle":"","parse-names":false,"suffix":""},{"dropping-particle":"","family":"Stendahl","given":"Johan","non-dropping-particle":"","parse-names":false,"suffix":""},{"dropping-particle":"","family":"Vicca","given":"Sara","non-dropping-particle":"","parse-names":false,"suffix":""}],"container-title":"Biogeosciences","id":"ITEM-1","issue":"11","issued":{"date-parts":[["2018"]]},"page":"3475-3496","title":"The influence of soil properties and nutrients on conifer forest growth in Sweden, and the first steps in developing a nutrient availability metric","type":"article-journal","volume":"15"},"uris":["http://www.mendeley.com/documents/?uuid=441cf3d5-7b02-4478-90de-94559a4bf1aa"]},{"id":"ITEM-2","itemData":{"DOI":"10.1111/1365-2435.12541","ISSN":"02698463","author":[{"dropping-particle":"","family":"Sardans","given":"Jordi","non-dropping-particle":"","parse-names":false,"suffix":""},{"dropping-particle":"","family":"Alonso","given":"Rocio","non-dropping-particle":"","parse-names":false,"suffix":""},{"dropping-particle":"","family":"Janssens","given":"Ivan","non-dropping-particle":"","parse-names":false,"suffix":""},{"dropping-particle":"","family":"Carnicer","given":"Jofre","non-dropping-particle":"","parse-names":false,"suffix":""},{"dropping-particle":"","family":"Vereseglou","given":"S","non-dropping-particle":"","parse-names":false,"suffix":""},{"dropping-particle":"","family":"Rillig","given":"Mathias C","non-dropping-particle":"","parse-names":false,"suffix":""},{"dropping-particle":"","family":"Fernández-Martínez","given":"Marcos","non-dropping-particle":"","parse-names":false,"suffix":""},{"dropping-particle":"","family":"Sanders","given":"Tanja G M","non-dropping-particle":"","parse-names":false,"suffix":""},{"dropping-particle":"","family":"Peñuelas","given":"Josep","non-dropping-particle":"","parse-names":false,"suffix":""}],"container-title":"Functional Ecology","id":"ITEM-2","issue":"5","issued":{"date-parts":[["2016","8"]]},"page":"676–689","title":"Foliar and soil concentrations and stoichiometry of nitrogen and phosphorous across European Pinus sylvestris forests: relationships with climate, N deposition and tree growth","type":"article-journal","volume":"30"},"uris":["http://www.mendeley.com/documents/?uuid=36855f55-c5a1-4af5-bfa2-28604298db52"]},{"id":"ITEM-3","itemData":{"DOI":"10.1038/s41559-018-0790-1","ISSN":"2397-334X","author":[{"dropping-particle":"","family":"Firn","given":"Jennifer","non-dropping-particle":"","parse-names":false,"suffix":""},{"dropping-particle":"","family":"McGree","given":"James M.","non-dropping-particle":"","parse-names":false,"suffix":""},{"dropping-particle":"","family":"Harvey","given":"Eric","non-dropping-particle":"","parse-names":false,"suffix":""},{"dropping-particle":"","family":"Flores-Moreno","given":"Habacuc","non-dropping-particle":"","parse-names":false,"suffix":""},{"dropping-particle":"","family":"Schütz","given":"Martin","non-dropping-particle":"","parse-names":false,"suffix":""},{"dropping-particle":"","family":"Buckley","given":"Yvonne M.","non-dropping-particle":"","parse-names":false,"suffix":""},{"dropping-particle":"","family":"Borer","given":"Elizabeth T.","non-dropping-particle":"","parse-names":false,"suffix":""},{"dropping-particle":"","family":"Seabloom","given":"Eric W.","non-dropping-particle":"","parse-names":false,"suffix":""},{"dropping-particle":"","family":"Pierre","given":"Kimberly J.","non-dropping-particle":"La","parse-names":false,"suffix":""},{"dropping-particle":"","family":"MacDougall","given":"Andrew M.","non-dropping-particle":"","parse-names":false,"suffix":""},{"dropping-particle":"","family":"Prober","given":"Suzanne M.","non-dropping-particle":"","parse-names":false,"suffix":""},{"dropping-particle":"","family":"Stevens","given":"Carly J.","non-dropping-particle":"","parse-names":false,"suffix":""},{"dropping-particle":"","family":"Sullivan","given":"Lauren L.","non-dropping-particle":"","parse-names":false,"suffix":""},{"dropping-particle":"","family":"Porter","given":"Erica","non-dropping-particle":"","parse-names":false,"suffix":""},{"dropping-particle":"","family":"Ladouceur","given":"Emma","non-dropping-particle":"","parse-names":false,"suffix":""},{"dropping-particle":"","family":"Allen","given":"Charlotte","non-dropping-particle":"","parse-names":false,"suffix":""},{"dropping-particle":"","family":"Moromizato","given":"Karine H.","non-dropping-particle":"","parse-names":false,"suffix":""},{"dropping-particle":"","family":"Morgan","given":"John W.","non-dropping-particle":"","parse-names":false,"suffix":""},{"dropping-particle":"","family":"Harpole","given":"W. Stanley","non-dropping-particle":"","parse-names":false,"suffix":""},{"dropping-particle":"","family":"Hautier","given":"Yann","non-dropping-particle":"","parse-names":false,"suffix":""},{"dropping-particle":"","family":"Eisenhauer","given":"Nico","non-dropping-particle":"","parse-names":false,"suffix":""},{"dropping-particle":"","family":"Wright","given":"Justin P.","non-dropping-particle":"","parse-names":false,"suffix":""},{"dropping-particle":"","family":"Adler","given":"Peter B.","non-dropping-particle":"","parse-names":false,"suffix":""},{"dropping-particle":"","family":"Arnillas","given":"Carlos Alberto","non-dropping-particle":"","parse-names":false,"suffix":""},{"dropping-particle":"","family":"Bakker","given":"Jonathan D.","non-dropping-particle":"","parse-names":false,"suffix":""},{"dropping-particle":"","family":"Biederman","given":"Lori","non-dropping-particle":"","parse-names":false,"suffix":""},{"dropping-particle":"","family":"Broadbent","given":"Arthur A. D.","non-dropping-particle":"","parse-names":false,"suffix":""},{"dropping-particle":"","family":"Brown","given":"Cynthia S.","non-dropping-particle":"","parse-names":false,"suffix":""},{"dropping-particle":"","family":"Bugalho","given":"Miguel N.","non-dropping-particle":"","parse-names":false,"suffix":""},{"dropping-particle":"","family":"Caldeira","given":"Maria C.","non-dropping-particle":"","parse-names":false,"suffix":""},{"dropping-particle":"","family":"Cleland","given":"Elsa E.","non-dropping-particle":"","parse-names":false,"suffix":""},{"dropping-particle":"","family":"Ebeling","given":"Anne","non-dropping-particle":"","parse-names":false,"suffix":""},{"dropping-particle":"","family":"Fay","given":"Philip A.","non-dropping-particle":"","parse-names":false,"suffix":""},{"dropping-particle":"","family":"Hagenah","given":"Nicole","non-dropping-particle":"","parse-names":false,"suffix":""},{"dropping-particle":"","family":"Kleinhesselink","given":"Andrew R.","non-dropping-particle":"","parse-names":false,"suffix":""},{"dropping-particle":"","family":"Mitchell","given":"Rachel","non-dropping-particle":"","parse-names":false,"suffix":""},{"dropping-particle":"","family":"Moore","given":"Joslin L.","non-dropping-particle":"","parse-names":false,"suffix":""},{"dropping-particle":"","family":"Nogueira","given":"Carla","non-dropping-particle":"","parse-names":false,"suffix":""},{"dropping-particle":"","family":"Peri","given":"Pablo Luis","non-dropping-particle":"","parse-names":false,"suffix":""},{"dropping-particle":"","family":"Roscher","given":"Christiane","non-dropping-particle":"","parse-names":false,"suffix":""},{"dropping-particle":"","family":"Smith","given":"Melinda D.","non-dropping-particle":"","parse-names":false,"suffix":""},{"dropping-particle":"","family":"Wragg","given":"Peter D.","non-dropping-particle":"","parse-names":false,"suffix":""},{"dropping-particle":"","family":"Risch","given":"Anita C.","non-dropping-particle":"","parse-names":false,"suffix":""}],"container-title":"Nature Ecology &amp; Evolution","id":"ITEM-3","issue":"3","issued":{"date-parts":[["2019","3","4"]]},"page":"400-406","title":"Leaf nutrients, not specific leaf area, are consistent indicators of elevated nutrient inputs","type":"article-journal","volume":"3"},"uris":["http://www.mendeley.com/documents/?uuid=c124c186-bd3c-47a2-88b8-227a395f5ee4"]}],"mendeley":{"formattedCitation":"(Sardans &lt;i&gt;et al.&lt;/i&gt;, 2016; Van Sundert &lt;i&gt;et al.&lt;/i&gt;, 2018; Firn &lt;i&gt;et al.&lt;/i&gt;, 2019)","plainTextFormattedCitation":"(Sardans et al., 2016; Van Sundert et al., 2018; Firn et al., 2019)","previouslyFormattedCitation":"(Sardans &lt;i&gt;et al.&lt;/i&gt;, 2016; Van Sundert &lt;i&gt;et al.&lt;/i&gt;, 2018; Firn &lt;i&gt;et al.&lt;/i&gt;, 2019)"},"properties":{"noteIndex":0},"schema":"https://github.com/citation-style-language/schema/raw/master/csl-citation.json"}</w:instrText>
      </w:r>
      <w:r w:rsidR="002D0D6B" w:rsidRPr="00364D88">
        <w:rPr>
          <w:rFonts w:ascii="Arial" w:hAnsi="Arial"/>
          <w:lang w:val="en-GB"/>
        </w:rPr>
        <w:fldChar w:fldCharType="separate"/>
      </w:r>
      <w:r w:rsidR="009E486E" w:rsidRPr="00364D88">
        <w:rPr>
          <w:rFonts w:ascii="Arial" w:hAnsi="Arial"/>
          <w:noProof/>
          <w:lang w:val="en-US"/>
        </w:rPr>
        <w:t xml:space="preserve">(Sardans </w:t>
      </w:r>
      <w:r w:rsidR="009E486E" w:rsidRPr="00364D88">
        <w:rPr>
          <w:rFonts w:ascii="Arial" w:hAnsi="Arial"/>
          <w:i/>
          <w:noProof/>
          <w:lang w:val="en-US"/>
        </w:rPr>
        <w:t>et al.</w:t>
      </w:r>
      <w:r w:rsidR="009E486E" w:rsidRPr="00364D88">
        <w:rPr>
          <w:rFonts w:ascii="Arial" w:hAnsi="Arial"/>
          <w:noProof/>
          <w:lang w:val="en-US"/>
        </w:rPr>
        <w:t xml:space="preserve">, 2016; Van Sundert </w:t>
      </w:r>
      <w:r w:rsidR="009E486E" w:rsidRPr="00364D88">
        <w:rPr>
          <w:rFonts w:ascii="Arial" w:hAnsi="Arial"/>
          <w:i/>
          <w:noProof/>
          <w:lang w:val="en-US"/>
        </w:rPr>
        <w:t>et al.</w:t>
      </w:r>
      <w:r w:rsidR="009E486E" w:rsidRPr="00364D88">
        <w:rPr>
          <w:rFonts w:ascii="Arial" w:hAnsi="Arial"/>
          <w:noProof/>
          <w:lang w:val="en-US"/>
        </w:rPr>
        <w:t xml:space="preserve">, 2018; Firn </w:t>
      </w:r>
      <w:r w:rsidR="009E486E" w:rsidRPr="00364D88">
        <w:rPr>
          <w:rFonts w:ascii="Arial" w:hAnsi="Arial"/>
          <w:i/>
          <w:noProof/>
          <w:lang w:val="en-US"/>
        </w:rPr>
        <w:t>et al.</w:t>
      </w:r>
      <w:r w:rsidR="009E486E" w:rsidRPr="00364D88">
        <w:rPr>
          <w:rFonts w:ascii="Arial" w:hAnsi="Arial"/>
          <w:noProof/>
          <w:lang w:val="en-US"/>
        </w:rPr>
        <w:t>, 2019)</w:t>
      </w:r>
      <w:r w:rsidR="002D0D6B" w:rsidRPr="00364D88">
        <w:rPr>
          <w:rFonts w:ascii="Arial" w:hAnsi="Arial"/>
          <w:lang w:val="en-GB"/>
        </w:rPr>
        <w:fldChar w:fldCharType="end"/>
      </w:r>
      <w:r w:rsidR="00071D38" w:rsidRPr="00364D88">
        <w:rPr>
          <w:rFonts w:ascii="Arial" w:hAnsi="Arial"/>
          <w:lang w:val="en-GB"/>
        </w:rPr>
        <w:t>,</w:t>
      </w:r>
      <w:r w:rsidR="002651B0" w:rsidRPr="00364D88">
        <w:rPr>
          <w:rFonts w:ascii="Arial" w:hAnsi="Arial"/>
          <w:lang w:val="en-GB"/>
        </w:rPr>
        <w:t xml:space="preserve"> potentially leading to enhanced photosynthesis</w:t>
      </w:r>
      <w:r w:rsidR="009E486E" w:rsidRPr="00364D88">
        <w:rPr>
          <w:rFonts w:ascii="Arial" w:hAnsi="Arial"/>
          <w:lang w:val="en-GB"/>
        </w:rPr>
        <w:t xml:space="preserve"> </w:t>
      </w:r>
      <w:r w:rsidR="002651B0"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{"citationItems":[{"id":"ITEM-1","itemData":{"DOI":"10.1038/nature02403","ISSN":"1476-4687","PMID":"15103368","abstract":"Bringing together leaf trait data spanning 2,548 species and 175 sites we describe, for the first time at global scale, a universal spectrum of leaf economics consisting of key chemical, structural and physiological properties. The spectrum runs from quick to slow return on investments of nutrients and dry mass in leaves, and operates largely independently of growth form, plant functional type or biome. Categories along the spectrum would, in general, describe leaf economic variation at the global scale better than plant functional types, because functional types overlap substantially in their leaf traits. Overall, modulation of leaf traits and trait relationships by climate is surprisingly modest, although some striking and significant patterns can be seen. Reliable quantification of the leaf economics spectrum and its interaction with climate will prove valuable for modelling nutrient fluxes and vegetation boundaries under changing land-use and climate.","author":[{"dropping-particle":"","family":"Wright","given":"Ian J","non-dropping-particle":"","parse-names":false,"suffix":""},{"dropping-particle":"","family":"Reich","given":"Peter B","non-dropping-particle":"","parse-names":false,"suffix":""},{"dropping-particle":"","family":"Westoby","given":"Mark","non-dropping-particle":"","parse-names":false,"suffix":""},{"dropping-particle":"","family":"Ackerly","given":"David D","non-dropping-particle":"","parse-names":false,"suffix":""},{"dropping-particle":"","family":"Baruch","given":"Zdravko","non-dropping-particle":"","parse-names":false,"suffix":""},{"dropping-particle":"","family":"Bongers","given":"Frans","non-dropping-particle":"","parse-names":false,"suffix":""},{"dropping-particle":"","family":"Cavender-Bares","given":"Jeannine","non-dropping-particle":"","parse-names":false,"suffix":""},{"dropping-particle":"","family":"Chapin","given":"Terry","non-dropping-particle":"","parse-names":false,"suffix":""},{"dropping-particle":"","family":"Cornelissen","given":"Johannes H C","non-dropping-particle":"","parse-names":false,"suffix":""},{"dropping-particle":"","family":"Diemer","given":"Matthias","non-dropping-particle":"","parse-names":false,"suffix":""},{"dropping-particle":"","family":"Flexas","given":"Jaume","non-dropping-particle":"","parse-names":false,"suffix":""},{"dropping-particle":"","family":"Garnier","given":"Eric","non-dropping-particle":"","parse-names":false,"suffix":""},{"dropping-particle":"","family":"Groom","given":"Philip K","non-dropping-particle":"","parse-names":false,"suffix":""},{"dropping-particle":"","family":"Gulias","given":"Javier","non-dropping-particle":"","parse-names":false,"suffix":""},{"dropping-particle":"","family":"Hikosaka","given":"Kouki","non-dropping-particle":"","parse-names":false,"suffix":""},{"dropping-particle":"","family":"Lamont","given":"Byron B","non-dropping-particle":"","parse-names":false,"suffix":""},{"dropping-particle":"","family":"Lee","given":"Tali","non-dropping-particle":"","parse-names":false,"suffix":""},{"dropping-particle":"","family":"Lee","given":"William","non-dropping-particle":"","parse-names":false,"suffix":""},{"dropping-particle":"","family":"Lusk","given":"Christopher","non-dropping-particle":"","parse-names":false,"suffix":""},{"dropping-particle":"","family":"Midgley","given":"Jeremy J","non-dropping-particle":"","parse-names":false,"suffix":""},{"dropping-particle":"","family":"Navas","given":"Marie-Laure","non-dropping-particle":"","parse-names":false,"suffix":""},{"dropping-particle":"","family":"Niinemets","given":"Ulo","non-dropping-particle":"","parse-names":false,"suffix":""},{"dropping-particle":"","family":"Oleksyn","given":"Jacek","non-dropping-particle":"","parse-names":false,"suffix":""},{"dropping-particle":"","family":"Osada","given":"Noriyuki","non-dropping-particle":"","parse-names":false,"suffix":""},{"dropping-particle":"","family":"Poorter","given":"Hendrik","non-dropping-particle":"","parse-names":false,"suffix":""},{"dropping-particle":"","family":"Poot","given":"Pieter","non-dropping-particle":"","parse-names":false,"suffix":""},{"dropping-particle":"","family":"Prior","given":"Lynda","non-dropping-particle":"","parse-names":false,"suffix":""},{"dropping-particle":"","family":"Pyankov","given":"Vladimir I","non-dropping-particle":"","parse-names":false,"suffix":""},{"dropping-particle":"","family":"Roumet","given":"Catherine","non-dropping-particle":"","parse-names":false,"suffix":""},{"dropping-particle":"","family":"Thomas","given":"Sean C","non-dropping-particle":"","parse-names":false,"suffix":""},{"dropping-particle":"","family":"Tjoelker","given":"Mark G","non-dropping-particle":"","parse-names":false,"suffix":""},{"dropping-particle":"","family":"Veneklaas","given":"Erik J","non-dropping-particle":"","parse-names":false,"suffix":""},{"dropping-particle":"","family":"Villar","given":"Rafael","non-dropping-particle":"","parse-names":false,"suffix":""}],"container-title":"Nature","id":"ITEM-1","issue":"6985","issued":{"date-parts":[["2004","5","22"]]},"page":"821-7","title":"The worldwide leaf economics spectrum.","type":"article-journal","volume":"428"},"uris":["http://www.mendeley.com/documents/?uuid=d774f778-e171-47bf-ad16-535f34936c50"]},{"id":"ITEM-2","itemData":{"DOI":"10.1111/j.1365-3040.2010.02119.x","ISBN":"0140-7791","ISSN":"01407791","PMID":"20102540","abstract":"Photosynthetic leaf traits were determined for savanna and forest ecosystems in West Africa, spanning a large range in precipitation. Standardized major axis fits revealed important differences between our data and reported global relationships. Especially for sites in the drier areas, plants showed higher photosynthetic rates for a given N or P when compared with relationships from the global data set. The best multiple regression for the pooled data set estimated V(cmax) and J(max) from N(DW) and S. However, the best regression for different vegetation types varied, suggesting that the scaling of photosynthesis with leaf traits changed with vegetation types. A new model is presented representing independent constraints by N and P on photosynthesis, which can be evaluated with or without interactions with S. It assumes that limitation of photosynthesis will result from the least abundant nutrient, thereby being less sensitive to the allocation of the non-limiting nutrient to non-photosynthetic pools. The model predicts an optimum proportionality for N and P, which is distinct for V(cmax) and J(max) and inversely proportional to S. Initial tests showed the model to predict V(cmax) and J(max) successfully for other tropical forests characterized by a range of different foliar N and P concentrations.","author":[{"dropping-particle":"","family":"Domingues","given":"Tomas Ferreira","non-dropping-particle":"","parse-names":false,"suffix":""},{"dropping-particle":"","family":"Meir","given":"Patrick","non-dropping-particle":"","parse-names":false,"suffix":""},{"dropping-particle":"","family":"Feldpausch","given":"Ted R.","non-dropping-particle":"","parse-names":false,"suffix":""},{"dropping-particle":"","family":"Saiz","given":"Gustavo","non-dropping-particle":"","parse-names":false,"suffix":""},{"dropping-particle":"","family":"Veenendaal","given":"Elmar M.","non-dropping-particle":"","parse-names":false,"suffix":""},{"dropping-particle":"","family":"Schrodt","given":"Franziska","non-dropping-particle":"","parse-names":false,"suffix":""},{"dropping-particle":"","family":"Bird","given":"Michael","non-dropping-particle":"","parse-names":false,"suffix":""},{"dropping-particle":"","family":"Djagbletey","given":"Gloria","non-dropping-particle":"","parse-names":false,"suffix":""},{"dropping-particle":"","family":"Hien","given":"Fidele","non-dropping-particle":"","parse-names":false,"suffix":""},{"dropping-particle":"","family":"Compaore","given":"Halidou","non-dropping-particle":"","parse-names":false,"suffix":""},{"dropping-particle":"","family":"Diallo","given":"Adama","non-dropping-particle":"","parse-names":false,"suffix":""},{"dropping-particle":"","family":"Grace","given":"John","non-dropping-particle":"","parse-names":false,"suffix":""},{"dropping-particle":"","family":"Lloyd","given":"Jon","non-dropping-particle":"","parse-names":false,"suffix":""}],"container-title":"Plant, Cell and Environment","id":"ITEM-2","issue":"6","issued":{"date-parts":[["2010"]]},"page":"959-980","title":"Co-limitation of photosynthetic capacity by nitrogen and phosphorus in West Africa woodlands","type":"article-journal","volume":"33"},"uris":["http://www.mendeley.com/documents/?uuid=0e4c908f-63ad-4632-b14e-e65f1dfbc72e"]},{"id":"ITEM-3","itemData":{"DOI":"10.1007/BF00376856","ISSN":"0029-8549","author":[{"dropping-particle":"","family":"Field","given":"C.","non-dropping-particle":"","parse-names":false,"suffix":""},{"dropping-particle":"","family":"Merino","given":"J.","non-dropping-particle":"","parse-names":false,"suffix":""},{"dropping-particle":"","family":"Mooney","given":"H. A.","non-dropping-particle":"","parse-names":false,"suffix":""}],"container-title":"Oecologia","id":"ITEM-3","issue":"3","issued":{"date-parts":[["1983","12"]]},"page":"384-389","title":"Compromises between water-use efficiency and nitrogen-use efficiency in five species of California evergreens","type":"article-journal","volume":"60"},"uris":["http://www.mendeley.com/documents/?uuid=0460fae6-dd15-4054-845e-09d94d9184e3"]}],"mendeley":{"formattedCitation":"(Field &lt;i&gt;et al.&lt;/i&gt;, 1983; Wright &lt;i&gt;et al.&lt;/i&gt;, 2004; Domingues &lt;i&gt;et al.&lt;/i&gt;, 2010)","plainTextFormattedCitation":"(Field et al., 1983; Wright et al., 2004; Domingues et al., 2010)","previouslyFormattedCitation":"(Field &lt;i&gt;et al.&lt;/i&gt;, 1983; Wright &lt;i&gt;et al.&lt;/i&gt;, 2004; Domingues &lt;i&gt;et al.&lt;/i&gt;, 2010)"},"properties":{"noteIndex":0},"schema":"https://github.com/citation-style-language/schema/raw/master/csl-citation.json"}</w:instrText>
      </w:r>
      <w:r w:rsidR="002651B0" w:rsidRPr="00364D88">
        <w:rPr>
          <w:rFonts w:ascii="Arial" w:hAnsi="Arial" w:cs="Arial"/>
          <w:lang w:val="en-GB"/>
        </w:rPr>
        <w:fldChar w:fldCharType="separate"/>
      </w:r>
      <w:r w:rsidR="009E486E" w:rsidRPr="00364D88">
        <w:rPr>
          <w:rFonts w:ascii="Arial" w:hAnsi="Arial" w:cs="Arial"/>
          <w:noProof/>
          <w:lang w:val="en-GB"/>
        </w:rPr>
        <w:t xml:space="preserve">(Field </w:t>
      </w:r>
      <w:r w:rsidR="009E486E" w:rsidRPr="00364D88">
        <w:rPr>
          <w:rFonts w:ascii="Arial" w:hAnsi="Arial" w:cs="Arial"/>
          <w:i/>
          <w:noProof/>
          <w:lang w:val="en-GB"/>
        </w:rPr>
        <w:t>et al.</w:t>
      </w:r>
      <w:r w:rsidR="009E486E" w:rsidRPr="00364D88">
        <w:rPr>
          <w:rFonts w:ascii="Arial" w:hAnsi="Arial" w:cs="Arial"/>
          <w:noProof/>
          <w:lang w:val="en-GB"/>
        </w:rPr>
        <w:t xml:space="preserve">, 1983; Wright </w:t>
      </w:r>
      <w:r w:rsidR="009E486E" w:rsidRPr="00364D88">
        <w:rPr>
          <w:rFonts w:ascii="Arial" w:hAnsi="Arial" w:cs="Arial"/>
          <w:i/>
          <w:noProof/>
          <w:lang w:val="en-GB"/>
        </w:rPr>
        <w:t>et al.</w:t>
      </w:r>
      <w:r w:rsidR="009E486E" w:rsidRPr="00364D88">
        <w:rPr>
          <w:rFonts w:ascii="Arial" w:hAnsi="Arial" w:cs="Arial"/>
          <w:noProof/>
          <w:lang w:val="en-GB"/>
        </w:rPr>
        <w:t xml:space="preserve">, 2004; Domingues </w:t>
      </w:r>
      <w:r w:rsidR="009E486E" w:rsidRPr="00364D88">
        <w:rPr>
          <w:rFonts w:ascii="Arial" w:hAnsi="Arial" w:cs="Arial"/>
          <w:i/>
          <w:noProof/>
          <w:lang w:val="en-GB"/>
        </w:rPr>
        <w:t>et al.</w:t>
      </w:r>
      <w:r w:rsidR="009E486E" w:rsidRPr="00364D88">
        <w:rPr>
          <w:rFonts w:ascii="Arial" w:hAnsi="Arial" w:cs="Arial"/>
          <w:noProof/>
          <w:lang w:val="en-GB"/>
        </w:rPr>
        <w:t>, 2010)</w:t>
      </w:r>
      <w:r w:rsidR="002651B0" w:rsidRPr="00364D88">
        <w:rPr>
          <w:rFonts w:ascii="Arial" w:hAnsi="Arial" w:cs="Arial"/>
          <w:lang w:val="en-GB"/>
        </w:rPr>
        <w:fldChar w:fldCharType="end"/>
      </w:r>
      <w:r w:rsidR="002651B0" w:rsidRPr="00364D88">
        <w:rPr>
          <w:rFonts w:ascii="Arial" w:hAnsi="Arial" w:cs="Arial"/>
          <w:lang w:val="en-GB"/>
        </w:rPr>
        <w:t xml:space="preserve"> and lower C losses by the emission of volatile organic compounds</w:t>
      </w:r>
      <w:r w:rsidR="009E486E" w:rsidRPr="00364D88">
        <w:rPr>
          <w:rFonts w:ascii="Arial" w:hAnsi="Arial" w:cs="Arial"/>
          <w:lang w:val="en-GB"/>
        </w:rPr>
        <w:t xml:space="preserve"> </w:t>
      </w:r>
      <w:r w:rsidR="002651B0"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10.1111/nph.14889","ISSN":"0028646X","author":[{"dropping-particle":"","family":"Fernández-Martínez","given":"Marcos","non-dropping-particle":"","parse-names":false,"suffix":""},{"dropping-particle":"","family":"Llusià","given":"Joan","non-dropping-particle":"","parse-names":false,"suffix":""},{"dropping-particle":"","family":"Filella","given":"Iolanda","non-dropping-particle":"","parse-names":false,"suffix":""},{"dropping-particle":"","family":"Niinemets","given":"Ülo","non-dropping-particle":"","parse-names":false,"suffix":""},{"dropping-particle":"","family":"Arneth","given":"Almut","non-dropping-particle":"","parse-names":false,"suffix":""},{"dropping-particle":"","family":"Wright","given":"Ian J.","non-dropping-particle":"","parse-names":false,"suffix":""},{"dropping-particle":"","family":"Loreto","given":"Francesco","non-dropping-particle":"","parse-names":false,"suffix":""},{"dropping-particle":"","family":"Peñuelas","given":"Josep","non-dropping-particle":"","parse-names":false,"suffix":""}],"container-title":"New Phytologist","id":"ITEM-1","issue":"3","issued":{"date-parts":[["2018"]]},"page":"773-784","title":"Nutrient-rich plants emit a less intense blend of volatile isoprenoids","type":"article-journal","volume":"220"},"uris":["http://www.mendeley.com/documents/?uuid=4d8ee43f-390e-4fc5-96b7-2ccc6707ba82"]}],"mendeley":{"formattedCitation":"(Fernández-Martínez &lt;i&gt;et al.&lt;/i&gt;, 2018a)","plainTextFormattedCitation":"(Fernández-Martínez et al., 2018a)","previouslyFormattedCitation":"(Fernández-Martínez &lt;i&gt;et al.&lt;/i&gt;, 2018a)"},"properties":{"noteIndex":0},"schema":"https://github.com/citation-style-language/schema/raw/master/csl-citation.json"}</w:instrText>
      </w:r>
      <w:r w:rsidR="002651B0" w:rsidRPr="00364D88">
        <w:rPr>
          <w:rFonts w:ascii="Arial" w:hAnsi="Arial" w:cs="Arial"/>
          <w:lang w:val="en-GB"/>
        </w:rPr>
        <w:fldChar w:fldCharType="separate"/>
      </w:r>
      <w:r w:rsidR="009E486E" w:rsidRPr="00364D88">
        <w:rPr>
          <w:rFonts w:ascii="Arial" w:hAnsi="Arial" w:cs="Arial"/>
          <w:noProof/>
          <w:lang w:val="en-GB"/>
        </w:rPr>
        <w:t xml:space="preserve">(Fernández-Martínez </w:t>
      </w:r>
      <w:r w:rsidR="009E486E" w:rsidRPr="00364D88">
        <w:rPr>
          <w:rFonts w:ascii="Arial" w:hAnsi="Arial" w:cs="Arial"/>
          <w:i/>
          <w:noProof/>
          <w:lang w:val="en-GB"/>
        </w:rPr>
        <w:t>et al.</w:t>
      </w:r>
      <w:r w:rsidR="009E486E" w:rsidRPr="00364D88">
        <w:rPr>
          <w:rFonts w:ascii="Arial" w:hAnsi="Arial" w:cs="Arial"/>
          <w:noProof/>
          <w:lang w:val="en-GB"/>
        </w:rPr>
        <w:t>, 2018a)</w:t>
      </w:r>
      <w:r w:rsidR="002651B0" w:rsidRPr="00364D88">
        <w:rPr>
          <w:rFonts w:ascii="Arial" w:hAnsi="Arial" w:cs="Arial"/>
          <w:lang w:val="en-GB"/>
        </w:rPr>
        <w:fldChar w:fldCharType="end"/>
      </w:r>
      <w:r w:rsidR="002D0D6B" w:rsidRPr="00364D88">
        <w:rPr>
          <w:rFonts w:ascii="Arial" w:hAnsi="Arial"/>
          <w:lang w:val="en-US"/>
        </w:rPr>
        <w:t xml:space="preserve">. </w:t>
      </w:r>
      <w:r w:rsidR="00C600D9" w:rsidRPr="00364D88">
        <w:rPr>
          <w:rFonts w:ascii="Arial" w:hAnsi="Arial"/>
          <w:lang w:val="en-GB"/>
        </w:rPr>
        <w:t xml:space="preserve">However, the direct link between </w:t>
      </w:r>
      <w:r w:rsidR="00B629E1" w:rsidRPr="00364D88">
        <w:rPr>
          <w:rFonts w:ascii="Arial" w:hAnsi="Arial"/>
          <w:lang w:val="en-GB"/>
        </w:rPr>
        <w:t>community-weighted</w:t>
      </w:r>
      <w:r w:rsidR="00C600D9" w:rsidRPr="00364D88">
        <w:rPr>
          <w:rFonts w:ascii="Arial" w:hAnsi="Arial"/>
          <w:lang w:val="en-GB"/>
        </w:rPr>
        <w:t xml:space="preserve"> elemental composition and </w:t>
      </w:r>
      <w:r w:rsidR="00B27907" w:rsidRPr="00364D88">
        <w:rPr>
          <w:rFonts w:ascii="Arial" w:hAnsi="Arial"/>
          <w:lang w:val="en-GB"/>
        </w:rPr>
        <w:t>C</w:t>
      </w:r>
      <w:r w:rsidR="00C600D9" w:rsidRPr="00364D88">
        <w:rPr>
          <w:rFonts w:ascii="Arial" w:hAnsi="Arial"/>
          <w:lang w:val="en-GB"/>
        </w:rPr>
        <w:t xml:space="preserve"> balance still remains elusive.</w:t>
      </w:r>
    </w:p>
    <w:p w14:paraId="131B6DA0" w14:textId="6EFF4018" w:rsidR="00D1013D" w:rsidRPr="00364D88" w:rsidRDefault="0082249B" w:rsidP="006F6994">
      <w:pPr>
        <w:spacing w:line="360" w:lineRule="auto"/>
        <w:jc w:val="both"/>
        <w:outlineLvl w:val="0"/>
        <w:rPr>
          <w:rFonts w:ascii="Arial" w:hAnsi="Arial"/>
          <w:lang w:val="en-GB"/>
        </w:rPr>
      </w:pPr>
      <w:r w:rsidRPr="00364D88">
        <w:rPr>
          <w:rFonts w:ascii="Arial" w:hAnsi="Arial"/>
          <w:lang w:val="en-GB"/>
        </w:rPr>
        <w:t>Hence, t</w:t>
      </w:r>
      <w:r w:rsidR="00B35450" w:rsidRPr="00364D88">
        <w:rPr>
          <w:rFonts w:ascii="Arial" w:hAnsi="Arial"/>
          <w:lang w:val="en-GB"/>
        </w:rPr>
        <w:t>he goal of this study was to assess</w:t>
      </w:r>
      <w:r w:rsidR="00B629E1" w:rsidRPr="00364D88">
        <w:rPr>
          <w:rFonts w:ascii="Arial" w:hAnsi="Arial"/>
          <w:lang w:val="en-GB"/>
        </w:rPr>
        <w:t xml:space="preserve"> the importance</w:t>
      </w:r>
      <w:r w:rsidR="00B35450" w:rsidRPr="00364D88">
        <w:rPr>
          <w:rFonts w:ascii="Arial" w:hAnsi="Arial"/>
          <w:lang w:val="en-GB"/>
        </w:rPr>
        <w:t xml:space="preserve">, for the first time, </w:t>
      </w:r>
      <w:r w:rsidR="00B629E1" w:rsidRPr="00364D88">
        <w:rPr>
          <w:rFonts w:ascii="Arial" w:hAnsi="Arial"/>
          <w:lang w:val="en-GB"/>
        </w:rPr>
        <w:t xml:space="preserve">of </w:t>
      </w:r>
      <w:r w:rsidR="00B35450" w:rsidRPr="00364D88">
        <w:rPr>
          <w:rFonts w:ascii="Arial" w:hAnsi="Arial"/>
          <w:lang w:val="en-GB"/>
        </w:rPr>
        <w:t xml:space="preserve">the effects of </w:t>
      </w:r>
      <w:r w:rsidR="00B629E1" w:rsidRPr="00364D88">
        <w:rPr>
          <w:rFonts w:ascii="Arial" w:hAnsi="Arial"/>
          <w:lang w:val="en-GB"/>
        </w:rPr>
        <w:t xml:space="preserve">climate, endogenous factors (i.e., </w:t>
      </w:r>
      <w:r w:rsidR="00071D38" w:rsidRPr="00364D88">
        <w:rPr>
          <w:rFonts w:ascii="Arial" w:hAnsi="Arial"/>
          <w:lang w:val="en-GB"/>
        </w:rPr>
        <w:t xml:space="preserve">ecosystem </w:t>
      </w:r>
      <w:r w:rsidR="00B629E1" w:rsidRPr="00364D88">
        <w:rPr>
          <w:rFonts w:ascii="Arial" w:hAnsi="Arial"/>
          <w:lang w:val="en-GB"/>
        </w:rPr>
        <w:t>type , productivity</w:t>
      </w:r>
      <w:r w:rsidR="006911CA" w:rsidRPr="00364D88">
        <w:rPr>
          <w:rFonts w:ascii="Arial" w:hAnsi="Arial"/>
          <w:lang w:val="en-GB"/>
        </w:rPr>
        <w:t xml:space="preserve"> and stand age</w:t>
      </w:r>
      <w:r w:rsidR="00B629E1" w:rsidRPr="00364D88">
        <w:rPr>
          <w:rFonts w:ascii="Arial" w:hAnsi="Arial"/>
          <w:lang w:val="en-GB"/>
        </w:rPr>
        <w:t xml:space="preserve">), </w:t>
      </w:r>
      <w:r w:rsidR="00B35450" w:rsidRPr="00364D88">
        <w:rPr>
          <w:rFonts w:ascii="Arial" w:hAnsi="Arial"/>
          <w:lang w:val="en-GB"/>
        </w:rPr>
        <w:t>diversity and elemental stoichiometry on ecosystem C balance</w:t>
      </w:r>
      <w:r w:rsidR="00071D38" w:rsidRPr="00364D88">
        <w:rPr>
          <w:rFonts w:ascii="Arial" w:hAnsi="Arial"/>
          <w:lang w:val="en-GB"/>
        </w:rPr>
        <w:t>s</w:t>
      </w:r>
      <w:r w:rsidR="00B35450" w:rsidRPr="00364D88">
        <w:rPr>
          <w:rFonts w:ascii="Arial" w:hAnsi="Arial"/>
          <w:lang w:val="en-GB"/>
        </w:rPr>
        <w:t xml:space="preserve">. </w:t>
      </w:r>
      <w:r w:rsidR="00D1013D" w:rsidRPr="00364D88">
        <w:rPr>
          <w:rFonts w:ascii="Arial" w:hAnsi="Arial"/>
          <w:lang w:val="en-GB"/>
        </w:rPr>
        <w:t xml:space="preserve">We here hypothesised that, once the effect of climate </w:t>
      </w:r>
      <w:r w:rsidR="00B629E1" w:rsidRPr="00364D88">
        <w:rPr>
          <w:rFonts w:ascii="Arial" w:hAnsi="Arial"/>
          <w:lang w:val="en-GB"/>
        </w:rPr>
        <w:t>and endogenous factors are</w:t>
      </w:r>
      <w:r w:rsidR="00D1013D" w:rsidRPr="00364D88">
        <w:rPr>
          <w:rFonts w:ascii="Arial" w:hAnsi="Arial"/>
          <w:lang w:val="en-GB"/>
        </w:rPr>
        <w:t xml:space="preserve"> accounted for, larger and less interannually variable C fluxes (</w:t>
      </w:r>
      <w:r w:rsidR="004F04DE" w:rsidRPr="00364D88">
        <w:rPr>
          <w:rFonts w:ascii="Arial" w:hAnsi="Arial"/>
          <w:lang w:val="en-GB"/>
        </w:rPr>
        <w:t>GPP, Re, NEP, their interannual variabilites: GPP</w:t>
      </w:r>
      <w:r w:rsidR="004F04DE" w:rsidRPr="00364D88">
        <w:rPr>
          <w:rFonts w:ascii="Arial" w:hAnsi="Arial"/>
          <w:vertAlign w:val="subscript"/>
          <w:lang w:val="en-GB"/>
        </w:rPr>
        <w:t>IAV</w:t>
      </w:r>
      <w:r w:rsidR="004F04DE" w:rsidRPr="00364D88">
        <w:rPr>
          <w:rFonts w:ascii="Arial" w:hAnsi="Arial"/>
          <w:lang w:val="en-GB"/>
        </w:rPr>
        <w:t>, Re</w:t>
      </w:r>
      <w:r w:rsidR="004F04DE" w:rsidRPr="00364D88">
        <w:rPr>
          <w:rFonts w:ascii="Arial" w:hAnsi="Arial"/>
          <w:vertAlign w:val="subscript"/>
          <w:lang w:val="en-GB"/>
        </w:rPr>
        <w:t>IAV</w:t>
      </w:r>
      <w:r w:rsidR="004F04DE" w:rsidRPr="00364D88">
        <w:rPr>
          <w:rFonts w:ascii="Arial" w:hAnsi="Arial"/>
          <w:lang w:val="en-GB"/>
        </w:rPr>
        <w:t xml:space="preserve"> and NEP</w:t>
      </w:r>
      <w:r w:rsidR="004F04DE" w:rsidRPr="00364D88">
        <w:rPr>
          <w:rFonts w:ascii="Arial" w:hAnsi="Arial"/>
          <w:vertAlign w:val="subscript"/>
          <w:lang w:val="en-GB"/>
        </w:rPr>
        <w:t>IAV</w:t>
      </w:r>
      <w:r w:rsidR="004F04DE" w:rsidRPr="00364D88">
        <w:rPr>
          <w:rFonts w:ascii="Arial" w:hAnsi="Arial"/>
          <w:lang w:val="en-GB"/>
        </w:rPr>
        <w:t>, and CUEe</w:t>
      </w:r>
      <w:r w:rsidR="00D1013D" w:rsidRPr="00364D88">
        <w:rPr>
          <w:rFonts w:ascii="Arial" w:hAnsi="Arial"/>
          <w:lang w:val="en-GB"/>
        </w:rPr>
        <w:t xml:space="preserve">) will be found in sites with </w:t>
      </w:r>
      <w:r w:rsidR="0004209C" w:rsidRPr="00364D88">
        <w:rPr>
          <w:rFonts w:ascii="Arial" w:hAnsi="Arial"/>
          <w:lang w:val="en-GB"/>
        </w:rPr>
        <w:t>higher</w:t>
      </w:r>
      <w:r w:rsidR="00D1013D" w:rsidRPr="00364D88">
        <w:rPr>
          <w:rFonts w:ascii="Arial" w:hAnsi="Arial"/>
          <w:lang w:val="en-GB"/>
        </w:rPr>
        <w:t xml:space="preserve"> diversity</w:t>
      </w:r>
      <w:r w:rsidR="006911CA" w:rsidRPr="00364D88">
        <w:rPr>
          <w:rFonts w:ascii="Arial" w:hAnsi="Arial"/>
          <w:lang w:val="en-GB"/>
        </w:rPr>
        <w:t xml:space="preserve"> (species and phylogenetic diversity)</w:t>
      </w:r>
      <w:r w:rsidR="00D1013D" w:rsidRPr="00364D88">
        <w:rPr>
          <w:rFonts w:ascii="Arial" w:hAnsi="Arial"/>
          <w:lang w:val="en-GB"/>
        </w:rPr>
        <w:t xml:space="preserve">. Similarly, we hypothesised that </w:t>
      </w:r>
      <w:r w:rsidR="006D07CD" w:rsidRPr="00364D88">
        <w:rPr>
          <w:rFonts w:ascii="Arial" w:hAnsi="Arial"/>
          <w:lang w:val="en-GB"/>
        </w:rPr>
        <w:t>larger</w:t>
      </w:r>
      <w:r w:rsidR="00D1013D" w:rsidRPr="00364D88">
        <w:rPr>
          <w:rFonts w:ascii="Arial" w:hAnsi="Arial"/>
          <w:lang w:val="en-GB"/>
        </w:rPr>
        <w:t xml:space="preserve"> and </w:t>
      </w:r>
      <w:r w:rsidR="001F4332" w:rsidRPr="00364D88">
        <w:rPr>
          <w:rFonts w:ascii="Arial" w:hAnsi="Arial"/>
          <w:lang w:val="en-GB"/>
        </w:rPr>
        <w:t>less variable</w:t>
      </w:r>
      <w:r w:rsidR="00D1013D" w:rsidRPr="00364D88">
        <w:rPr>
          <w:rFonts w:ascii="Arial" w:hAnsi="Arial"/>
          <w:lang w:val="en-GB"/>
        </w:rPr>
        <w:t xml:space="preserve"> </w:t>
      </w:r>
      <w:r w:rsidR="006D07CD" w:rsidRPr="00364D88">
        <w:rPr>
          <w:rFonts w:ascii="Arial" w:hAnsi="Arial"/>
          <w:lang w:val="en-GB"/>
        </w:rPr>
        <w:t xml:space="preserve">C fluxes </w:t>
      </w:r>
      <w:r w:rsidR="00D1013D" w:rsidRPr="00364D88">
        <w:rPr>
          <w:rFonts w:ascii="Arial" w:hAnsi="Arial"/>
          <w:lang w:val="en-GB"/>
        </w:rPr>
        <w:t xml:space="preserve">will be </w:t>
      </w:r>
      <w:r w:rsidR="001F4332" w:rsidRPr="00364D88">
        <w:rPr>
          <w:rFonts w:ascii="Arial" w:hAnsi="Arial"/>
          <w:lang w:val="en-GB"/>
        </w:rPr>
        <w:t>associated with</w:t>
      </w:r>
      <w:r w:rsidR="00D1013D" w:rsidRPr="00364D88">
        <w:rPr>
          <w:rFonts w:ascii="Arial" w:hAnsi="Arial"/>
          <w:lang w:val="en-GB"/>
        </w:rPr>
        <w:t xml:space="preserve"> higher </w:t>
      </w:r>
      <w:r w:rsidR="006911CA" w:rsidRPr="00364D88">
        <w:rPr>
          <w:rFonts w:ascii="Arial" w:hAnsi="Arial"/>
          <w:lang w:val="en-GB"/>
        </w:rPr>
        <w:t xml:space="preserve">foliar </w:t>
      </w:r>
      <w:r w:rsidR="00D1013D" w:rsidRPr="00364D88">
        <w:rPr>
          <w:rFonts w:ascii="Arial" w:hAnsi="Arial"/>
          <w:lang w:val="en-GB"/>
        </w:rPr>
        <w:t xml:space="preserve">concentrations of N and P at the community level. To test these hypotheses, we used </w:t>
      </w:r>
      <w:r w:rsidR="00D505C5" w:rsidRPr="00364D88">
        <w:rPr>
          <w:rFonts w:ascii="Arial" w:hAnsi="Arial"/>
          <w:lang w:val="en-GB"/>
        </w:rPr>
        <w:t>62</w:t>
      </w:r>
      <w:r w:rsidR="00B35450" w:rsidRPr="00364D88">
        <w:rPr>
          <w:rFonts w:ascii="Arial" w:hAnsi="Arial"/>
          <w:lang w:val="en-GB"/>
        </w:rPr>
        <w:t xml:space="preserve"> eddy-covariance sites included in </w:t>
      </w:r>
      <w:r w:rsidR="00D1013D" w:rsidRPr="00364D88">
        <w:rPr>
          <w:rFonts w:ascii="Arial" w:hAnsi="Arial"/>
          <w:lang w:val="en-GB"/>
        </w:rPr>
        <w:t>the FLUXNET 2015 database</w:t>
      </w:r>
      <w:r w:rsidR="00B35450" w:rsidRPr="00364D88">
        <w:rPr>
          <w:rFonts w:ascii="Arial" w:hAnsi="Arial"/>
          <w:lang w:val="en-GB"/>
        </w:rPr>
        <w:t>,</w:t>
      </w:r>
      <w:r w:rsidR="00CF3FEB" w:rsidRPr="00364D88">
        <w:rPr>
          <w:rFonts w:ascii="Arial" w:hAnsi="Arial"/>
          <w:lang w:val="en-GB"/>
        </w:rPr>
        <w:t xml:space="preserve"> comprising forest, shrubland, savanna and grassland ecosystems</w:t>
      </w:r>
      <w:r w:rsidR="006F2C47" w:rsidRPr="00364D88">
        <w:rPr>
          <w:rFonts w:ascii="Arial" w:hAnsi="Arial"/>
          <w:lang w:val="en-GB"/>
        </w:rPr>
        <w:t xml:space="preserve"> </w:t>
      </w:r>
      <w:r w:rsidR="006F2C47" w:rsidRPr="00364D88">
        <w:rPr>
          <w:rFonts w:ascii="Arial" w:hAnsi="Arial" w:cs="Arial"/>
          <w:lang w:val="en-GB"/>
        </w:rPr>
        <w:t>(</w:t>
      </w:r>
      <w:r w:rsidR="00C823F7">
        <w:rPr>
          <w:rFonts w:ascii="Arial" w:hAnsi="Arial" w:cs="Arial"/>
          <w:b/>
          <w:lang w:val="en-GB"/>
        </w:rPr>
        <w:t>Fig.</w:t>
      </w:r>
      <w:r w:rsidR="006F2C47" w:rsidRPr="00364D88">
        <w:rPr>
          <w:rFonts w:ascii="Arial" w:hAnsi="Arial" w:cs="Arial"/>
          <w:b/>
          <w:lang w:val="en-GB"/>
        </w:rPr>
        <w:t xml:space="preserve"> S1, Table S1</w:t>
      </w:r>
      <w:r w:rsidR="006F2C47" w:rsidRPr="00364D88">
        <w:rPr>
          <w:rFonts w:ascii="Arial" w:hAnsi="Arial" w:cs="Arial"/>
          <w:lang w:val="en-GB"/>
        </w:rPr>
        <w:t>)</w:t>
      </w:r>
      <w:r w:rsidR="00CF3FEB" w:rsidRPr="00364D88">
        <w:rPr>
          <w:rFonts w:ascii="Arial" w:hAnsi="Arial"/>
          <w:lang w:val="en-GB"/>
        </w:rPr>
        <w:t>.</w:t>
      </w:r>
      <w:r w:rsidR="00B35450" w:rsidRPr="00364D88">
        <w:rPr>
          <w:rFonts w:ascii="Arial" w:hAnsi="Arial"/>
          <w:lang w:val="en-GB"/>
        </w:rPr>
        <w:t xml:space="preserve"> </w:t>
      </w:r>
      <w:r w:rsidR="00CF3FEB" w:rsidRPr="00364D88">
        <w:rPr>
          <w:rFonts w:ascii="Arial" w:hAnsi="Arial"/>
          <w:lang w:val="en-GB"/>
        </w:rPr>
        <w:t xml:space="preserve">For all </w:t>
      </w:r>
      <w:r w:rsidR="00556402" w:rsidRPr="00364D88">
        <w:rPr>
          <w:rFonts w:ascii="Arial" w:hAnsi="Arial"/>
          <w:lang w:val="en-GB"/>
        </w:rPr>
        <w:t xml:space="preserve">62 </w:t>
      </w:r>
      <w:r w:rsidR="00CF3FEB" w:rsidRPr="00364D88">
        <w:rPr>
          <w:rFonts w:ascii="Arial" w:hAnsi="Arial"/>
          <w:lang w:val="en-GB"/>
        </w:rPr>
        <w:t xml:space="preserve">sites </w:t>
      </w:r>
      <w:r w:rsidR="00B35450" w:rsidRPr="00364D88">
        <w:rPr>
          <w:rFonts w:ascii="Arial" w:hAnsi="Arial"/>
          <w:lang w:val="en-GB"/>
        </w:rPr>
        <w:t xml:space="preserve">we compiled information regarding their species abundance and </w:t>
      </w:r>
      <w:r w:rsidR="00B629E1" w:rsidRPr="00364D88">
        <w:rPr>
          <w:rFonts w:ascii="Arial" w:hAnsi="Arial"/>
          <w:lang w:val="en-GB"/>
        </w:rPr>
        <w:t>their community-weighted foliar N and P concentrations</w:t>
      </w:r>
      <w:r w:rsidR="00B35450" w:rsidRPr="00364D88">
        <w:rPr>
          <w:rFonts w:ascii="Arial" w:hAnsi="Arial"/>
          <w:lang w:val="en-GB"/>
        </w:rPr>
        <w:t xml:space="preserve">, either measured or inferred for the species present. </w:t>
      </w:r>
    </w:p>
    <w:p w14:paraId="0A014E53" w14:textId="57305432" w:rsidR="00DC679B" w:rsidRPr="00364D88" w:rsidRDefault="003173DE" w:rsidP="00DC679B">
      <w:pPr>
        <w:spacing w:line="360" w:lineRule="auto"/>
        <w:jc w:val="both"/>
        <w:outlineLvl w:val="0"/>
        <w:rPr>
          <w:rFonts w:ascii="Arial" w:hAnsi="Arial"/>
          <w:b/>
          <w:lang w:val="en-GB"/>
        </w:rPr>
      </w:pPr>
      <w:r>
        <w:rPr>
          <w:rFonts w:ascii="Arial" w:hAnsi="Arial"/>
          <w:b/>
          <w:lang w:val="en-GB"/>
        </w:rPr>
        <w:t>Materials and m</w:t>
      </w:r>
      <w:r w:rsidR="00DC679B" w:rsidRPr="00364D88">
        <w:rPr>
          <w:rFonts w:ascii="Arial" w:hAnsi="Arial"/>
          <w:b/>
          <w:lang w:val="en-GB"/>
        </w:rPr>
        <w:t>ethods</w:t>
      </w:r>
    </w:p>
    <w:p w14:paraId="6F266A91" w14:textId="77777777" w:rsidR="00DC679B" w:rsidRPr="00364D88" w:rsidRDefault="00DC679B" w:rsidP="00DC679B">
      <w:pPr>
        <w:spacing w:line="360" w:lineRule="auto"/>
        <w:jc w:val="both"/>
        <w:outlineLvl w:val="0"/>
        <w:rPr>
          <w:rFonts w:ascii="Arial" w:hAnsi="Arial"/>
          <w:i/>
          <w:lang w:val="en-GB"/>
        </w:rPr>
      </w:pPr>
      <w:r w:rsidRPr="00364D88">
        <w:rPr>
          <w:rFonts w:ascii="Arial" w:hAnsi="Arial"/>
          <w:i/>
          <w:lang w:val="en-GB"/>
        </w:rPr>
        <w:t>Datasets</w:t>
      </w:r>
    </w:p>
    <w:p w14:paraId="2FD32128" w14:textId="77777777" w:rsidR="00DC679B" w:rsidRPr="00364D88" w:rsidRDefault="00DC679B" w:rsidP="00DC679B">
      <w:pPr>
        <w:spacing w:line="360" w:lineRule="auto"/>
        <w:jc w:val="both"/>
        <w:outlineLvl w:val="0"/>
        <w:rPr>
          <w:rFonts w:ascii="Arial" w:hAnsi="Arial"/>
          <w:u w:val="single"/>
          <w:lang w:val="en-GB"/>
        </w:rPr>
      </w:pPr>
      <w:r w:rsidRPr="00364D88">
        <w:rPr>
          <w:rFonts w:ascii="Arial" w:hAnsi="Arial" w:cs="Arial"/>
          <w:u w:val="single"/>
          <w:lang w:val="en-GB"/>
        </w:rPr>
        <w:lastRenderedPageBreak/>
        <w:t>Carbon fluxes and climate data</w:t>
      </w:r>
    </w:p>
    <w:p w14:paraId="68F71672" w14:textId="47B650B4" w:rsidR="00103339" w:rsidRPr="00364D88" w:rsidRDefault="00DC679B" w:rsidP="00DC679B">
      <w:pPr>
        <w:spacing w:line="360" w:lineRule="auto"/>
        <w:jc w:val="both"/>
        <w:outlineLvl w:val="0"/>
        <w:rPr>
          <w:rFonts w:ascii="Arial" w:hAnsi="Arial" w:cs="Arial"/>
          <w:lang w:val="en-GB"/>
        </w:rPr>
      </w:pPr>
      <w:r w:rsidRPr="00364D88">
        <w:rPr>
          <w:rFonts w:ascii="Arial" w:hAnsi="Arial" w:cs="Arial"/>
          <w:lang w:val="en-GB"/>
        </w:rPr>
        <w:t>We downloaded monthly weather and C flux (GPP, Re and NEP) data from eddy-covariance towers from the FLUXNET 2015 dataset (Tier 2), (</w:t>
      </w:r>
      <w:hyperlink r:id="rId9" w:history="1">
        <w:r w:rsidRPr="00364D88">
          <w:rPr>
            <w:rStyle w:val="Hipervnculo"/>
            <w:rFonts w:ascii="Arial" w:hAnsi="Arial" w:cs="Arial"/>
            <w:lang w:val="en-GB"/>
          </w:rPr>
          <w:t>http://fluxnet.fluxdata.org/data/download-data</w:t>
        </w:r>
      </w:hyperlink>
      <w:r w:rsidRPr="00364D88">
        <w:rPr>
          <w:rFonts w:ascii="Arial" w:hAnsi="Arial" w:cs="Arial"/>
          <w:lang w:val="en-GB"/>
        </w:rPr>
        <w:t>)</w:t>
      </w:r>
      <w:r w:rsidR="00114B12" w:rsidRPr="00364D88">
        <w:rPr>
          <w:rFonts w:ascii="Arial" w:hAnsi="Arial" w:cs="Arial"/>
          <w:lang w:val="en-GB"/>
        </w:rPr>
        <w:t xml:space="preserve"> </w:t>
      </w:r>
      <w:r w:rsidR="00114B12" w:rsidRPr="00364D88">
        <w:rPr>
          <w:rFonts w:ascii="Arial" w:hAnsi="Arial" w:cs="Arial"/>
          <w:lang w:val="en-GB"/>
        </w:rPr>
        <w:fldChar w:fldCharType="begin" w:fldLock="1"/>
      </w:r>
      <w:r w:rsidR="00CC4118" w:rsidRPr="00364D88">
        <w:rPr>
          <w:rFonts w:ascii="Arial" w:hAnsi="Arial" w:cs="Arial"/>
          <w:lang w:val="en-GB"/>
        </w:rPr>
        <w:instrText>ADDIN CSL_CITATION {"citationItems":[{"id":"ITEM-1","itemData":{"DOI":"10.1038/s41597-020-0534-3","ISSN":"2052-4463","author":[{"dropping-particle":"","family":"Pastorello","given":"Gilberto","non-dropping-particle":"","parse-names":false,"suffix":""},{"dropping-particle":"","family":"Trotta","given":"Carlo","non-dropping-particle":"","parse-names":false,"suffix":""},{"dropping-particle":"","family":"Canfora","given":"Eleonora","non-dropping-particle":"","parse-names":false,"suffix":""},{"dropping-particle":"","family":"Chu","given":"Housen","non-dropping-particle":"","parse-names":false,"suffix":""},{"dropping-particle":"","family":"Christianson","given":"Danielle","non-dropping-particle":"","parse-names":false,"suffix":""},{"dropping-particle":"","family":"Cheah","given":"You-Wei","non-dropping-particle":"","parse-names":false,"suffix":""},{"dropping-particle":"","family":"Poindexter","given":"Cristina","non-dropping-particle":"","parse-names":false,"suffix":""},{"dropping-particle":"","family":"Chen","given":"Jiquan","non-dropping-particle":"","parse-names":false,"suffix":""},{"dropping-particle":"","family":"Elbashandy","given":"Abdelrahman","non-dropping-particle":"","parse-names":false,"suffix":""},{"dropping-particle":"","family":"Humphrey","given":"Marty","non-dropping-particle":"","parse-names":false,"suffix":""},{"dropping-particle":"","family":"Isaac","given":"Peter","non-dropping-particle":"","parse-names":false,"suffix":""},{"dropping-particle":"","family":"Polidori","given":"Diego","non-dropping-particle":"","parse-names":false,"suffix":""},{"dropping-particle":"","family":"Ribeca","given":"Alessio","non-dropping-particle":"","parse-names":false,"suffix":""},{"dropping-particle":"","family":"Ingen","given":"Catharine","non-dropping-particle":"van","parse-names":false,"suffix":""},{"dropping-particle":"","family":"Zhang","given":"Leiming","non-dropping-particle":"","parse-names":false,"suffix":""},{"dropping-particle":"","family":"Amiro","given":"Brian","non-dropping-particle":"","parse-names":false,"suffix":""},{"dropping-particle":"","family":"Ammann","given":"Christof","non-dropping-particle":"","parse-names":false,"suffix":""},{"dropping-particle":"","family":"Arain","given":"M. Altaf","non-dropping-particle":"","parse-names":false,"suffix":""},{"dropping-particle":"","family":"Ardö","given":"Jonas","non-dropping-particle":"","parse-names":false,"suffix":""},{"dropping-particle":"","family":"Arkebauer","given":"Timothy","non-dropping-particle":"","parse-names":false,"suffix":""},{"dropping-particle":"","family":"Arndt","given":"Stefan K.","non-dropping-particle":"","parse-names":false,"suffix":""},{"dropping-particle":"","family":"Arriga","given":"Nicola","non-dropping-particle":"","parse-names":false,"suffix":""},{"dropping-particle":"","family":"Aubinet","given":"Marc","non-dropping-particle":"","parse-names":false,"suffix":""},{"dropping-particle":"","family":"Aurela","given":"Mika","non-dropping-particle":"","parse-names":false,"suffix":""},{"dropping-particle":"","family":"Baldocchi","given":"Dennis","non-dropping-particle":"","parse-names":false,"suffix":""},{"dropping-particle":"","family":"Barr","given":"Alan","non-dropping-particle":"","parse-names":false,"suffix":""},{"dropping-particle":"","family":"Beamesderfer","given":"Eric","non-dropping-particle":"","parse-names":false,"suffix":""},{"dropping-particle":"","family":"Marchesini","given":"Luca Belelli","non-dropping-particle":"","parse-names":false,"suffix":""},{"dropping-particle":"","family":"Bergeron","given":"Onil","non-dropping-particle":"","parse-names":false,"suffix":""},{"dropping-particle":"","family":"Beringer","given":"Jason","non-dropping-particle":"","parse-names":false,"suffix":""},{"dropping-particle":"","family":"Bernhofer","given":"Christian","non-dropping-particle":"","parse-names":false,"suffix":""},{"dropping-particle":"","family":"Berveiller","given":"Daniel","non-dropping-particle":"","parse-names":false,"suffix":""},{"dropping-particle":"","family":"Billesbach","given":"Dave","non-dropping-particle":"","parse-names":false,"suffix":""},{"dropping-particle":"","family":"Black","given":"Thomas Andrew","non-dropping-particle":"","parse-names":false,"suffix":""},{"dropping-particle":"","family":"Blanken","given":"Peter D.","non-dropping-particle":"","parse-names":false,"suffix":""},{"dropping-particle":"","family":"Bohrer","given":"Gil","non-dropping-particle":"","parse-names":false,"suffix":""},{"dropping-particle":"","family":"Boike","given":"Julia","non-dropping-particle":"","parse-names":false,"suffix":""},{"dropping-particle":"V.","family":"Bolstad","given":"Paul","non-dropping-particle":"","parse-names":false,"suffix":""},{"dropping-particle":"","family":"Bonal","given":"Damien","non-dropping-particle":"","parse-names":false,"suffix":""},{"dropping-particle":"","family":"Bonnefond","given":"Jean-Marc","non-dropping-particle":"","parse-names":false,"suffix":""},{"dropping-particle":"","family":"Bowling","given":"David R.","non-dropping-particle":"","parse-names":false,"suffix":""},{"dropping-particle":"","family":"Bracho","given":"Rosvel","non-dropping-particle":"","parse-names":false,"suffix":""},{"dropping-particle":"","family":"Brodeur","given":"Jason","non-dropping-particle":"","parse-names":false,"suffix":""},{"dropping-particle":"","family":"Brümmer","given":"Christian","non-dropping-particle":"","parse-names":false,"suffix":""},{"dropping-particle":"","family":"Buchmann","given":"Nina","non-dropping-particle":"","parse-names":false,"suffix":""},{"dropping-particle":"","family":"Burban","given":"Benoit","non-dropping-particle":"","parse-names":false,"suffix":""},{"dropping-particle":"","family":"Burns","given":"Sean P.","non-dropping-particle":"","parse-names":false,"suffix":""},{"dropping-particle":"","family":"Buysse","given":"Pauline","non-dropping-particle":"","parse-names":false,"suffix":""},{"dropping-particle":"","family":"Cale","given":"Peter","non-dropping-particle":"","parse-names":false,"suffix":""},{"dropping-particle":"","family":"Cavagna","given":"Mauro","non-dropping-particle":"","parse-names":false,"suffix":""},{"dropping-particle":"","family":"Cellier","given":"Pierre","non-dropping-particle":"","parse-names":false,"suffix":""},{"dropping-particle":"","family":"Chen","given":"Shiping","non-dropping-particle":"","parse-names":false,"suffix":""},{"dropping-particle":"","family":"Chini","given":"Isaac","non-dropping-particle":"","parse-names":false,"suffix":""},{"dropping-particle":"","family":"Christensen","given":"Torben R.","non-dropping-particle":"","parse-names":false,"suffix":""},{"dropping-particle":"","family":"Cleverly","given":"James","non-dropping-particle":"","parse-names":false,"suffix":""},{"dropping-particle":"","family":"Collalti","given":"Alessio","non-dropping-particle":"","parse-names":false,"suffix":""},{"dropping-particle":"","family":"Consalvo","given":"Claudia","non-dropping-particle":"","parse-names":false,"suffix":""},{"dropping-particle":"","family":"Cook","given":"Bruce D.","non-dropping-particle":"","parse-names":false,"suffix":""},{"dropping-particle":"","family":"Cook","given":"David","non-dropping-particle":"","parse-names":false,"suffix":""},{"dropping-particle":"","family":"Coursolle","given":"Carole","non-dropping-particle":"","parse-names":false,"suffix":""},{"dropping-particle":"","family":"Cremonese","given":"Edoardo","non-dropping-particle":"","parse-names":false,"suffix":""},{"dropping-particle":"","family":"Curtis","given":"Peter S.","non-dropping-particle":"","parse-names":false,"suffix":""},{"dropping-particle":"","family":"D’Andrea","given":"Ettore","non-dropping-particle":"","parse-names":false,"suffix":""},{"dropping-particle":"","family":"Rocha","given":"Humberto","non-dropping-particle":"da","parse-names":false,"suffix":""},{"dropping-particle":"","family":"Dai","given":"Xiaoqin","non-dropping-particle":"","parse-names":false,"suffix":""},{"dropping-particle":"","family":"Davis","given":"Kenneth J.","non-dropping-particle":"","parse-names":false,"suffix":""},{"dropping-particle":"","family":"Cinti","given":"Bruno","non-dropping-particle":"De","parse-names":false,"suffix":""},{"dropping-particle":"","family":"Grandcourt","given":"Agnes","non-dropping-particle":"de","parse-names":false,"suffix":""},{"dropping-particle":"","family":"Ligne","given":"Anne","non-dropping-particle":"De","parse-names":false,"suffix":""},{"dropping-particle":"","family":"Oliveira","given":"Raimundo C.","non-dropping-particle":"De","parse-names":false,"suffix":""},{"dropping-particle":"","family":"Delpierre","given":"Nicolas","non-dropping-particle":"","parse-names":false,"suffix":""},{"dropping-particle":"","family":"Desai","given":"Ankur R.","non-dropping-particle":"","parse-names":false,"suffix":""},{"dropping-particle":"","family":"Bella","given":"Carlos Marcelo","non-dropping-particle":"Di","parse-names":false,"suffix":""},{"dropping-particle":"","family":"Tommasi","given":"Paul","non-dropping-particle":"di","parse-names":false,"suffix":""},{"dropping-particle":"","family":"Dolman","given":"Han","non-dropping-particle":"","parse-names":false,"suffix":""},{"dropping-particle":"","family":"Domingo","given":"Francisco","non-dropping-particle":"","parse-names":false,"suffix":""},{"dropping-particle":"","family":"Dong","given":"Gang","non-dropping-particle":"","parse-names":false,"suffix":""},{"dropping-particle":"","family":"Dore","given":"Sabina","non-dropping-particle":"","parse-names":false,"suffix":""},{"dropping-particle":"","family":"Duce","given":"Pierpaolo","non-dropping-particle":"","parse-names":false,"suffix":""},{"dropping-particle":"","family":"Dufrêne","given":"Eric","non-dropping-particle":"","parse-names":false,"suffix":""},{"dropping-particle":"","family":"Dunn","given":"Allison","non-dropping-particle":"","parse-names":false,"suffix":""},{"dropping-particle":"","family":"Dušek","given":"Jiří","non-dropping-particle":"","parse-names":false,"suffix":""},{"dropping-particle":"","family":"Eamus","given":"Derek","non-dropping-particle":"","parse-names":false,"suffix":""},{"dropping-particle":"","family":"Eichelmann","given":"Uwe","non-dropping-particle":"","parse-names":false,"suffix":""},{"dropping-particle":"","family":"ElKhidir","given":"Hatim Abdalla M.","non-dropping-particle":"","parse-names":false,"suffix":""},{"dropping-particle":"","family":"Eugster","given":"Werner","non-dropping-particle":"","parse-names":false,"suffix":""},{"dropping-particle":"","family":"Ewenz","given":"Cacilia M.","non-dropping-particle":"","parse-names":false,"suffix":""},{"dropping-particle":"","family":"Ewers","given":"Brent","non-dropping-particle":"","parse-names":false,"suffix":""},{"dropping-particle":"","family":"Famulari","given":"Daniela","non-dropping-particle":"","parse-names":false,"suffix":""},{"dropping-particle":"","family":"Fares","given":"Silvano","non-dropping-particle":"","parse-names":false,"suffix":""},{"dropping-particle":"","family":"Feigenwinter","given":"Iris","non-dropping-particle":"","parse-names":false,"suffix":""},{"dropping-particle":"","family":"Feitz","given":"Andrew","non-dropping-particle":"","parse-names":false,"suffix":""},{"dropping-particle":"","family":"Fensholt","given":"Rasmus","non-dropping-particle":"","parse-names":false,"suffix":""},{"dropping-particle":"","family":"Filippa","given":"Gianluca","non-dropping-particle":"","parse-names":false,"suffix":""},{"dropping-particle":"","family":"Fischer","given":"Marc","non-dropping-particle":"","parse-names":false,"suffix":""},{"dropping-particle":"","family":"Frank","given":"John","non-dropping-particle":"","parse-names":false,"suffix":""},{"dropping-particle":"","family":"Galvagno","given":"Marta","non-dropping-particle":"","parse-names":false,"suffix":""},{"dropping-particle":"","family":"Gharun","given":"Mana","non-dropping-particle":"","parse-names":false,"suffix":""},{"dropping-particle":"","family":"Gianelle","given":"Damiano","non-dropping-particle":"","parse-names":false,"suffix":""},{"dropping-particle":"","family":"Gielen","given":"Bert","non-dropping-particle":"","parse-names":false,"suffix":""},{"dropping-particle":"","family":"Gioli","given":"Beniamino","non-dropping-particle":"","parse-names":false,"suffix":""},{"dropping-particle":"","family":"Gitelson","given":"Anatoly","non-dropping-particle":"","parse-names":false,"suffix":""},{"dropping-particle":"","family":"Goded","given":"Ignacio","non-dropping-particle":"","parse-names":false,"suffix":""},{"dropping-particle":"","family":"Goeckede","given":"Mathias","non-dropping-particle":"","parse-names":false,"suffix":""},{"dropping-particle":"","family":"Goldstein","given":"Allen H.","non-dropping-particle":"","parse-names":false,"suffix":""},{"dropping-particle":"","family":"Gough","given":"Christopher M.","non-dropping-particle":"","parse-names":false,"suffix":""},{"dropping-particle":"","family":"Goulden","given":"Michael L.","non-dropping-particle":"","parse-names":false,"suffix":""},{"dropping-particle":"","family":"Graf","given":"Alexander","non-dropping-particle":"","parse-names":false,"suffix":""},{"dropping-particle":"","family":"Griebel","given":"Anne","non-dropping-particle":"","parse-names":false,"suffix":""},{"dropping-particle":"","family":"Gruening","given":"Carsten","non-dropping-particle":"","parse-names":false,"suffix":""},{"dropping-particle":"","family":"Grünwald","given":"Thomas","non-dropping-particle":"","parse-names":false,"suffix":""},{"dropping-particle":"","family":"Hammerle","given":"Albin","non-dropping-particle":"","parse-names":false,"suffix":""},{"dropping-particle":"","family":"Han","given":"Shijie","non-dropping-particle":"","parse-names":false,"suffix":""},{"dropping-particle":"","family":"Han","given":"Xingguo","non-dropping-particle":"","parse-names":false,"suffix":""},{"dropping-particle":"","family":"Hansen","given":"Birger Ulf","non-dropping-particle":"","parse-names":false,"suffix":""},{"dropping-particle":"","family":"Hanson","given":"Chad","non-dropping-particle":"","parse-names":false,"suffix":""},{"dropping-particle":"","family":"Hatakka","given":"Juha","non-dropping-particle":"","parse-names":false,"suffix":""},{"dropping-particle":"","family":"He","given":"Yongtao","non-dropping-particle":"","parse-names":false,"suffix":""},{"dropping-particle":"","family":"Hehn","given":"Markus","non-dropping-particle":"","parse-names":false,"suffix":""},{"dropping-particle":"","family":"Heinesch","given":"Bernard","non-dropping-particle":"","parse-names":false,"suffix":""},{"dropping-particle":"","family":"Hinko-Najera","given":"Nina","non-dropping-particle":"","parse-names":false,"suffix":""},{"dropping-particle":"","family":"Hörtnagl","given":"Lukas","non-dropping-particle":"","parse-names":false,"suffix":""},{"dropping-particle":"","family":"Hutley","given":"Lindsay","non-dropping-particle":"","parse-names":false,"suffix":""},{"dropping-particle":"","family":"Ibrom","given":"Andreas","non-dropping-particle":"","parse-names":false,"suffix":""},{"dropping-particle":"","family":"Ikawa","given":"Hiroki","non-dropping-particle":"","parse-names":false,"suffix":""},{"dropping-particle":"","family":"Jackowicz-Korczynski","given":"Marcin","non-dropping-particle":"","parse-names":false,"suffix":""},{"dropping-particle":"","family":"Janouš","given":"Dalibor","non-dropping-particle":"","parse-names":false,"suffix":""},{"dropping-particle":"","family":"Jans","given":"Wilma","non-dropping-particle":"","parse-names":false,"suffix":""},{"dropping-particle":"","family":"Jassal","given":"Rachhpal","non-dropping-particle":"","parse-names":false,"suffix":""},{"dropping-particle":"","family":"Jiang","given":"Shicheng","non-dropping-particle":"","parse-names":false,"suffix":""},{"dropping-particle":"","family":"Kato","given":"Tomomichi","non-dropping-particle":"","parse-names":false,"suffix":""},{"dropping-particle":"","family":"Khomik","given":"Myroslava","non-dropping-particle":"","parse-names":false,"suffix":""},{"dropping-particle":"","family":"Klatt","given":"Janina","non-dropping-particle":"","parse-names":false,"suffix":""},{"dropping-particle":"","family":"Knohl","given":"Alexander","non-dropping-particle":"","parse-names":false,"suffix":""},{"dropping-particle":"","family":"Knox","given":"Sara","non-dropping-particle":"","parse-names":false,"suffix":""},{"dropping-particle":"","family":"Kobayashi","given":"Hideki","non-dropping-particle":"","parse-names":false,"suffix":""},{"dropping-particle":"","family":"Koerber","given":"Georgia","non-dropping-particle":"","parse-names":false,"suffix":""},{"dropping-particle":"","family":"Kolle","given":"Olaf","non-dropping-particle":"","parse-names":false,"suffix":""},{"dropping-particle":"","family":"Kosugi","given":"Yoshiko","non-dropping-particle":"","parse-names":false,"suffix":""},{"dropping-particle":"","family":"Kotani","given":"Ayumi","non-dropping-particle":"","parse-names":false,"suffix":""},{"dropping-particle":"","family":"Kowalski","given":"Andrew","non-dropping-particle":"","parse-names":false,"suffix":""},{"dropping-particle":"","family":"Kruijt","given":"Bart","non-dropping-particle":"","parse-names":false,"suffix":""},{"dropping-particle":"","family":"Kurbatova","given":"Julia","non-dropping-particle":"","parse-names":false,"suffix":""},{"dropping-particle":"","family":"Kutsch","given":"Werner L.","non-dropping-particle":"","parse-names":false,"suffix":""},{"dropping-particle":"","family":"Kwon","given":"Hyojung","non-dropping-particle":"","parse-names":false,"suffix":""},{"dropping-particle":"","family":"Launiainen","given":"Samuli","non-dropping-particle":"","parse-names":false,"suffix":""},{"dropping-particle":"","family":"Laurila","given":"Tuomas","non-dropping-particle":"","parse-names":false,"suffix":""},{"dropping-particle":"","family":"Law","given":"Bev","non-dropping-particle":"","parse-names":false,"suffix":""},{"dropping-particle":"","family":"Leuning","given":"Ray","non-dropping-particle":"","parse-names":false,"suffix":""},{"dropping-particle":"","family":"Li","given":"Yingnian","non-dropping-particle":"","parse-names":false,"suffix":""},{"dropping-particle":"","family":"Liddell","given":"Michael","non-dropping-particle":"","parse-names":false,"suffix":""},{"dropping-particle":"","family":"Limousin","given":"Jean-Marc","non-dropping-particle":"","parse-names":false,"suffix":""},{"dropping-particle":"","family":"Lion","given":"Marryanna","non-dropping-particle":"","parse-names":false,"suffix":""},{"dropping-particle":"","family":"Liska","given":"Adam J.","non-dropping-particle":"","parse-names":false,"suffix":""},{"dropping-particle":"","family":"Lohila","given":"Annalea","non-dropping-particle":"","parse-names":false,"suffix":""},{"dropping-particle":"","family":"López-Ballesteros","given":"Ana","non-dropping-particle":"","parse-names":false,"suffix":""},{"dropping-particle":"","family":"López-Blanco","given":"Efrén","non-dropping-particle":"","parse-names":false,"suffix":""},{"dropping-particle":"","family":"Loubet","given":"Benjamin","non-dropping-particle":"","parse-names":false,"suffix":""},{"dropping-particle":"","family":"Loustau","given":"Denis","non-dropping-particle":"","parse-names":false,"suffix":""},{"dropping-particle":"","family":"Lucas-Moffat","given":"Antje","non-dropping-particle":"","parse-names":false,"suffix":""},{"dropping-particle":"","family":"Lüers","given":"Johannes","non-dropping-particle":"","parse-names":false,"suffix":""},{"dropping-particle":"","family":"Ma","given":"Siyan","non-dropping-particle":"","parse-names":false,"suffix":""},{"dropping-particle":"","family":"Macfarlane","given":"Craig","non-dropping-particle":"","parse-names":false,"suffix":""},{"dropping-particle":"","family":"Magliulo","given":"Vincenzo","non-dropping-particle":"","parse-names":false,"suffix":""},{"dropping-particle":"","family":"Maier","given":"Regine","non-dropping-particle":"","parse-names":false,"suffix":""},{"dropping-particle":"","family":"Mammarella","given":"Ivan","non-dropping-particle":"","parse-names":false,"suffix":""},{"dropping-particle":"","family":"Manca","given":"Giovanni","non-dropping-particle":"","parse-names":false,"suffix":""},{"dropping-particle":"","family":"Marcolla","given":"Barbara","non-dropping-particle":"","parse-names":false,"suffix":""},{"dropping-particle":"","family":"Margolis","given":"Hank A.","non-dropping-particle":"","parse-names":false,"suffix":""},{"dropping-particle":"","family":"Marras","given":"Serena","non-dropping-particle":"","parse-names":false,"suffix":""},{"dropping-particle":"","family":"Massman","given":"William","non-dropping-particle":"","parse-names":false,"suffix":""},{"dropping-particle":"","family":"Mastepanov","given":"Mikhail","non-dropping-particle":"","parse-names":false,"suffix":""},{"dropping-particle":"","family":"Matamala","given":"Roser","non-dropping-particle":"","parse-names":false,"suffix":""},{"dropping-particle":"","family":"Matthes","given":"Jaclyn Hatala","non-dropping-particle":"","parse-names":false,"suffix":""},{"dropping-particle":"","family":"Mazzenga","given":"Francesco","non-dropping-particle":"","parse-names":false,"suffix":""},{"dropping-particle":"","family":"McCaughey","given":"Harry","non-dropping-particle":"","parse-names":false,"suffix":""},{"dropping-particle":"","family":"McHugh","given":"Ian","non-dropping-particle":"","parse-names":false,"suffix":""},{"dropping-particle":"","family":"McMillan","given":"Andrew M. S.","non-dropping-particle":"","parse-names":false,"suffix":""},{"dropping-particle":"","family":"Merbold","given":"Lutz","non-dropping-particle":"","parse-names":false,"suffix":""},{"dropping-particle":"","family":"Meyer","given":"Wayne","non-dropping-particle":"","parse-names":false,"suffix":""},{"dropping-particle":"","family":"Meyers","given":"Tilden","non-dropping-particle":"","parse-names":false,"suffix":""},{"dropping-particle":"","family":"Miller","given":"Scott D.","non-dropping-particle":"","parse-names":false,"suffix":""},{"dropping-particle":"","family":"Minerbi","given":"Stefano","non-dropping-particle":"","parse-names":false,"suffix":""},{"dropping-particle":"","family":"Moderow","given":"Uta","non-dropping-particle":"","parse-names":false,"suffix":""},{"dropping-particle":"","family":"Monson","given":"Russell K.","non-dropping-particle":"","parse-names":false,"suffix":""},{"dropping-particle":"","family":"Montagnani","given":"Leonardo","non-dropping-particle":"","parse-names":false,"suffix":""},{"dropping-particle":"","family":"Moore","given":"Caitlin E.","non-dropping-particle":"","parse-names":false,"suffix":""},{"dropping-particle":"","family":"Moors","given":"Eddy","non-dropping-particle":"","parse-names":false,"suffix":""},{"dropping-particle":"","family":"Moreaux","given":"Virginie","non-dropping-particle":"","parse-names":false,"suffix":""},{"dropping-particle":"","family":"Moureaux","given":"Christine","non-dropping-particle":"","parse-names":false,"suffix":""},{"dropping-particle":"","family":"Munger","given":"J. William","non-dropping-particle":"","parse-names":false,"suffix":""},{"dropping-particle":"","family":"Nakai","given":"Taro","non-dropping-particle":"","parse-names":false,"suffix":""},{"dropping-particle":"","family":"Neirynck","given":"Johan","non-dropping-particle":"","parse-names":false,"suffix":""},{"dropping-particle":"","family":"Nesic","given":"Zoran","non-dropping-particle":"","parse-names":false,"suffix":""},{"dropping-particle":"","family":"Nicolini","given":"Giacomo","non-dropping-particle":"","parse-names":false,"suffix":""},{"dropping-particle":"","family":"Noormets","given":"Asko","non-dropping-particle":"","parse-names":false,"suffix":""},{"dropping-particle":"","family":"Northwood","given":"Matthew","non-dropping-particle":"","parse-names":false,"suffix":""},{"dropping-particle":"","family":"Nosetto","given":"Marcelo","non-dropping-particle":"","parse-names":false,"suffix":""},{"dropping-particle":"","family":"Nouvellon","given":"Yann","non-dropping-particle":"","parse-names":false,"suffix":""},{"dropping-particle":"","family":"Novick","given":"Kimberly","non-dropping-particle":"","parse-names":false,"suffix":""},{"dropping-particle":"","family":"Oechel","given":"Walter","non-dropping-particle":"","parse-names":false,"suffix":""},{"dropping-particle":"","family":"Olesen","given":"Jørgen Eivind","non-dropping-particle":"","parse-names":false,"suffix":""},{"dropping-particle":"","family":"Ourcival","given":"Jean-Marc","non-dropping-particle":"","parse-names":false,"suffix":""},{"dropping-particle":"","family":"Papuga","given":"Shirley A.","non-dropping-particle":"","parse-names":false,"suffix":""},{"dropping-particle":"","family":"Parmentier","given":"Frans-Jan","non-dropping-particle":"","parse-names":false,"suffix":""},{"dropping-particle":"","family":"Paul-Limoges","given":"Eugenie","non-dropping-particle":"","parse-names":false,"suffix":""},{"dropping-particle":"","family":"Pavelka","given":"Marian","non-dropping-particle":"","parse-names":false,"suffix":""},{"dropping-particle":"","family":"Peichl","given":"Matthias","non-dropping-particle":"","parse-names":false,"suffix":""},{"dropping-particle":"","family":"Pendall","given":"Elise","non-dropping-particle":"","parse-names":false,"suffix":""},{"dropping-particle":"","family":"Phillips","given":"Richard P.","non-dropping-particle":"","parse-names":false,"suffix":""},{"dropping-particle":"","family":"Pilegaard","given":"Kim","non-dropping-particle":"","parse-names":false,"suffix":""},{"dropping-particle":"","family":"Pirk","given":"Norbert","non-dropping-particle":"","parse-names":false,"suffix":""},{"dropping-particle":"","family":"Posse","given":"Gabriela","non-dropping-particle":"","parse-names":false,"suffix":""},{"dropping-particle":"","family":"Powell","given":"Thomas","non-dropping-particle":"","parse-names":false,"suffix":""},{"dropping-particle":"","family":"Prasse","given":"Heiko","non-dropping-particle":"","parse-names":false,"suffix":""},{"dropping-particle":"","family":"Prober","given":"Suzanne M.","non-dropping-particle":"","parse-names":false,"suffix":""},{"dropping-particle":"","family":"Rambal","given":"Serge","non-dropping-particle":"","parse-names":false,"suffix":""},{"dropping-particle":"","family":"Rannik","given":"Üllar","non-dropping-particle":"","parse-names":false,"suffix":""},{"dropping-particle":"","family":"Raz-Yaseef","given":"Naama","non-dropping-particle":"","parse-names":false,"suffix":""},{"dropping-particle":"","family":"Reed","given":"David","non-dropping-particle":"","parse-names":false,"suffix":""},{"dropping-particle":"","family":"Dios","given":"Victor Resco","non-dropping-particle":"de","parse-names":false,"suffix":""},{"dropping-particle":"","family":"Restrepo-Coupe","given":"Natalia","non-dropping-particle":"","parse-names":false,"suffix":""},{"dropping-particle":"","family":"Reverter","given":"Borja R.","non-dropping-particle":"","parse-names":false,"suffix":""},{"dropping-particle":"","family":"Roland","given":"Marilyn","non-dropping-particle":"","parse-names":false,"suffix":""},{"dropping-particle":"","family":"Sabbatini","given":"Simone","non-dropping-particle":"","parse-names":false,"suffix":""},{"dropping-particle":"","family":"Sachs","given":"Torsten","non-dropping-particle":"","parse-names":false,"suffix":""},{"dropping-particle":"","family":"Saleska","given":"Scott R.","non-dropping-particle":"","parse-names":false,"suffix":""},{"dropping-particle":"","family":"Sánchez-Cañete","given":"Enrique P.","non-dropping-particle":"","parse-names":false,"suffix":""},{"dropping-particle":"","family":"Sanchez-Mejia","given":"Zulia M.","non-dropping-particle":"","parse-names":false,"suffix":""},{"dropping-particle":"","family":"Schmid","given":"Hans Peter","non-dropping-particle":"","parse-names":false,"suffix":""},{"dropping-particle":"","family":"Schmidt","given":"Marius","non-dropping-particle":"","parse-names":false,"suffix":""},{"dropping-particle":"","family":"Schneider","given":"Karl","non-dropping-particle":"","parse-names":false,"suffix":""},{"dropping-particle":"","family":"Schrader","given":"Frederik","non-dropping-particle":"","parse-names":false,"suffix":""},{"dropping-particle":"","family":"Schroder","given":"Ivan","non-dropping-particle":"","parse-names":false,"suffix":""},{"dropping-particle":"","family":"Scott","given":"Russell L.","non-dropping-particle":"","parse-names":false,"suffix":""},{"dropping-particle":"","family":"Sedlák","given":"Pavel","non-dropping-particle":"","parse-names":false,"suffix":""},{"dropping-particle":"","family":"Serrano-Ortíz","given":"Penélope","non-dropping-particle":"","parse-names":false,"suffix":""},{"dropping-particle":"","family":"Shao","given":"Changliang","non-dropping-particle":"","parse-names":false,"suffix":""},{"dropping-particle":"","family":"Shi","given":"Peili","non-dropping-particle":"","parse-names":false,"suffix":""},{"dropping-particle":"","family":"Shironya","given":"Ivan","non-dropping-particle":"","parse-names":false,"suffix":""},{"dropping-particle":"","family":"Siebicke","given":"Lukas","non-dropping-particle":"","parse-names":false,"suffix":""},{"dropping-particle":"","family":"Šigut","given":"Ladislav","non-dropping-particle":"","parse-names":false,"suffix":""},{"dropping-particle":"","family":"Silberstein","given":"Richard","non-dropping-particle":"","parse-names":false,"suffix":""},{"dropping-particle":"","family":"Sirca","given":"Costantino","non-dropping-particle":"","parse-names":false,"suffix":""},{"dropping-particle":"","family":"Spano","given":"Donatella","non-dropping-particle":"","parse-names":false,"suffix":""},{"dropping-particle":"","family":"Steinbrecher","given":"Rainer","non-dropping-particle":"","parse-names":false,"suffix":""},{"dropping-particle":"","family":"Stevens","given":"Robert M.","non-dropping-particle":"","parse-names":false,"suffix":""},{"dropping-particle":"","family":"Sturtevant","given":"Cove","non-dropping-particle":"","parse-names":false,"suffix":""},{"dropping-particle":"","family":"Suyker","given":"Andy","non-dropping-particle":"","parse-names":false,"suffix":""},{"dropping-particle":"","family":"Tagesson","given":"Torbern","non-dropping-particle":"","parse-names":false,"suffix":""},{"dropping-particle":"","family":"Takanashi","given":"Satoru","non-dropping-particle":"","parse-names":false,"suffix":""},{"dropping-particle":"","family":"Tang","given":"Yanhong","non-dropping-particle":"","parse-names":false,"suffix":""},{"dropping-particle":"","family":"Tapper","given":"Nigel","non-dropping-particle":"","parse-names":false,"suffix":""},{"dropping-particle":"","family":"Thom","given":"Jonathan","non-dropping-particle":"","parse-names":false,"suffix":""},{"dropping-particle":"","family":"Tiedemann","given":"Frank","non-dropping-particle":"","parse-names":false,"suffix":""},{"dropping-particle":"","family":"Tomassucci","given":"Michele","non-dropping-particle":"","parse-names":false,"suffix":""},{"dropping-particle":"","family":"Tuovinen","given":"Juha-Pekka","non-dropping-particle":"","parse-names":false,"suffix":""},{"dropping-particle":"","family":"Urbanski","given":"Shawn","non-dropping-particle":"","parse-names":false,"suffix":""},{"dropping-particle":"","family":"Valentini","given":"Riccardo","non-dropping-particle":"","parse-names":false,"suffix":""},{"dropping-particle":"","family":"Molen","given":"Michiel","non-dropping-particle":"van der","parse-names":false,"suffix":""},{"dropping-particle":"","family":"Gorsel","given":"Eva","non-dropping-particle":"van","parse-names":false,"suffix":""},{"dropping-particle":"","family":"Huissteden","given":"Ko","non-dropping-particle":"van","parse-names":false,"suffix":""},{"dropping-particle":"","family":"Varlagin","given":"Andrej","non-dropping-particle":"","parse-names":false,"suffix":""},{"dropping-particle":"","family":"Verfaillie","given":"Joseph","non-dropping-particle":"","parse-names":false,"suffix":""},{"dropping-particle":"","family":"Vesala","given":"Timo","non-dropping-particle":"","parse-names":false,"suffix":""},{"dropping-particle":"","family":"Vincke","given":"Caroline","non-dropping-particle":"","parse-names":false,"suffix":""},{"dropping-particle":"","family":"Vitale","given":"Domenico","non-dropping-particle":"","parse-names":false,"suffix":""},{"dropping-particle":"","family":"Vygodskaya","given":"Natalia","non-dropping-particle":"","parse-names":false,"suffix":""},{"dropping-particle":"","family":"Walker","given":"Jeffrey P.","non-dropping-particle":"","parse-names":false,"suffix":""},{"dropping-particle":"","family":"Walter-Shea","given":"Elizabeth","non-dropping-particle":"","parse-names":false,"suffix":""},{"dropping-particle":"","family":"Wang","given":"Huimin","non-dropping-particle":"","parse-names":false,"suffix":""},{"dropping-particle":"","family":"Weber","given":"Robin","non-dropping-particle":"","parse-names":false,"suffix":""},{"dropping-particle":"","family":"Westermann","given":"Sebastian","non-dropping-particle":"","parse-names":false,"suffix":""},{"dropping-particle":"","family":"Wille","given":"Christian","non-dropping-particle":"","parse-names":false,"suffix":""},{"dropping-particle":"","family":"Wofsy","given":"Steven","non-dropping-particle":"","parse-names":false,"suffix":""},{"dropping-particle":"","family":"Wohlfahrt","given":"Georg","non-dropping-particle":"","parse-names":false,"suffix":""},{"dropping-particle":"","family":"Wolf","given":"Sebastian","non-dropping-particle":"","parse-names":false,"suffix":""},{"dropping-particle":"","family":"Woodgate","given":"William","non-dropping-particle":"","parse-names":false,"suffix":""},{"dropping-particle":"","family":"Li","given":"Yuelin","non-dropping-particle":"","parse-names":false,"suffix":""},{"dropping-particle":"","family":"Zampedri","given":"Roberto","non-dropping-particle":"","parse-names":false,"suffix":""},{"dropping-particle":"","family":"Zhang","given":"Junhui","non-dropping-particle":"","parse-names":false,"suffix":""},{"dropping-particle":"","family":"Zhou","given":"Guoyi","non-dropping-particle":"","parse-names":false,"suffix":""},{"dropping-particle":"","family":"Zona","given":"Donatella","non-dropping-particle":"","parse-names":false,"suffix":""},{"dropping-particle":"","family":"Agarwal","given":"Deb","non-dropping-particle":"","parse-names":false,"suffix":""},{"dropping-particle":"","family":"Biraud","given":"Sebastien","non-dropping-particle":"","parse-names":false,"suffix":""},{"dropping-particle":"","family":"Torn","given":"Margaret","non-dropping-particle":"","parse-names":false,"suffix":""},{"dropping-particle":"","family":"Papale","given":"Dario","non-dropping-particle":"","parse-names":false,"suffix":""}],"container-title":"Scientific Data","id":"ITEM-1","issue":"1","issued":{"date-parts":[["2020"]]},"page":"225","title":"The FLUXNET2015 dataset and the ONEFlux processing pipeline for eddy covariance data","type":"article-journal","volume":"7"},"uris":["http://www.mendeley.com/documents/?uuid=6740998b-5e64-46d1-8ed1-d1a118f03dae"]}],"mendeley":{"formattedCitation":"(Pastorello &lt;i&gt;et al.&lt;/i&gt;, 2020)","plainTextFormattedCitation":"(Pastorello et al., 2020)","previouslyFormattedCitation":"(Pastorello &lt;i&gt;et al.&lt;/i&gt;, 2020)"},"properties":{"noteIndex":0},"schema":"https://github.com/citation-style-language/schema/raw/master/csl-citation.json"}</w:instrText>
      </w:r>
      <w:r w:rsidR="00114B12" w:rsidRPr="00364D88">
        <w:rPr>
          <w:rFonts w:ascii="Arial" w:hAnsi="Arial" w:cs="Arial"/>
          <w:lang w:val="en-GB"/>
        </w:rPr>
        <w:fldChar w:fldCharType="separate"/>
      </w:r>
      <w:r w:rsidR="00114B12" w:rsidRPr="00364D88">
        <w:rPr>
          <w:rFonts w:ascii="Arial" w:hAnsi="Arial" w:cs="Arial"/>
          <w:noProof/>
          <w:lang w:val="en-GB"/>
        </w:rPr>
        <w:t xml:space="preserve">(Pastorello </w:t>
      </w:r>
      <w:r w:rsidR="00114B12" w:rsidRPr="00364D88">
        <w:rPr>
          <w:rFonts w:ascii="Arial" w:hAnsi="Arial" w:cs="Arial"/>
          <w:i/>
          <w:noProof/>
          <w:lang w:val="en-GB"/>
        </w:rPr>
        <w:t>et al.</w:t>
      </w:r>
      <w:r w:rsidR="00114B12" w:rsidRPr="00364D88">
        <w:rPr>
          <w:rFonts w:ascii="Arial" w:hAnsi="Arial" w:cs="Arial"/>
          <w:noProof/>
          <w:lang w:val="en-GB"/>
        </w:rPr>
        <w:t>, 2020)</w:t>
      </w:r>
      <w:r w:rsidR="00114B12" w:rsidRPr="00364D88">
        <w:rPr>
          <w:rFonts w:ascii="Arial" w:hAnsi="Arial" w:cs="Arial"/>
          <w:lang w:val="en-GB"/>
        </w:rPr>
        <w:fldChar w:fldCharType="end"/>
      </w:r>
      <w:r w:rsidRPr="00364D88">
        <w:rPr>
          <w:rFonts w:ascii="Arial" w:hAnsi="Arial" w:cs="Arial"/>
          <w:lang w:val="en-GB"/>
        </w:rPr>
        <w:t>.</w:t>
      </w:r>
      <w:r w:rsidR="005B1641" w:rsidRPr="00364D88">
        <w:rPr>
          <w:rFonts w:ascii="Arial" w:hAnsi="Arial" w:cs="Arial"/>
          <w:lang w:val="en-GB"/>
        </w:rPr>
        <w:t xml:space="preserve"> From the total of 93 sites </w:t>
      </w:r>
      <w:r w:rsidRPr="00364D88">
        <w:rPr>
          <w:rFonts w:ascii="Arial" w:hAnsi="Arial" w:cs="Arial"/>
          <w:lang w:val="en-GB"/>
        </w:rPr>
        <w:t>for which we coul</w:t>
      </w:r>
      <w:r w:rsidR="005B1641" w:rsidRPr="00364D88">
        <w:rPr>
          <w:rFonts w:ascii="Arial" w:hAnsi="Arial" w:cs="Arial"/>
          <w:lang w:val="en-GB"/>
        </w:rPr>
        <w:t xml:space="preserve">d gather species abundance data, croplands excluded, </w:t>
      </w:r>
      <w:r w:rsidRPr="00364D88">
        <w:rPr>
          <w:rFonts w:ascii="Arial" w:hAnsi="Arial" w:cs="Arial"/>
          <w:lang w:val="en-GB"/>
        </w:rPr>
        <w:t>(see section Species composition data below), only 62 sites met the conditions for data quality (NEE_VUT_REF_QC ≥ 0.5, following</w:t>
      </w:r>
      <w:r w:rsidR="009E486E" w:rsidRPr="00364D88">
        <w:rPr>
          <w:rFonts w:ascii="Arial" w:hAnsi="Arial" w:cs="Arial"/>
          <w:lang w:val="en-GB"/>
        </w:rPr>
        <w:t xml:space="preserve"> </w:t>
      </w:r>
      <w:r w:rsidRPr="00364D88">
        <w:rPr>
          <w:rFonts w:ascii="Arial" w:hAnsi="Arial" w:cs="Arial"/>
          <w:lang w:val="en-GB"/>
        </w:rPr>
        <w:fldChar w:fldCharType="begin" w:fldLock="1"/>
      </w:r>
      <w:r w:rsidR="001F6B70" w:rsidRPr="00364D88">
        <w:rPr>
          <w:rFonts w:ascii="Arial" w:hAnsi="Arial" w:cs="Arial"/>
          <w:lang w:val="en-GB"/>
        </w:rPr>
        <w:instrText>ADDIN CSL_CITATION {"citationItems":[{"id":"ITEM-1","itemData":{"DOI":"10.1038/s41586-018-0358-x","ISSN":"14764687","abstract":"Global soils store at least twice as much carbon as Earth’s atmosphere1,2. The global soil-to-atmosphere (or total soil respiration, RS) carbon dioxide (CO2) flux is increasing3,4, but the degree to which climate change will stimulate carbon losses from soils as a result of heterotrophic respiration (RH) remains highly uncertain5–8. Here we use an updated global soil respiration database9 to show that the observed soil surface RH:RS ratio increased significantly, from 0.54 to 0.63, between 1990 and 2014 (P = 0.009). Three additional lines of evidence provide support for this finding. By analysing two separate global gross primary production datasets10,11, we find that the ratios of both RH and RS to gross primary production have increased over time. Similarly, significant increases in RH are observed against the longest available solar-induced chlorophyll fluorescence global dataset, as well as gross primary production computed by an ensemble of global land models. We also show that the ratio of night-time net ecosystem exchange to gross primary production is rising across the FLUXNET201512 dataset. All trends are robust to sampling variability in ecosystem type, disturbance, methodology, CO2 fertilization effects and mean climate. Taken together, our findings provide observational evidence that global RH is rising, probably in response to environmental changes, consistent with meta-analyses13–16 and long-term experiments17. This suggests that climate-driven losses of soil carbon are currently occurring across many ecosystems, with a detectable and sustained trend emerging at the global scale.","author":[{"dropping-particle":"","family":"Bond-Lamberty","given":"Ben","non-dropping-particle":"","parse-names":false,"suffix":""},{"dropping-particle":"","family":"Bailey","given":"Vanessa L.","non-dropping-particle":"","parse-names":false,"suffix":""},{"dropping-particle":"","family":"Chen","given":"Min","non-dropping-particle":"","parse-names":false,"suffix":""},{"dropping-particle":"","family":"Gough","given":"Christopher M.","non-dropping-particle":"","parse-names":false,"suffix":""},{"dropping-particle":"","family":"Vargas","given":"Rodrigo","non-dropping-particle":"","parse-names":false,"suffix":""}],"container-title":"Nature","id":"ITEM-1","issue":"7716","issued":{"date-parts":[["2018"]]},"page":"80-83","publisher":"Springer US","title":"Globally rising soil heterotrophic respiration over recent decades","type":"article-journal","volume":"560"},"uris":["http://www.mendeley.com/documents/?uuid=875b10e8-151c-43e9-ab49-9e78d1987b83"]}],"mendeley":{"formattedCitation":"(Bond-Lamberty &lt;i&gt;et al.&lt;/i&gt;, 2018)","manualFormatting":"Bond-Lamberty et al. (2018)","plainTextFormattedCitation":"(Bond-Lamberty et al., 2018)","previouslyFormattedCitation":"(Bond-Lamberty &lt;i&gt;et al.&lt;/i&gt;, 2018)"},"properties":{"noteIndex":0},"schema":"https://github.com/citation-style-language/schema/raw/master/csl-citation.json"}</w:instrText>
      </w:r>
      <w:r w:rsidRPr="00364D88">
        <w:rPr>
          <w:rFonts w:ascii="Arial" w:hAnsi="Arial" w:cs="Arial"/>
          <w:lang w:val="en-GB"/>
        </w:rPr>
        <w:fldChar w:fldCharType="separate"/>
      </w:r>
      <w:r w:rsidR="009E486E" w:rsidRPr="00364D88">
        <w:rPr>
          <w:rFonts w:ascii="Arial" w:hAnsi="Arial" w:cs="Arial"/>
          <w:noProof/>
          <w:lang w:val="en-GB"/>
        </w:rPr>
        <w:t xml:space="preserve">Bond-Lamberty </w:t>
      </w:r>
      <w:r w:rsidR="009E486E" w:rsidRPr="00364D88">
        <w:rPr>
          <w:rFonts w:ascii="Arial" w:hAnsi="Arial" w:cs="Arial"/>
          <w:i/>
          <w:noProof/>
          <w:lang w:val="en-GB"/>
        </w:rPr>
        <w:t>et al.</w:t>
      </w:r>
      <w:r w:rsidR="009E486E" w:rsidRPr="00364D88">
        <w:rPr>
          <w:rFonts w:ascii="Arial" w:hAnsi="Arial" w:cs="Arial"/>
          <w:noProof/>
          <w:lang w:val="en-GB"/>
        </w:rPr>
        <w:t xml:space="preserve"> </w:t>
      </w:r>
      <w:r w:rsidR="0086743A" w:rsidRPr="00364D88">
        <w:rPr>
          <w:rFonts w:ascii="Arial" w:hAnsi="Arial" w:cs="Arial"/>
          <w:noProof/>
          <w:lang w:val="en-GB"/>
        </w:rPr>
        <w:t>(</w:t>
      </w:r>
      <w:r w:rsidR="009E486E" w:rsidRPr="00364D88">
        <w:rPr>
          <w:rFonts w:ascii="Arial" w:hAnsi="Arial" w:cs="Arial"/>
          <w:noProof/>
          <w:lang w:val="en-GB"/>
        </w:rPr>
        <w:t>2018)</w:t>
      </w:r>
      <w:r w:rsidRPr="00364D88">
        <w:rPr>
          <w:rFonts w:ascii="Arial" w:hAnsi="Arial" w:cs="Arial"/>
          <w:lang w:val="en-GB"/>
        </w:rPr>
        <w:fldChar w:fldCharType="end"/>
      </w:r>
      <w:r w:rsidR="003D5845" w:rsidRPr="00364D88">
        <w:rPr>
          <w:rFonts w:ascii="Arial" w:hAnsi="Arial" w:cs="Arial"/>
          <w:lang w:val="en-GB"/>
        </w:rPr>
        <w:t xml:space="preserve">), </w:t>
      </w:r>
      <w:r w:rsidRPr="00364D88">
        <w:rPr>
          <w:rFonts w:ascii="Arial" w:hAnsi="Arial" w:cs="Arial"/>
          <w:lang w:val="en-GB"/>
        </w:rPr>
        <w:t>had data for at least 60 months – five years</w:t>
      </w:r>
      <w:r w:rsidR="003D5845" w:rsidRPr="00364D88">
        <w:rPr>
          <w:rFonts w:ascii="Arial" w:hAnsi="Arial" w:cs="Arial"/>
          <w:lang w:val="en-GB"/>
        </w:rPr>
        <w:t>, and did not experienced strong management or disturbances</w:t>
      </w:r>
      <w:r w:rsidRPr="00364D88">
        <w:rPr>
          <w:rFonts w:ascii="Arial" w:hAnsi="Arial" w:cs="Arial"/>
          <w:lang w:val="en-GB"/>
        </w:rPr>
        <w:t xml:space="preserve"> (</w:t>
      </w:r>
      <w:r w:rsidR="00C823F7">
        <w:rPr>
          <w:rFonts w:ascii="Arial" w:hAnsi="Arial" w:cs="Arial"/>
          <w:b/>
          <w:lang w:val="en-GB"/>
        </w:rPr>
        <w:t>Fig.</w:t>
      </w:r>
      <w:r w:rsidRPr="00364D88">
        <w:rPr>
          <w:rFonts w:ascii="Arial" w:hAnsi="Arial" w:cs="Arial"/>
          <w:b/>
          <w:lang w:val="en-GB"/>
        </w:rPr>
        <w:t xml:space="preserve"> S1, Table S1</w:t>
      </w:r>
      <w:r w:rsidRPr="00364D88">
        <w:rPr>
          <w:rFonts w:ascii="Arial" w:hAnsi="Arial" w:cs="Arial"/>
          <w:lang w:val="en-GB"/>
        </w:rPr>
        <w:t>). The 62 sites that were selected included boreal, temperate, and Mediterranean biomes and ten different vegetation types according the IGBP-DISCover classification</w:t>
      </w:r>
      <w:r w:rsidR="009E486E" w:rsidRPr="00364D88">
        <w:rPr>
          <w:rFonts w:ascii="Arial" w:hAnsi="Arial" w:cs="Arial"/>
          <w:lang w:val="en-GB"/>
        </w:rPr>
        <w:t xml:space="preserve"> </w:t>
      </w:r>
      <w:r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{"citationItems":[{"id":"ITEM-1","itemData":{"DOI":"10.1029/2000gb001360","ISSN":"0886-6236","abstract":"[1] While most land models developed for use with climate models represent vegetation as discrete biomes, this is, at least for mixed life-form biomes, inconsistent with the leaf-level and whole-plant physiological parameterizations needed to couple these biogeophysical models with biogeochemical and ecosystem dynamics models. In this paper, we present simulations with the National Center for Atmospheric Research land surface model (NCAR LSM) that examined the effect of representing vegetation as patches of plant functional types (PFTs) that coexist within a model grid cell. This approach is consistent with ecological theory and models and allows for unified treatment of vegetation in climate and ecosystem models. In the standard NCAR LSM the PFT composition and leaf area for each grid cell are obtained by classifying grid cells as 1 of 28 possible biomes. Here, we develop a data set from 1-km satellite data that provides each model grid cell a unique PFT composition and leaf area for each PFT. Global simulations at 3degrees x 3degrees spatial resolution showed that ground temperature, ground evaporation, and northern high-latitude winter albedo exhibited direct responses to these landscape changes, which led to indirect effects such as in soil moisture and sensible and latent heat fluxes. Additional simulations at 2degrees x 2degrees and 1degrees x 1degrees spatial resolution showed that low-resolution simulations masked landscape heterogeneity in both approaches but the satellite-based, continuous representation of vegetation reduced model sensitivity to resolution. It is argued that the use of spatially continuous distributions of coexisting PFTs is a necessary step to link climate and ecosystem models.","author":[{"dropping-particle":"","family":"Bonan","given":"Gordon B.","non-dropping-particle":"","parse-names":false,"suffix":""},{"dropping-particle":"","family":"Levis","given":"Samuel","non-dropping-particle":"","parse-names":false,"suffix":""},{"dropping-particle":"","family":"Kergoat","given":"Laurent","non-dropping-particle":"","parse-names":false,"suffix":""},{"dropping-particle":"","family":"Oleson","given":"Keith W.","non-dropping-particle":"","parse-names":false,"suffix":""}],"container-title":"Global Biogeochemical Cycles","id":"ITEM-1","issue":"2","issued":{"date-parts":[["2002"]]},"page":"5-1-5-23","title":"Landscapes as patches of plant functional types: An integrating concept for climate and ecosystem models","type":"article-journal","volume":"16"},"uris":["http://www.mendeley.com/documents/?uuid=c583ad02-b13c-4e7e-b6fd-2f187750fafd"]}],"mendeley":{"formattedCitation":"(Bonan &lt;i&gt;et al.&lt;/i&gt;, 2002)","plainTextFormattedCitation":"(Bonan et al., 2002)","previouslyFormattedCitation":"(Bonan &lt;i&gt;et al.&lt;/i&gt;, 2002)"},"properties":{"noteIndex":0},"schema":"https://github.com/citation-style-language/schema/raw/master/csl-citation.json"}</w:instrText>
      </w:r>
      <w:r w:rsidRPr="00364D88">
        <w:rPr>
          <w:rFonts w:ascii="Arial" w:hAnsi="Arial" w:cs="Arial"/>
          <w:lang w:val="en-GB"/>
        </w:rPr>
        <w:fldChar w:fldCharType="separate"/>
      </w:r>
      <w:r w:rsidR="009E486E" w:rsidRPr="00364D88">
        <w:rPr>
          <w:rFonts w:ascii="Arial" w:hAnsi="Arial" w:cs="Arial"/>
          <w:noProof/>
          <w:lang w:val="en-GB"/>
        </w:rPr>
        <w:t xml:space="preserve">(Bonan </w:t>
      </w:r>
      <w:r w:rsidR="009E486E" w:rsidRPr="00364D88">
        <w:rPr>
          <w:rFonts w:ascii="Arial" w:hAnsi="Arial" w:cs="Arial"/>
          <w:i/>
          <w:noProof/>
          <w:lang w:val="en-GB"/>
        </w:rPr>
        <w:t>et al.</w:t>
      </w:r>
      <w:r w:rsidR="009E486E" w:rsidRPr="00364D88">
        <w:rPr>
          <w:rFonts w:ascii="Arial" w:hAnsi="Arial" w:cs="Arial"/>
          <w:noProof/>
          <w:lang w:val="en-GB"/>
        </w:rPr>
        <w:t>, 2002)</w:t>
      </w:r>
      <w:r w:rsidRPr="00364D88">
        <w:rPr>
          <w:rFonts w:ascii="Arial" w:hAnsi="Arial" w:cs="Arial"/>
          <w:lang w:val="en-GB"/>
        </w:rPr>
        <w:fldChar w:fldCharType="end"/>
      </w:r>
      <w:r w:rsidRPr="00364D88">
        <w:rPr>
          <w:rFonts w:ascii="Arial" w:hAnsi="Arial" w:cs="Arial"/>
          <w:lang w:val="en-GB"/>
        </w:rPr>
        <w:t>: evergreen needle-leaved forests [19 sites], evergreen broad-leaved forests [3], deciduous broad-leaved forests [13], mixed forests [6], savannas [2], woody savannas [3], open shrublands [3], closed shrublands [1], wetlands [2] and grasslands [10]. We grouped these vegetation types into three categories in order to facilitate statistical analyses, being forests (evergreen and deciduous, needle-leaved and broadleaved, and mixed forests), shrublands and savannas (savannas and woody savannas, open and closed shrublands and wetlands) and grasslands. We used all monthly values of GPP and Re estimated with the daytime partitioning method. We then calculated annual values of the C fluxes as the sum of GPP, Re and NEP average monthly values. Additionally, we calculated average CUEe</w:t>
      </w:r>
      <w:r w:rsidR="009E486E" w:rsidRPr="00364D88">
        <w:rPr>
          <w:rFonts w:ascii="Arial" w:hAnsi="Arial" w:cs="Arial"/>
          <w:lang w:val="en-GB"/>
        </w:rPr>
        <w:t xml:space="preserve"> </w:t>
      </w:r>
      <w:r w:rsidRPr="00364D88">
        <w:rPr>
          <w:rFonts w:ascii="Arial" w:hAnsi="Arial" w:cs="Arial"/>
          <w:lang w:val="en-GB"/>
        </w:rPr>
        <w:fldChar w:fldCharType="begin" w:fldLock="1"/>
      </w:r>
      <w:r w:rsidR="004C0ACC" w:rsidRPr="00364D88">
        <w:rPr>
          <w:rFonts w:ascii="Arial" w:hAnsi="Arial" w:cs="Arial"/>
          <w:lang w:val="en-GB"/>
        </w:rPr>
        <w:instrText>ADDIN CSL_CITATION {"citationItems":[{"id":"ITEM-1","itemData":{"DOI":"doi:10.1038/nclimate2177","ISSN":"1758-678X","abstract":"Forests strongly affect climate through the exchange of large amounts of atmospheric CO2 (ref. 1). The main drivers of spatial variability in net ecosystem production (NEP) on a global scale are, however, poorly known. As increasing nutrient availability increases the production of biomass per unit of photosynthesis2 and reduces heterotrophic3 respiration in forests, we expected nutrients to determine carbon sequestration in forests. Our synthesis study of 92 forests in different climate zones revealed that nutrient availability indeed plays a crucial role in determining NEP and ecosystem carbon-use efficiency (CUEe; that is, the ratio of NEP to gross primary production (GPP)). Forests with high GPP exhibited high NEP only in nutrient-rich forests (CUEe = 33 ± 4%; mean ± s.e.m.). In nutrient-poor forests, a much larger proportion of GPP was released through ecosystem respiration, resulting in lower CUEe (6 ± 4%). Our finding that nutrient availability exerts a stronger control on NEP than on carbon input (GPP) conflicts with assumptions of nearly all global coupled carbon cycle–climate models, which assume that carbon inputs through photosynthesis drive biomass production and carbon sequestration. An improved global understanding of nutrient availability would therefore greatly improve carbon cycle modelling and should become a critical focus for future research.","author":[{"dropping-particle":"","family":"Fernández-Martínez","given":"Marcos","non-dropping-particle":"","parse-names":false,"suffix":""},{"dropping-particle":"","family":"Vicca","given":"S.","non-dropping-particle":"","parse-names":false,"suffix":""},{"dropping-particle":"","family":"Janssens","given":"I. A.","non-dropping-particle":"","parse-names":false,"suffix":""},{"dropping-particle":"","family":"Sardans","given":"J.","non-dropping-particle":"","parse-names":false,"suffix":""},{"dropping-particle":"","family":"Luyssaert","given":"S.","non-dropping-particle":"","parse-names":false,"suffix":""},{"dropping-particle":"","family":"Campioli","given":"M.","non-dropping-particle":"","parse-names":false,"suffix":""},{"dropping-particle":"","family":"Chapin III","given":"F. S.","non-dropping-particle":"","parse-names":false,"suffix":""},{"dropping-particle":"","family":"Ciais","given":"P.","non-dropping-particle":"","parse-names":false,"suffix":""},{"dropping-particle":"","family":"Malhi","given":"Y.","non-dropping-particle":"","parse-names":false,"suffix":""},{"dropping-particle":"","family":"Obersteiner","given":"M.","non-dropping-particle":"","parse-names":false,"suffix":""},{"dropping-particle":"","family":"Papale","given":"D.","non-dropping-particle":"","parse-names":false,"suffix":""},{"dropping-particle":"","family":"Piao","given":"S. L.","non-dropping-particle":"","parse-names":false,"suffix":""},{"dropping-particle":"","family":"Reichstein","given":"M.","non-dropping-particle":"","parse-names":false,"suffix":""},{"dropping-particle":"","family":"Rodà","given":"F.","non-dropping-particle":"","parse-names":false,"suffix":""},{"dropping-particle":"","family":"Peñuelas","given":"J.","non-dropping-particle":"","parse-names":false,"suffix":""}],"container-title":"Nature Climate Change","id":"ITEM-1","issue":"6","issued":{"date-parts":[["2014","4","6"]]},"page":"471–476","publisher":"Nature Publishing Group","title":"Nutrient availability as the key regulator of global forest carbon balance","title-short":"Nature Clim. Change","type":"article-journal","volume":"4"},"uris":["http://www.mendeley.com/documents/?uuid=f2f133a0-5090-42a6-bac1-54f1aadcf678"]}],"mendeley":{"formattedCitation":"(Fernández-Martínez &lt;i&gt;et al.&lt;/i&gt;, 2014a)","plainTextFormattedCitation":"(Fernández-Martínez et al., 2014a)","previouslyFormattedCitation":"(Fernández-Martínez &lt;i&gt;et al.&lt;/i&gt;, 2014a)"},"properties":{"noteIndex":0},"schema":"https://github.com/citation-style-language/schema/raw/master/csl-citation.json"}</w:instrText>
      </w:r>
      <w:r w:rsidRPr="00364D88">
        <w:rPr>
          <w:rFonts w:ascii="Arial" w:hAnsi="Arial" w:cs="Arial"/>
          <w:lang w:val="en-GB"/>
        </w:rPr>
        <w:fldChar w:fldCharType="separate"/>
      </w:r>
      <w:r w:rsidR="00103339" w:rsidRPr="00364D88">
        <w:rPr>
          <w:rFonts w:ascii="Arial" w:hAnsi="Arial" w:cs="Arial"/>
          <w:noProof/>
          <w:lang w:val="en-GB"/>
        </w:rPr>
        <w:t xml:space="preserve">(Fernández-Martínez </w:t>
      </w:r>
      <w:r w:rsidR="00103339" w:rsidRPr="00364D88">
        <w:rPr>
          <w:rFonts w:ascii="Arial" w:hAnsi="Arial" w:cs="Arial"/>
          <w:i/>
          <w:noProof/>
          <w:lang w:val="en-GB"/>
        </w:rPr>
        <w:t>et al.</w:t>
      </w:r>
      <w:r w:rsidR="00103339" w:rsidRPr="00364D88">
        <w:rPr>
          <w:rFonts w:ascii="Arial" w:hAnsi="Arial" w:cs="Arial"/>
          <w:noProof/>
          <w:lang w:val="en-GB"/>
        </w:rPr>
        <w:t>, 2014a)</w:t>
      </w:r>
      <w:r w:rsidRPr="00364D88">
        <w:rPr>
          <w:rFonts w:ascii="Arial" w:hAnsi="Arial" w:cs="Arial"/>
          <w:lang w:val="en-GB"/>
        </w:rPr>
        <w:fldChar w:fldCharType="end"/>
      </w:r>
      <w:r w:rsidRPr="00364D88">
        <w:rPr>
          <w:rFonts w:ascii="Arial" w:hAnsi="Arial" w:cs="Arial"/>
          <w:lang w:val="en-GB"/>
        </w:rPr>
        <w:t xml:space="preserve"> as the </w:t>
      </w:r>
      <w:r w:rsidR="00103339" w:rsidRPr="00364D88">
        <w:rPr>
          <w:rFonts w:ascii="Arial" w:hAnsi="Arial" w:cs="Arial"/>
          <w:lang w:val="en-GB"/>
        </w:rPr>
        <w:t xml:space="preserve">ratio of </w:t>
      </w:r>
      <w:r w:rsidRPr="00364D88">
        <w:rPr>
          <w:rFonts w:ascii="Arial" w:hAnsi="Arial" w:cs="Arial"/>
          <w:lang w:val="en-GB"/>
        </w:rPr>
        <w:t>mean NEP</w:t>
      </w:r>
      <w:r w:rsidR="00103339" w:rsidRPr="00364D88">
        <w:rPr>
          <w:rFonts w:ascii="Arial" w:hAnsi="Arial" w:cs="Arial"/>
          <w:lang w:val="en-GB"/>
        </w:rPr>
        <w:t xml:space="preserve"> and </w:t>
      </w:r>
      <w:r w:rsidRPr="00364D88">
        <w:rPr>
          <w:rFonts w:ascii="Arial" w:hAnsi="Arial" w:cs="Arial"/>
          <w:lang w:val="en-GB"/>
        </w:rPr>
        <w:t>GPP per site. We also calculated mean annual temperature (MAT) and precipitation (MAP) per site to control for climate effects in our statistical models. Interannual variability of C fluxes per site was estimated using the proportional variability index</w:t>
      </w:r>
      <w:r w:rsidR="009E486E" w:rsidRPr="00364D88">
        <w:rPr>
          <w:rFonts w:ascii="Arial" w:hAnsi="Arial" w:cs="Arial"/>
          <w:lang w:val="en-GB"/>
        </w:rPr>
        <w:t xml:space="preserve"> </w:t>
      </w:r>
      <w:r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author":[{"dropping-particle":"","family":"Fernández-Martínez","given":"Marcos","non-dropping-particle":"","parse-names":false,"suffix":""},{"dropping-particle":"","family":"Vicca","given":"Sara","non-dropping-particle":"","parse-names":false,"suffix":""},{"dropping-particle":"","family":"Janssens","given":"Ivan. A.","non-dropping-particle":"","parse-names":false,"suffix":""},{"dropping-particle":"","family":"Martín-Vide","given":"Javier","non-dropping-particle":"","parse-names":false,"suffix":""},{"dropping-particle":"","family":"Peñuelas","given":"Josep","non-dropping-particle":"","parse-names":false,"suffix":""}],"container-title":"Ecosphere","id":"ITEM-1","issue":"12","issued":{"date-parts":[["2018"]]},"page":"e02527","title":"The consecutive disparity index, D, as measure of temporal variability in ecological studies","type":"article-journal","volume":"9"},"uris":["http://www.mendeley.com/documents/?uuid=a1d4d626-0c4d-4913-b2bd-b9d3496ccf4c"]},{"id":"ITEM-2","itemData":{"DOI":"10.1111/j.2006.0030-1299.15067.x","ISBN":"0030-1299","ISSN":"00301299","PMID":"2149","abstract":"Understanding variability of population abundances is of central concern to theoretical and applied evolutionary ecology, yet quantifying the conceptually simple idea has been substantially problematic. Standard statistical measures of variability are particularly biassed by rare events, zero counts and other ‘non-Gaussian’ behaviour, which are often inappropriately weighted or excluded from analysis. I conjecture that these problems are primarily a function of calculating variation as deviation from an average abundance, while the average may not be static, nor actually reflect abundance at any point in the time series. Here I describe a simple metric (population variability PV) that quantifies variability as the average percent difference between all combinations of observed abundances. Zero counts can be included if desired. Similar to standard metrics, variability is measured on a proportional scale, facilitating comparative applications. Standard metrics are based on Gaussian distributions, are over-sensitive to rare events and heavy tailed behaviour, and can inappropriately indicate ‘more time-more variation’ effects (reddened spectrum). Here I demonstrate that, while PV behaves similarly for ‘normal’ time series, it is independent of deviation from mean abundance for heavy tailed distributions, its robustness to non-Gaussian behaviour resolves artificial reddened spectrum issues, and variability calculated using PV from short time series is substantially more accurate at estimating known long term variability than standard metrics. PV therefore provides common ground for evaluating the variability of populations undergoing different dynamics, and with different statistical distributions of abundance, and can be easily generalized to a variety of contexts and disciplines.","author":[{"dropping-particle":"","family":"Heath","given":"Joel P","non-dropping-particle":"","parse-names":false,"suffix":""}],"container-title":"Oikos","id":"ITEM-2","issue":"3","issued":{"date-parts":[["2006","12","1"]]},"page":"573-581","publisher":"Wiley/Blackwell (10.1111)","title":"Quantifying temporal variability in population abundances","type":"article-journal","volume":"115"},"uris":["http://www.mendeley.com/documents/?uuid=e3c84cc6-b758-45c6-8eee-40ad870999ee"]}],"mendeley":{"formattedCitation":"(Heath, 2006; Fernández-Martínez &lt;i&gt;et al.&lt;/i&gt;, 2018b)","plainTextFormattedCitation":"(Heath, 2006; Fernández-Martínez et al., 2018b)","previouslyFormattedCitation":"(Heath, 2006; Fernández-Martínez &lt;i&gt;et al.&lt;/i&gt;, 2018b)"},"properties":{"noteIndex":0},"schema":"https://github.com/citation-style-language/schema/raw/master/csl-citation.json"}</w:instrText>
      </w:r>
      <w:r w:rsidRPr="00364D88">
        <w:rPr>
          <w:rFonts w:ascii="Arial" w:hAnsi="Arial" w:cs="Arial"/>
          <w:lang w:val="en-GB"/>
        </w:rPr>
        <w:fldChar w:fldCharType="separate"/>
      </w:r>
      <w:r w:rsidR="009E486E" w:rsidRPr="00364D88">
        <w:rPr>
          <w:rFonts w:ascii="Arial" w:hAnsi="Arial" w:cs="Arial"/>
          <w:noProof/>
          <w:lang w:val="en-GB"/>
        </w:rPr>
        <w:t xml:space="preserve">(Heath, 2006; Fernández-Martínez </w:t>
      </w:r>
      <w:r w:rsidR="009E486E" w:rsidRPr="00364D88">
        <w:rPr>
          <w:rFonts w:ascii="Arial" w:hAnsi="Arial" w:cs="Arial"/>
          <w:i/>
          <w:noProof/>
          <w:lang w:val="en-GB"/>
        </w:rPr>
        <w:t>et al.</w:t>
      </w:r>
      <w:r w:rsidR="009E486E" w:rsidRPr="00364D88">
        <w:rPr>
          <w:rFonts w:ascii="Arial" w:hAnsi="Arial" w:cs="Arial"/>
          <w:noProof/>
          <w:lang w:val="en-GB"/>
        </w:rPr>
        <w:t>, 2018b)</w:t>
      </w:r>
      <w:r w:rsidRPr="00364D88">
        <w:rPr>
          <w:rFonts w:ascii="Arial" w:hAnsi="Arial" w:cs="Arial"/>
          <w:lang w:val="en-GB"/>
        </w:rPr>
        <w:fldChar w:fldCharType="end"/>
      </w:r>
      <w:r w:rsidRPr="00364D88">
        <w:rPr>
          <w:rFonts w:ascii="Arial" w:hAnsi="Arial" w:cs="Arial"/>
          <w:lang w:val="en-GB"/>
        </w:rPr>
        <w:t xml:space="preserve"> (PV), as the average of the interannual PV for each month (e.g., </w:t>
      </w:r>
      <m:oMath>
        <m:sSub>
          <m:sSubPr>
            <m:ctrlPr>
              <w:rPr>
                <w:rFonts w:ascii="Cambria Math" w:hAnsi="Cambria Math" w:cs="Arial"/>
                <w:i/>
                <w:lang w:val="en-GB"/>
              </w:rPr>
            </m:ctrlPr>
          </m:sSubPr>
          <m:e>
            <m:r>
              <w:rPr>
                <w:rFonts w:ascii="Cambria Math" w:hAnsi="Cambria Math" w:cs="Arial"/>
                <w:lang w:val="en-GB"/>
              </w:rPr>
              <m:t>GPP</m:t>
            </m:r>
          </m:e>
          <m:sub>
            <m:r>
              <w:rPr>
                <w:rFonts w:ascii="Cambria Math" w:hAnsi="Cambria Math" w:cs="Arial"/>
                <w:lang w:val="en-GB"/>
              </w:rPr>
              <m:t>IAV</m:t>
            </m:r>
          </m:sub>
        </m:sSub>
        <m:r>
          <w:rPr>
            <w:rFonts w:ascii="Cambria Math" w:hAnsi="Cambria Math" w:cs="Arial"/>
            <w:lang w:val="en-GB"/>
          </w:rPr>
          <m:t xml:space="preserve">= </m:t>
        </m:r>
        <m:f>
          <m:fPr>
            <m:ctrlPr>
              <w:rPr>
                <w:rFonts w:ascii="Cambria Math" w:hAnsi="Cambria Math" w:cs="Arial"/>
                <w:i/>
                <w:lang w:val="en-GB"/>
              </w:rPr>
            </m:ctrlPr>
          </m:fPr>
          <m:num>
            <m:sSub>
              <m:sSubPr>
                <m:ctrlPr>
                  <w:rPr>
                    <w:rFonts w:ascii="Cambria Math" w:hAnsi="Cambria Math" w:cs="Arial"/>
                    <w:i/>
                    <w:lang w:val="en-GB"/>
                  </w:rPr>
                </m:ctrlPr>
              </m:sSubPr>
              <m:e>
                <m:r>
                  <w:rPr>
                    <w:rFonts w:ascii="Cambria Math" w:hAnsi="Cambria Math" w:cs="Arial"/>
                    <w:lang w:val="en-GB"/>
                  </w:rPr>
                  <m:t>GPP</m:t>
                </m:r>
              </m:e>
              <m:sub>
                <m:r>
                  <w:rPr>
                    <w:rFonts w:ascii="Cambria Math" w:hAnsi="Cambria Math" w:cs="Arial"/>
                    <w:lang w:val="en-GB"/>
                  </w:rPr>
                  <m:t>IAV,January</m:t>
                </m:r>
              </m:sub>
            </m:sSub>
            <m:r>
              <w:rPr>
                <w:rFonts w:ascii="Cambria Math" w:hAnsi="Cambria Math" w:cs="Arial"/>
                <w:lang w:val="en-GB"/>
              </w:rPr>
              <m:t xml:space="preserve">+ </m:t>
            </m:r>
            <m:d>
              <m:dPr>
                <m:begChr m:val="["/>
                <m:endChr m:val="]"/>
                <m:ctrlPr>
                  <w:rPr>
                    <w:rFonts w:ascii="Cambria Math" w:hAnsi="Cambria Math" w:cs="Arial"/>
                    <w:i/>
                    <w:lang w:val="en-GB"/>
                  </w:rPr>
                </m:ctrlPr>
              </m:dPr>
              <m:e>
                <m:r>
                  <w:rPr>
                    <w:rFonts w:ascii="Cambria Math" w:hAnsi="Cambria Math" w:cs="Arial"/>
                    <w:lang w:val="en-GB"/>
                  </w:rPr>
                  <m:t>...</m:t>
                </m:r>
              </m:e>
            </m:d>
            <m:r>
              <w:rPr>
                <w:rFonts w:ascii="Cambria Math" w:hAnsi="Cambria Math" w:cs="Arial"/>
                <w:lang w:val="en-GB"/>
              </w:rPr>
              <m:t xml:space="preserve">+ </m:t>
            </m:r>
            <m:sSub>
              <m:sSubPr>
                <m:ctrlPr>
                  <w:rPr>
                    <w:rFonts w:ascii="Cambria Math" w:hAnsi="Cambria Math" w:cs="Arial"/>
                    <w:i/>
                    <w:lang w:val="en-GB"/>
                  </w:rPr>
                </m:ctrlPr>
              </m:sSubPr>
              <m:e>
                <m:r>
                  <w:rPr>
                    <w:rFonts w:ascii="Cambria Math" w:hAnsi="Cambria Math" w:cs="Arial"/>
                    <w:lang w:val="en-GB"/>
                  </w:rPr>
                  <m:t>GPP</m:t>
                </m:r>
              </m:e>
              <m:sub>
                <m:r>
                  <w:rPr>
                    <w:rFonts w:ascii="Cambria Math" w:hAnsi="Cambria Math" w:cs="Arial"/>
                    <w:lang w:val="en-GB"/>
                  </w:rPr>
                  <m:t>IAV,December</m:t>
                </m:r>
              </m:sub>
            </m:sSub>
          </m:num>
          <m:den>
            <m:r>
              <w:rPr>
                <w:rFonts w:ascii="Cambria Math" w:hAnsi="Cambria Math" w:cs="Arial"/>
                <w:lang w:val="en-GB"/>
              </w:rPr>
              <m:t>12</m:t>
            </m:r>
          </m:den>
        </m:f>
      </m:oMath>
      <w:r w:rsidRPr="00364D88">
        <w:rPr>
          <w:rFonts w:ascii="Arial" w:eastAsiaTheme="minorEastAsia" w:hAnsi="Arial" w:cs="Arial"/>
          <w:lang w:val="en-GB"/>
        </w:rPr>
        <w:t>)</w:t>
      </w:r>
      <w:r w:rsidRPr="00364D88">
        <w:rPr>
          <w:rFonts w:ascii="Arial" w:hAnsi="Arial" w:cs="Arial"/>
          <w:lang w:val="en-GB"/>
        </w:rPr>
        <w:t xml:space="preserve">. </w:t>
      </w:r>
      <w:r w:rsidR="00103339" w:rsidRPr="00364D88">
        <w:rPr>
          <w:rFonts w:ascii="Arial" w:hAnsi="Arial" w:cs="Arial"/>
          <w:lang w:val="en-GB"/>
        </w:rPr>
        <w:t xml:space="preserve">We calculated PV as following </w:t>
      </w:r>
      <w:r w:rsidR="00D04ADD" w:rsidRPr="00364D88">
        <w:rPr>
          <w:rFonts w:ascii="Arial" w:hAnsi="Arial" w:cs="Arial"/>
          <w:lang w:val="en-GB"/>
        </w:rPr>
        <w:t>(</w:t>
      </w:r>
      <w:r w:rsidR="00103339" w:rsidRPr="00364D88">
        <w:rPr>
          <w:rFonts w:ascii="Arial" w:hAnsi="Arial" w:cs="Arial"/>
          <w:lang w:val="en-GB"/>
        </w:rPr>
        <w:fldChar w:fldCharType="begin" w:fldLock="1"/>
      </w:r>
      <w:r w:rsidR="001F6B70" w:rsidRPr="00364D88">
        <w:rPr>
          <w:rFonts w:ascii="Arial" w:hAnsi="Arial" w:cs="Arial"/>
          <w:lang w:val="en-GB"/>
        </w:rPr>
        <w:instrText>ADDIN CSL_CITATION {"citationItems":[{"id":"ITEM-1","itemData":{"author":[{"dropping-particle":"","family":"Fernández-Martínez","given":"Marcos","non-dropping-particle":"","parse-names":false,"suffix":""},{"dropping-particle":"","family":"Vicca","given":"Sara","non-dropping-particle":"","parse-names":false,"suffix":""},{"dropping-particle":"","family":"Janssens","given":"Ivan. A.","non-dropping-particle":"","parse-names":false,"suffix":""},{"dropping-particle":"","family":"Martín-Vide","given":"Javier","non-dropping-particle":"","parse-names":false,"suffix":""},{"dropping-particle":"","family":"Peñuelas","given":"Josep","non-dropping-particle":"","parse-names":false,"suffix":""}],"container-title":"Ecosphere","id":"ITEM-1","issue":"12","issued":{"date-parts":[["2018"]]},"page":"e02527","title":"The consecutive disparity index, D, as measure of temporal variability in ecological studies","type":"article-journal","volume":"9"},"uris":["http://www.mendeley.com/documents/?uuid=a1d4d626-0c4d-4913-b2bd-b9d3496ccf4c"]},{"id":"ITEM-2","itemData":{"DOI":"10.1111/j.2006.0030-1299.15067.x","ISBN":"0030-1299","ISSN":"00301299","PMID":"2149","abstract":"Understanding variability of population abundances is of central concern to theoretical and applied evolutionary ecology, yet quantifying the conceptually simple idea has been substantially problematic. Standard statistical measures of variability are particularly biassed by rare events, zero counts and other ‘non-Gaussian’ behaviour, which are often inappropriately weighted or excluded from analysis. I conjecture that these problems are primarily a function of calculating variation as deviation from an average abundance, while the average may not be static, nor actually reflect abundance at any point in the time series. Here I describe a simple metric (population variability PV) that quantifies variability as the average percent difference between all combinations of observed abundances. Zero counts can be included if desired. Similar to standard metrics, variability is measured on a proportional scale, facilitating comparative applications. Standard metrics are based on Gaussian distributions, are over-sensitive to rare events and heavy tailed behaviour, and can inappropriately indicate ‘more time-more variation’ effects (reddened spectrum). Here I demonstrate that, while PV behaves similarly for ‘normal’ time series, it is independent of deviation from mean abundance for heavy tailed distributions, its robustness to non-Gaussian behaviour resolves artificial reddened spectrum issues, and variability calculated using PV from short time series is substantially more accurate at estimating known long term variability than standard metrics. PV therefore provides common ground for evaluating the variability of populations undergoing different dynamics, and with different statistical distributions of abundance, and can be easily generalized to a variety of contexts and disciplines.","author":[{"dropping-particle":"","family":"Heath","given":"Joel P","non-dropping-particle":"","parse-names":false,"suffix":""}],"container-title":"Oikos","id":"ITEM-2","issue":"3","issued":{"date-parts":[["2006","12","1"]]},"page":"573-581","publisher":"Wiley/Blackwell (10.1111)","title":"Quantifying temporal variability in population abundances","type":"article-journal","volume":"115"},"uris":["http://www.mendeley.com/documents/?uuid=e3c84cc6-b758-45c6-8eee-40ad870999ee"]}],"mendeley":{"formattedCitation":"(Heath, 2006; Fernández-Martínez &lt;i&gt;et al.&lt;/i&gt;, 2018b)","manualFormatting":"Heath, 2006; Fernández-Martínez et al., 2018b)","plainTextFormattedCitation":"(Heath, 2006; Fernández-Martínez et al., 2018b)","previouslyFormattedCitation":"(Heath, 2006; Fernández-Martínez &lt;i&gt;et al.&lt;/i&gt;, 2018b)"},"properties":{"noteIndex":0},"schema":"https://github.com/citation-style-language/schema/raw/master/csl-citation.json"}</w:instrText>
      </w:r>
      <w:r w:rsidR="00103339" w:rsidRPr="00364D88">
        <w:rPr>
          <w:rFonts w:ascii="Arial" w:hAnsi="Arial" w:cs="Arial"/>
          <w:lang w:val="en-GB"/>
        </w:rPr>
        <w:fldChar w:fldCharType="separate"/>
      </w:r>
      <w:r w:rsidR="00103339" w:rsidRPr="00364D88">
        <w:rPr>
          <w:rFonts w:ascii="Arial" w:hAnsi="Arial" w:cs="Arial"/>
          <w:noProof/>
          <w:lang w:val="en-GB"/>
        </w:rPr>
        <w:t xml:space="preserve">Heath, 2006; Fernández-Martínez </w:t>
      </w:r>
      <w:r w:rsidR="00103339" w:rsidRPr="00364D88">
        <w:rPr>
          <w:rFonts w:ascii="Arial" w:hAnsi="Arial" w:cs="Arial"/>
          <w:i/>
          <w:noProof/>
          <w:lang w:val="en-GB"/>
        </w:rPr>
        <w:t>et al.</w:t>
      </w:r>
      <w:r w:rsidR="00103339" w:rsidRPr="00364D88">
        <w:rPr>
          <w:rFonts w:ascii="Arial" w:hAnsi="Arial" w:cs="Arial"/>
          <w:noProof/>
          <w:lang w:val="en-GB"/>
        </w:rPr>
        <w:t>, 2018b)</w:t>
      </w:r>
      <w:r w:rsidR="00103339" w:rsidRPr="00364D88">
        <w:rPr>
          <w:rFonts w:ascii="Arial" w:hAnsi="Arial" w:cs="Arial"/>
          <w:lang w:val="en-GB"/>
        </w:rPr>
        <w:fldChar w:fldCharType="end"/>
      </w:r>
      <w:r w:rsidR="00103339" w:rsidRPr="00364D88">
        <w:rPr>
          <w:rFonts w:ascii="Arial" w:hAnsi="Arial" w:cs="Arial"/>
          <w:lang w:val="en-GB"/>
        </w:rPr>
        <w:t xml:space="preserve">: </w:t>
      </w:r>
    </w:p>
    <w:p w14:paraId="37B1579E" w14:textId="7F8EECEE" w:rsidR="00103339" w:rsidRPr="00364D88" w:rsidRDefault="00103339" w:rsidP="00103339">
      <w:pPr>
        <w:spacing w:line="360" w:lineRule="auto"/>
        <w:jc w:val="both"/>
        <w:outlineLvl w:val="0"/>
        <w:rPr>
          <w:rFonts w:ascii="Arial" w:hAnsi="Arial" w:cs="Arial"/>
          <w:lang w:val="en-GB"/>
        </w:rPr>
      </w:pPr>
      <m:oMathPara>
        <m:oMath>
          <m:r>
            <w:rPr>
              <w:rFonts w:ascii="Cambria Math" w:hAnsi="Cambria Math" w:cs="Arial"/>
              <w:lang w:val="en-GB"/>
            </w:rPr>
            <m:t xml:space="preserve">PV= </m:t>
          </m:r>
          <m:f>
            <m:fPr>
              <m:ctrlPr>
                <w:rPr>
                  <w:rFonts w:ascii="Cambria Math" w:hAnsi="Cambria Math" w:cs="Arial"/>
                  <w:i/>
                  <w:lang w:val="en-GB"/>
                </w:rPr>
              </m:ctrlPr>
            </m:fPr>
            <m:num>
              <m:r>
                <w:rPr>
                  <w:rFonts w:ascii="Cambria Math" w:hAnsi="Cambria Math" w:cs="Arial"/>
                  <w:lang w:val="en-GB"/>
                </w:rPr>
                <m:t xml:space="preserve">2 </m:t>
              </m:r>
              <m:nary>
                <m:naryPr>
                  <m:chr m:val="∑"/>
                  <m:limLoc m:val="undOvr"/>
                  <m:subHide m:val="1"/>
                  <m:supHide m:val="1"/>
                  <m:ctrlPr>
                    <w:rPr>
                      <w:rFonts w:ascii="Cambria Math" w:hAnsi="Cambria Math" w:cs="Arial"/>
                      <w:i/>
                      <w:lang w:val="en-GB"/>
                    </w:rPr>
                  </m:ctrlPr>
                </m:naryPr>
                <m:sub/>
                <m:sup/>
                <m:e>
                  <m:r>
                    <w:rPr>
                      <w:rFonts w:ascii="Cambria Math" w:hAnsi="Cambria Math" w:cs="Arial"/>
                      <w:lang w:val="en-GB"/>
                    </w:rPr>
                    <m:t>z</m:t>
                  </m:r>
                </m:e>
              </m:nary>
            </m:num>
            <m:den>
              <m:r>
                <w:rPr>
                  <w:rFonts w:ascii="Cambria Math" w:hAnsi="Cambria Math" w:cs="Arial"/>
                  <w:lang w:val="en-GB"/>
                </w:rPr>
                <m:t>n</m:t>
              </m:r>
              <m:d>
                <m:dPr>
                  <m:ctrlPr>
                    <w:rPr>
                      <w:rFonts w:ascii="Cambria Math" w:hAnsi="Cambria Math" w:cs="Arial"/>
                      <w:i/>
                      <w:lang w:val="en-GB"/>
                    </w:rPr>
                  </m:ctrlPr>
                </m:dPr>
                <m:e>
                  <m:r>
                    <w:rPr>
                      <w:rFonts w:ascii="Cambria Math" w:hAnsi="Cambria Math" w:cs="Arial"/>
                      <w:lang w:val="en-GB"/>
                    </w:rPr>
                    <m:t>n-1</m:t>
                  </m:r>
                </m:e>
              </m:d>
            </m:den>
          </m:f>
          <m:r>
            <w:rPr>
              <w:rFonts w:ascii="Cambria Math" w:hAnsi="Cambria Math" w:cs="Arial"/>
              <w:lang w:val="en-GB"/>
            </w:rPr>
            <m:t xml:space="preserve"> </m:t>
          </m:r>
        </m:oMath>
      </m:oMathPara>
    </w:p>
    <w:p w14:paraId="297B22EA" w14:textId="77777777" w:rsidR="00103339" w:rsidRPr="00364D88" w:rsidRDefault="00103339" w:rsidP="00103339">
      <w:pPr>
        <w:spacing w:line="360" w:lineRule="auto"/>
        <w:jc w:val="both"/>
        <w:outlineLvl w:val="0"/>
        <w:rPr>
          <w:rFonts w:ascii="Arial" w:hAnsi="Arial" w:cs="Arial"/>
          <w:lang w:val="en-GB"/>
        </w:rPr>
      </w:pPr>
      <w:r w:rsidRPr="00364D88">
        <w:rPr>
          <w:rFonts w:ascii="Arial" w:hAnsi="Arial" w:cs="Arial"/>
          <w:lang w:val="en-GB"/>
        </w:rPr>
        <w:t>Where z is calculated as:</w:t>
      </w:r>
    </w:p>
    <w:p w14:paraId="73F72EAA" w14:textId="7446D807" w:rsidR="00103339" w:rsidRPr="00364D88" w:rsidRDefault="00103339" w:rsidP="00103339">
      <w:pPr>
        <w:spacing w:line="360" w:lineRule="auto"/>
        <w:jc w:val="both"/>
        <w:outlineLvl w:val="0"/>
        <w:rPr>
          <w:rFonts w:ascii="Arial" w:hAnsi="Arial" w:cs="Arial"/>
          <w:lang w:val="en-GB"/>
        </w:rPr>
      </w:pPr>
      <m:oMathPara>
        <m:oMath>
          <m:r>
            <w:rPr>
              <w:rFonts w:ascii="Cambria Math" w:hAnsi="Cambria Math" w:cs="Arial"/>
              <w:lang w:val="en-GB"/>
            </w:rPr>
            <m:t xml:space="preserve">z=1- </m:t>
          </m:r>
          <m:f>
            <m:fPr>
              <m:ctrlPr>
                <w:rPr>
                  <w:rFonts w:ascii="Cambria Math" w:hAnsi="Cambria Math" w:cs="Arial"/>
                  <w:i/>
                  <w:lang w:val="en-GB"/>
                </w:rPr>
              </m:ctrlPr>
            </m:fPr>
            <m:num>
              <m:func>
                <m:funcPr>
                  <m:ctrlPr>
                    <w:rPr>
                      <w:rFonts w:ascii="Cambria Math" w:hAnsi="Cambria Math" w:cs="Arial"/>
                      <w:lang w:val="en-GB"/>
                    </w:rPr>
                  </m:ctrlPr>
                </m:funcPr>
                <m:fName>
                  <m:r>
                    <m:rPr>
                      <m:sty m:val="p"/>
                    </m:rPr>
                    <w:rPr>
                      <w:rFonts w:ascii="Cambria Math" w:hAnsi="Cambria Math" w:cs="Arial"/>
                      <w:lang w:val="en-GB"/>
                    </w:rPr>
                    <m:t>min</m:t>
                  </m:r>
                </m:fName>
                <m:e>
                  <m:d>
                    <m:dPr>
                      <m:ctrlPr>
                        <w:rPr>
                          <w:rFonts w:ascii="Cambria Math" w:hAnsi="Cambria Math" w:cs="Arial"/>
                          <w:i/>
                          <w:lang w:val="en-GB"/>
                        </w:rPr>
                      </m:ctrlPr>
                    </m:dPr>
                    <m:e>
                      <m:sSub>
                        <m:sSubPr>
                          <m:ctrlPr>
                            <w:rPr>
                              <w:rFonts w:ascii="Cambria Math" w:hAnsi="Cambria Math" w:cs="Arial"/>
                              <w:i/>
                              <w:lang w:val="en-GB"/>
                            </w:rPr>
                          </m:ctrlPr>
                        </m:sSubPr>
                        <m:e>
                          <m:r>
                            <w:rPr>
                              <w:rFonts w:ascii="Cambria Math" w:hAnsi="Cambria Math" w:cs="Arial"/>
                              <w:lang w:val="en-GB"/>
                            </w:rPr>
                            <m:t>z</m:t>
                          </m:r>
                        </m:e>
                        <m:sub>
                          <m:r>
                            <w:rPr>
                              <w:rFonts w:ascii="Cambria Math" w:hAnsi="Cambria Math" w:cs="Arial"/>
                              <w:lang w:val="en-GB"/>
                            </w:rPr>
                            <m:t xml:space="preserve">i </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z</m:t>
                          </m:r>
                        </m:e>
                        <m:sub>
                          <m:r>
                            <w:rPr>
                              <w:rFonts w:ascii="Cambria Math" w:hAnsi="Cambria Math" w:cs="Arial"/>
                              <w:lang w:val="en-GB"/>
                            </w:rPr>
                            <m:t xml:space="preserve">j </m:t>
                          </m:r>
                        </m:sub>
                      </m:sSub>
                    </m:e>
                  </m:d>
                </m:e>
              </m:func>
            </m:num>
            <m:den>
              <m:func>
                <m:funcPr>
                  <m:ctrlPr>
                    <w:rPr>
                      <w:rFonts w:ascii="Cambria Math" w:hAnsi="Cambria Math" w:cs="Arial"/>
                      <w:lang w:val="en-GB"/>
                    </w:rPr>
                  </m:ctrlPr>
                </m:funcPr>
                <m:fName>
                  <m:r>
                    <m:rPr>
                      <m:sty m:val="p"/>
                    </m:rPr>
                    <w:rPr>
                      <w:rFonts w:ascii="Cambria Math" w:hAnsi="Cambria Math" w:cs="Arial"/>
                      <w:lang w:val="en-GB"/>
                    </w:rPr>
                    <m:t>max</m:t>
                  </m:r>
                </m:fName>
                <m:e>
                  <m:d>
                    <m:dPr>
                      <m:ctrlPr>
                        <w:rPr>
                          <w:rFonts w:ascii="Cambria Math" w:hAnsi="Cambria Math" w:cs="Arial"/>
                          <w:i/>
                          <w:lang w:val="en-GB"/>
                        </w:rPr>
                      </m:ctrlPr>
                    </m:dPr>
                    <m:e>
                      <m:sSub>
                        <m:sSubPr>
                          <m:ctrlPr>
                            <w:rPr>
                              <w:rFonts w:ascii="Cambria Math" w:hAnsi="Cambria Math" w:cs="Arial"/>
                              <w:i/>
                              <w:lang w:val="en-GB"/>
                            </w:rPr>
                          </m:ctrlPr>
                        </m:sSubPr>
                        <m:e>
                          <m:r>
                            <w:rPr>
                              <w:rFonts w:ascii="Cambria Math" w:hAnsi="Cambria Math" w:cs="Arial"/>
                              <w:lang w:val="en-GB"/>
                            </w:rPr>
                            <m:t>z</m:t>
                          </m:r>
                        </m:e>
                        <m:sub>
                          <m:r>
                            <w:rPr>
                              <w:rFonts w:ascii="Cambria Math" w:hAnsi="Cambria Math" w:cs="Arial"/>
                              <w:lang w:val="en-GB"/>
                            </w:rPr>
                            <m:t xml:space="preserve">i </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z</m:t>
                          </m:r>
                        </m:e>
                        <m:sub>
                          <m:r>
                            <w:rPr>
                              <w:rFonts w:ascii="Cambria Math" w:hAnsi="Cambria Math" w:cs="Arial"/>
                              <w:lang w:val="en-GB"/>
                            </w:rPr>
                            <m:t xml:space="preserve">j </m:t>
                          </m:r>
                        </m:sub>
                      </m:sSub>
                    </m:e>
                  </m:d>
                </m:e>
              </m:func>
            </m:den>
          </m:f>
        </m:oMath>
      </m:oMathPara>
    </w:p>
    <w:p w14:paraId="6E9AAD59" w14:textId="6FFD4AB3" w:rsidR="00103339" w:rsidRPr="00364D88" w:rsidRDefault="00103339" w:rsidP="00103339">
      <w:pPr>
        <w:spacing w:line="360" w:lineRule="auto"/>
        <w:jc w:val="both"/>
        <w:outlineLvl w:val="0"/>
        <w:rPr>
          <w:rFonts w:ascii="Arial" w:hAnsi="Arial" w:cs="Arial"/>
          <w:lang w:val="en-GB"/>
        </w:rPr>
      </w:pPr>
      <w:r w:rsidRPr="00364D88">
        <w:rPr>
          <w:rFonts w:ascii="Arial" w:hAnsi="Arial" w:cs="Arial"/>
          <w:lang w:val="en-GB"/>
        </w:rPr>
        <w:t xml:space="preserve">“n” is the number of values in a time series, and “z” </w:t>
      </w:r>
      <w:r w:rsidR="00DC5D77" w:rsidRPr="00364D88">
        <w:rPr>
          <w:rFonts w:ascii="Arial" w:hAnsi="Arial" w:cs="Arial"/>
          <w:lang w:val="en-GB"/>
        </w:rPr>
        <w:t xml:space="preserve">is </w:t>
      </w:r>
      <w:r w:rsidRPr="00364D88">
        <w:rPr>
          <w:rFonts w:ascii="Arial" w:hAnsi="Arial" w:cs="Arial"/>
          <w:lang w:val="en-GB"/>
        </w:rPr>
        <w:t>the list of individual values from which to calculate the pairwise comparisons.</w:t>
      </w:r>
    </w:p>
    <w:p w14:paraId="51ABC556" w14:textId="1DF58276" w:rsidR="00DC679B" w:rsidRPr="00364D88" w:rsidRDefault="00DC679B" w:rsidP="00DC679B">
      <w:pPr>
        <w:spacing w:line="360" w:lineRule="auto"/>
        <w:jc w:val="both"/>
        <w:outlineLvl w:val="0"/>
        <w:rPr>
          <w:rFonts w:ascii="Arial" w:hAnsi="Arial" w:cs="Arial"/>
          <w:lang w:val="en-GB"/>
        </w:rPr>
      </w:pPr>
      <w:r w:rsidRPr="00364D88">
        <w:rPr>
          <w:rFonts w:ascii="Arial" w:hAnsi="Arial" w:cs="Arial"/>
          <w:lang w:val="en-GB"/>
        </w:rPr>
        <w:lastRenderedPageBreak/>
        <w:t>Interannual variability of climate variables (MAT</w:t>
      </w:r>
      <w:r w:rsidRPr="00364D88">
        <w:rPr>
          <w:rFonts w:ascii="Arial" w:hAnsi="Arial" w:cs="Arial"/>
          <w:vertAlign w:val="subscript"/>
          <w:lang w:val="en-GB"/>
        </w:rPr>
        <w:t>IAV</w:t>
      </w:r>
      <w:r w:rsidRPr="00364D88">
        <w:rPr>
          <w:rFonts w:ascii="Arial" w:hAnsi="Arial" w:cs="Arial"/>
          <w:lang w:val="en-GB"/>
        </w:rPr>
        <w:t xml:space="preserve"> and MAP</w:t>
      </w:r>
      <w:r w:rsidRPr="00364D88">
        <w:rPr>
          <w:rFonts w:ascii="Arial" w:hAnsi="Arial" w:cs="Arial"/>
          <w:vertAlign w:val="subscript"/>
          <w:lang w:val="en-GB"/>
        </w:rPr>
        <w:t>IAV</w:t>
      </w:r>
      <w:r w:rsidRPr="00364D88">
        <w:rPr>
          <w:rFonts w:ascii="Arial" w:hAnsi="Arial" w:cs="Arial"/>
          <w:lang w:val="en-GB"/>
        </w:rPr>
        <w:t>) was estimated using the same method. We collected stand age of forests from ancillary data and a global forest database</w:t>
      </w:r>
      <w:r w:rsidR="009E486E" w:rsidRPr="00364D88">
        <w:rPr>
          <w:rFonts w:ascii="Arial" w:hAnsi="Arial" w:cs="Arial"/>
          <w:lang w:val="en-GB"/>
        </w:rPr>
        <w:t xml:space="preserve"> </w:t>
      </w:r>
      <w:r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10.1111/j.1365-2486.2007.01439.x","ISSN":"1354-1013","author":[{"dropping-particle":"","family":"Luyssaert","given":"S.","non-dropping-particle":"","parse-names":false,"suffix":""},{"dropping-particle":"","family":"Inglima","given":"I.","non-dropping-particle":"","parse-names":false,"suffix":""},{"dropping-particle":"","family":"Jung","given":"M.","non-dropping-particle":"","parse-names":false,"suffix":""},{"dropping-particle":"","family":"Richardson","given":"a. D.","non-dropping-particle":"","parse-names":false,"suffix":""},{"dropping-particle":"","family":"Reichstein","given":"M.","non-dropping-particle":"","parse-names":false,"suffix":""},{"dropping-particle":"","family":"Papale","given":"D.","non-dropping-particle":"","parse-names":false,"suffix":""},{"dropping-particle":"","family":"Piao","given":"S. L.","non-dropping-particle":"","parse-names":false,"suffix":""},{"dropping-particle":"","family":"Schulze","given":"E. -D.","non-dropping-particle":"","parse-names":false,"suffix":""},{"dropping-particle":"","family":"Wingate","given":"L.","non-dropping-particle":"","parse-names":false,"suffix":""},{"dropping-particle":"","family":"Matteucci","given":"G.","non-dropping-particle":"","parse-names":false,"suffix":""},{"dropping-particle":"","family":"Aragao","given":"L.","non-dropping-particle":"","parse-names":false,"suffix":""},{"dropping-particle":"","family":"Aubinet","given":"M.","non-dropping-particle":"","parse-names":false,"suffix":""},{"dropping-particle":"","family":"Beer","given":"C.","non-dropping-particle":"","parse-names":false,"suffix":""},{"dropping-particle":"","family":"Bernhofer","given":"C.","non-dropping-particle":"","parse-names":false,"suffix":""},{"dropping-particle":"","family":"Black","given":"K. G.","non-dropping-particle":"","parse-names":false,"suffix":""},{"dropping-particle":"","family":"Bonal","given":"D.","non-dropping-particle":"","parse-names":false,"suffix":""},{"dropping-particle":"","family":"Bonnefond","given":"J. -M.","non-dropping-particle":"","parse-names":false,"suffix":""},{"dropping-particle":"","family":"Chambers","given":"J.","non-dropping-particle":"","parse-names":false,"suffix":""},{"dropping-particle":"","family":"Ciais","given":"P.","non-dropping-particle":"","parse-names":false,"suffix":""},{"dropping-particle":"","family":"Cook","given":"B.","non-dropping-particle":"","parse-names":false,"suffix":""},{"dropping-particle":"","family":"Davis","given":"K. J.","non-dropping-particle":"","parse-names":false,"suffix":""},{"dropping-particle":"","family":"Dolman","given":"a. J.","non-dropping-particle":"","parse-names":false,"suffix":""},{"dropping-particle":"","family":"Gielen","given":"B.","non-dropping-particle":"","parse-names":false,"suffix":""},{"dropping-particle":"","family":"Goulden","given":"M.","non-dropping-particle":"","parse-names":false,"suffix":""},{"dropping-particle":"","family":"Grace","given":"J.","non-dropping-particle":"","parse-names":false,"suffix":""},{"dropping-particle":"","family":"Granier","given":"a.","non-dropping-particle":"","parse-names":false,"suffix":""},{"dropping-particle":"","family":"Grelle","given":"a.","non-dropping-particle":"","parse-names":false,"suffix":""},{"dropping-particle":"","family":"Griffis","given":"T.","non-dropping-particle":"","parse-names":false,"suffix":""},{"dropping-particle":"","family":"Grünwald","given":"T.","non-dropping-particle":"","parse-names":false,"suffix":""},{"dropping-particle":"","family":"Guidolotti","given":"G.","non-dropping-particle":"","parse-names":false,"suffix":""},{"dropping-particle":"","family":"Hanson","given":"P. J.","non-dropping-particle":"","parse-names":false,"suffix":""},{"dropping-particle":"","family":"Harding","given":"R.","non-dropping-particle":"","parse-names":false,"suffix":""},{"dropping-particle":"","family":"Hollinger","given":"D. Y.","non-dropping-particle":"","parse-names":false,"suffix":""},{"dropping-particle":"","family":"Hutyra","given":"L. R.","non-dropping-particle":"","parse-names":false,"suffix":""},{"dropping-particle":"","family":"Kolari","given":"P.","non-dropping-particle":"","parse-names":false,"suffix":""},{"dropping-particle":"","family":"Kruijt","given":"B.","non-dropping-particle":"","parse-names":false,"suffix":""},{"dropping-particle":"","family":"Kutsch","given":"W.","non-dropping-particle":"","parse-names":false,"suffix":""},{"dropping-particle":"","family":"Lagergren","given":"F.","non-dropping-particle":"","parse-names":false,"suffix":""},{"dropping-particle":"","family":"Laurila","given":"T.","non-dropping-particle":"","parse-names":false,"suffix":""},{"dropping-particle":"","family":"Law","given":"B. E.","non-dropping-particle":"","parse-names":false,"suffix":""},{"dropping-particle":"","family":"Maire","given":"G.","non-dropping-particle":"Le","parse-names":false,"suffix":""},{"dropping-particle":"","family":"Lindroth","given":"a.","non-dropping-particle":"","parse-names":false,"suffix":""},{"dropping-particle":"","family":"Loustau","given":"D.","non-dropping-particle":"","parse-names":false,"suffix":""},{"dropping-particle":"","family":"Malhi","given":"Y.","non-dropping-particle":"","parse-names":false,"suffix":""},{"dropping-particle":"","family":"Mateus","given":"J.","non-dropping-particle":"","parse-names":false,"suffix":""},{"dropping-particle":"","family":"Migliavacca","given":"M.","non-dropping-particle":"","parse-names":false,"suffix":""},{"dropping-particle":"","family":"Misson","given":"L.","non-dropping-particle":"","parse-names":false,"suffix":""},{"dropping-particle":"","family":"Montagnani","given":"L.","non-dropping-particle":"","parse-names":false,"suffix":""},{"dropping-particle":"","family":"Moncrieff","given":"J.","non-dropping-particle":"","parse-names":false,"suffix":""},{"dropping-particle":"","family":"Moors","given":"E.","non-dropping-particle":"","parse-names":false,"suffix":""},{"dropping-particle":"","family":"Munger","given":"J. W.","non-dropping-particle":"","parse-names":false,"suffix":""},{"dropping-particle":"","family":"Nikinmaa","given":"E.","non-dropping-particle":"","parse-names":false,"suffix":""},{"dropping-particle":"V.","family":"Ollinger","given":"S.","non-dropping-particle":"","parse-names":false,"suffix":""},{"dropping-particle":"","family":"Pita","given":"G.","non-dropping-particle":"","parse-names":false,"suffix":""},{"dropping-particle":"","family":"Rebmann","given":"C.","non-dropping-particle":"","parse-names":false,"suffix":""},{"dropping-particle":"","family":"Roupsard","given":"O.","non-dropping-particle":"","parse-names":false,"suffix":""},{"dropping-particle":"","family":"Saigusa","given":"N.","non-dropping-particle":"","parse-names":false,"suffix":""},{"dropping-particle":"","family":"Sanz","given":"M. J.","non-dropping-particle":"","parse-names":false,"suffix":""},{"dropping-particle":"","family":"Seufert","given":"G.","non-dropping-particle":"","parse-names":false,"suffix":""},{"dropping-particle":"","family":"Sierra","given":"C.","non-dropping-particle":"","parse-names":false,"suffix":""},{"dropping-particle":"","family":"Smith","given":"M. -L.","non-dropping-particle":"","parse-names":false,"suffix":""},{"dropping-particle":"","family":"Tang","given":"J.","non-dropping-particle":"","parse-names":false,"suffix":""},{"dropping-particle":"","family":"Valentini","given":"R.","non-dropping-particle":"","parse-names":false,"suffix":""},{"dropping-particle":"","family":"Vesala","given":"T.","non-dropping-particle":"","parse-names":false,"suffix":""},{"dropping-particle":"","family":"Janssens","given":"I. a.","non-dropping-particle":"","parse-names":false,"suffix":""}],"container-title":"Global Change Biology","id":"ITEM-1","issue":"12","issued":{"date-parts":[["2007","12"]]},"page":"2509-2537","title":"CO 2 balance of boreal, temperate, and tropical forests derived from a global database","type":"article-journal","volume":"13"},"uris":["http://www.mendeley.com/documents/?uuid=6cb192b7-2cd4-44f4-977f-c20f829f19b5"]},{"id":"ITEM-2","itemData":{"DOI":"10.1038/ngeo2553","ISBN":"1752-0908","ISSN":"1752-0894","abstract":"Plants acquire carbon through photosynthesis to sustain biomass production, autotrophic respiration and production of non-structural compounds for multiple purposes. The fraction of photosynthetic production used for biomass production, the biomass production efficiency, is a key determinant of the conversion of solar energy to biomass. In forest ecosystems, biomass production efficiency was suggested to be related to site fertility. Here we present a database of biomass production efficiency from 131 sites compiled from individual studies using harvest, biometric, eddy covariance, or process-based model estimates of production. The database is global, but dominated by data from Europe and North America. We show that instead of site fertility, ecosystem management is the key factor that controls biomass production efficiency in terrestrial ecosystems. In addition, in natural forests, grasslands, tundra, boreal peatlands and marshes, biomass production efficiency is independent of vegetation, environmental and climatic drivers. This similarity of biomass production efficiency across natural ecosystem types suggests that the ratio of biomass production to gross primary productivity is constant across natural ecosystems. We suggest that plant adaptation results in similar growth efficiency in high- and low-fertility natural systems, but that nutrient influxes under managed conditions favour a shift to carbon investment from the belowground flux of non-structural compounds to aboveground biomass.","author":[{"dropping-particle":"","family":"Campioli","given":"Matteo","non-dropping-particle":"","parse-names":false,"suffix":""},{"dropping-particle":"","family":"Vicca","given":"Sara","non-dropping-particle":"","parse-names":false,"suffix":""},{"dropping-particle":"","family":"Luyssaert","given":"Sebastiaan","non-dropping-particle":"","parse-names":false,"suffix":""},{"dropping-particle":"","family":"Bilcke","given":"Joke","non-dropping-particle":"","parse-names":false,"suffix":""},{"dropping-particle":"","family":"Ceschia","given":"Eric","non-dropping-particle":"","parse-names":false,"suffix":""},{"dropping-particle":"","family":"Chapin","given":"F. S.","non-dropping-particle":"","parse-names":false,"suffix":""},{"dropping-particle":"","family":"Ciais","given":"Philippe","non-dropping-particle":"","parse-names":false,"suffix":""},{"dropping-particle":"","family":"Fernández-Martínez","given":"Marcos","non-dropping-particle":"","parse-names":false,"suffix":""},{"dropping-particle":"","family":"Malhi","given":"Yadvinder","non-dropping-particle":"","parse-names":false,"suffix":""},{"dropping-particle":"","family":"Obersteiner","given":"Michael","non-dropping-particle":"","parse-names":false,"suffix":""},{"dropping-particle":"","family":"Olefeldt","given":"David","non-dropping-particle":"","parse-names":false,"suffix":""},{"dropping-particle":"","family":"Papale","given":"Dario","non-dropping-particle":"","parse-names":false,"suffix":""},{"dropping-particle":"","family":"Piao","given":"Shilong L.","non-dropping-particle":"","parse-names":false,"suffix":""},{"dropping-particle":"","family":"Peñuelas","given":"J.","non-dropping-particle":"","parse-names":false,"suffix":""},{"dropping-particle":"","family":"Sullivan","given":"Patrick F.","non-dropping-particle":"","parse-names":false,"suffix":""},{"dropping-particle":"","family":"Wang","given":"Xuhui","non-dropping-particle":"","parse-names":false,"suffix":""},{"dropping-particle":"","family":"Zenone","given":"Terenzio","non-dropping-particle":"","parse-names":false,"suffix":""},{"dropping-particle":"","family":"Janssens","given":"Ivan A.","non-dropping-particle":"","parse-names":false,"suffix":""},{"dropping-particle":"","family":"Chapin III","given":"F. S.","non-dropping-particle":"","parse-names":false,"suffix":""},{"dropping-particle":"","family":"Ciais","given":"Philippe","non-dropping-particle":"","parse-names":false,"suffix":""},{"dropping-particle":"","family":"Fernández-Martínez","given":"Marcos","non-dropping-particle":"","parse-names":false,"suffix":""},{"dropping-particle":"","family":"Malhi","given":"Yadvinder","non-dropping-particle":"","parse-names":false,"suffix":""},{"dropping-particle":"","family":"Obersteiner","given":"Michael","non-dropping-particle":"","parse-names":false,"suffix":""},{"dropping-particle":"","family":"Olefeldt","given":"David","non-dropping-particle":"","parse-names":false,"suffix":""},{"dropping-particle":"","family":"Papale","given":"Dario","non-dropping-particle":"","parse-names":false,"suffix":""},{"dropping-particle":"","family":"Piao","given":"Shilong L.","non-dropping-particle":"","parse-names":false,"suffix":""},{"dropping-particle":"","family":"Peñuelas","given":"J.","non-dropping-particle":"","parse-names":false,"suffix":""},{"dropping-particle":"","family":"Sullivan","given":"Patrick F.","non-dropping-particle":"","parse-names":false,"suffix":""},{"dropping-particle":"","family":"Wang","given":"Xuhui","non-dropping-particle":"","parse-names":false,"suffix":""},{"dropping-particle":"","family":"Zenone","given":"Terenzio","non-dropping-particle":"","parse-names":false,"suffix":""},{"dropping-particle":"","family":"Janssens","given":"Ivan A.","non-dropping-particle":"","parse-names":false,"suffix":""},{"dropping-particle":"","family":"Penuelas","given":"Josep","non-dropping-particle":"","parse-names":false,"suffix":""},{"dropping-particle":"","family":"Sullivan","given":"Patrick F.","non-dropping-particle":"","parse-names":false,"suffix":""},{"dropping-particle":"","family":"Wang","given":"Xuhui","non-dropping-particle":"","parse-names":false,"suffix":""},{"dropping-particle":"","family":"Zenone","given":"Terenzio","non-dropping-particle":"","parse-names":false,"suffix":""},{"dropping-particle":"","family":"Janssens","given":"Ivan A.","non-dropping-particle":"","parse-names":false,"suffix":""}],"container-title":"Nature Geoscience","id":"ITEM-2","issue":"October","issued":{"date-parts":[["2015","10","5"]]},"language":"en","page":"843-846","publisher":"Nature Publishing Group","title":"Biomass production efficiency controlled by management in temperate and boreal ecosystems","title-short":"Nature Geosci","type":"article-journal","volume":"8"},"uris":["http://www.mendeley.com/documents/?uuid=7d79bf21-21f6-4a2d-acac-1828dc19b8a9"]}],"mendeley":{"formattedCitation":"(Luyssaert &lt;i&gt;et al.&lt;/i&gt;, 2007b; Campioli &lt;i&gt;et al.&lt;/i&gt;, 2015)","plainTextFormattedCitation":"(Luyssaert et al., 2007b; Campioli et al., 2015)","previouslyFormattedCitation":"(Luyssaert &lt;i&gt;et al.&lt;/i&gt;, 2007b; Campioli &lt;i&gt;et al.&lt;/i&gt;, 2015)"},"properties":{"noteIndex":0},"schema":"https://github.com/citation-style-language/schema/raw/master/csl-citation.json"}</w:instrText>
      </w:r>
      <w:r w:rsidRPr="00364D88">
        <w:rPr>
          <w:rFonts w:ascii="Arial" w:hAnsi="Arial" w:cs="Arial"/>
          <w:lang w:val="en-GB"/>
        </w:rPr>
        <w:fldChar w:fldCharType="separate"/>
      </w:r>
      <w:r w:rsidR="009E486E" w:rsidRPr="00364D88">
        <w:rPr>
          <w:rFonts w:ascii="Arial" w:hAnsi="Arial" w:cs="Arial"/>
          <w:noProof/>
          <w:lang w:val="en-GB"/>
        </w:rPr>
        <w:t xml:space="preserve">(Luyssaert </w:t>
      </w:r>
      <w:r w:rsidR="009E486E" w:rsidRPr="00364D88">
        <w:rPr>
          <w:rFonts w:ascii="Arial" w:hAnsi="Arial" w:cs="Arial"/>
          <w:i/>
          <w:noProof/>
          <w:lang w:val="en-GB"/>
        </w:rPr>
        <w:t>et al.</w:t>
      </w:r>
      <w:r w:rsidR="009E486E" w:rsidRPr="00364D88">
        <w:rPr>
          <w:rFonts w:ascii="Arial" w:hAnsi="Arial" w:cs="Arial"/>
          <w:noProof/>
          <w:lang w:val="en-GB"/>
        </w:rPr>
        <w:t xml:space="preserve">, 2007b; Campioli </w:t>
      </w:r>
      <w:r w:rsidR="009E486E" w:rsidRPr="00364D88">
        <w:rPr>
          <w:rFonts w:ascii="Arial" w:hAnsi="Arial" w:cs="Arial"/>
          <w:i/>
          <w:noProof/>
          <w:lang w:val="en-GB"/>
        </w:rPr>
        <w:t>et al.</w:t>
      </w:r>
      <w:r w:rsidR="009E486E" w:rsidRPr="00364D88">
        <w:rPr>
          <w:rFonts w:ascii="Arial" w:hAnsi="Arial" w:cs="Arial"/>
          <w:noProof/>
          <w:lang w:val="en-GB"/>
        </w:rPr>
        <w:t>, 2015)</w:t>
      </w:r>
      <w:r w:rsidRPr="00364D88">
        <w:rPr>
          <w:rFonts w:ascii="Arial" w:hAnsi="Arial" w:cs="Arial"/>
          <w:lang w:val="en-GB"/>
        </w:rPr>
        <w:fldChar w:fldCharType="end"/>
      </w:r>
      <w:r w:rsidRPr="00364D88">
        <w:rPr>
          <w:rFonts w:ascii="Arial" w:hAnsi="Arial" w:cs="Arial"/>
          <w:lang w:val="en-GB"/>
        </w:rPr>
        <w:t xml:space="preserve">. </w:t>
      </w:r>
    </w:p>
    <w:p w14:paraId="45BE4ADC" w14:textId="77777777" w:rsidR="00DC679B" w:rsidRPr="00364D88" w:rsidRDefault="00DC679B" w:rsidP="00DC679B">
      <w:pPr>
        <w:spacing w:line="360" w:lineRule="auto"/>
        <w:jc w:val="both"/>
        <w:outlineLvl w:val="0"/>
        <w:rPr>
          <w:rFonts w:ascii="Arial" w:hAnsi="Arial"/>
          <w:u w:val="single"/>
          <w:lang w:val="en-GB"/>
        </w:rPr>
      </w:pPr>
      <w:r w:rsidRPr="00364D88">
        <w:rPr>
          <w:rFonts w:ascii="Arial" w:hAnsi="Arial" w:cs="Arial"/>
          <w:u w:val="single"/>
          <w:lang w:val="en-GB"/>
        </w:rPr>
        <w:t>Species composition data</w:t>
      </w:r>
    </w:p>
    <w:p w14:paraId="304AB2DD" w14:textId="3603696F" w:rsidR="00DC679B" w:rsidRPr="00364D88" w:rsidRDefault="00DC679B" w:rsidP="00DC679B">
      <w:pPr>
        <w:spacing w:line="360" w:lineRule="auto"/>
        <w:jc w:val="both"/>
        <w:outlineLvl w:val="0"/>
        <w:rPr>
          <w:rFonts w:ascii="Arial" w:hAnsi="Arial" w:cs="Arial"/>
          <w:lang w:val="en-GB"/>
        </w:rPr>
      </w:pPr>
      <w:r w:rsidRPr="00364D88">
        <w:rPr>
          <w:rFonts w:ascii="Arial" w:hAnsi="Arial" w:cs="Arial"/>
          <w:lang w:val="en-GB"/>
        </w:rPr>
        <w:t>Information on species abundance per site was extracted from</w:t>
      </w:r>
      <w:r w:rsidR="009E486E" w:rsidRPr="00364D88">
        <w:rPr>
          <w:rFonts w:ascii="Arial" w:hAnsi="Arial" w:cs="Arial"/>
          <w:lang w:val="en-GB"/>
        </w:rPr>
        <w:t xml:space="preserve"> </w:t>
      </w:r>
      <w:r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10.1038/s41559-016-0048","ISSN":"2397-334X","author":[{"dropping-particle":"","family":"Musavi","given":"Talie","non-dropping-particle":"","parse-names":false,"suffix":""},{"dropping-particle":"","family":"Migliavacca","given":"Mirco","non-dropping-particle":"","parse-names":false,"suffix":""},{"dropping-particle":"","family":"Reichstein","given":"Markus","non-dropping-particle":"","parse-names":false,"suffix":""},{"dropping-particle":"","family":"Kattge","given":"Jens","non-dropping-particle":"","parse-names":false,"suffix":""},{"dropping-particle":"","family":"Wirth","given":"Christian","non-dropping-particle":"","parse-names":false,"suffix":""},{"dropping-particle":"","family":"Black","given":"T. Andrew","non-dropping-particle":"","parse-names":false,"suffix":""},{"dropping-particle":"","family":"Janssens","given":"Ivan","non-dropping-particle":"","parse-names":false,"suffix":""},{"dropping-particle":"","family":"Knohl","given":"Alexander","non-dropping-particle":"","parse-names":false,"suffix":""},{"dropping-particle":"","family":"Loustau","given":"Denis","non-dropping-particle":"","parse-names":false,"suffix":""},{"dropping-particle":"","family":"Roupsard","given":"Olivier","non-dropping-particle":"","parse-names":false,"suffix":""},{"dropping-particle":"","family":"Varlagin","given":"Andrej","non-dropping-particle":"","parse-names":false,"suffix":""},{"dropping-particle":"","family":"Rambal","given":"Serge","non-dropping-particle":"","parse-names":false,"suffix":""},{"dropping-particle":"","family":"Cescatti","given":"Alessandro","non-dropping-particle":"","parse-names":false,"suffix":""},{"dropping-particle":"","family":"Gianelle","given":"Damiano","non-dropping-particle":"","parse-names":false,"suffix":""},{"dropping-particle":"","family":"Kondo","given":"Hiroaki","non-dropping-particle":"","parse-names":false,"suffix":""},{"dropping-particle":"","family":"Tamrakar","given":"Rijan","non-dropping-particle":"","parse-names":false,"suffix":""},{"dropping-particle":"","family":"Mahecha","given":"Miguel D.","non-dropping-particle":"","parse-names":false,"suffix":""}],"container-title":"Nature Ecology &amp; Evolution","id":"ITEM-1","issue":"2","issued":{"date-parts":[["2017"]]},"page":"0048","publisher":"Nature Publishing Group","title":"Stand age and species richness dampen interannual variation of ecosystem-level photosynthetic capacity","type":"article-journal","volume":"1"},"uris":["http://www.mendeley.com/documents/?uuid=fe4ba24d-dd2c-4a93-b6bd-ab6f4ed61e77"]},{"id":"ITEM-2","itemData":{"DOI":"10.1002/ece3.2479","ISSN":"20457758","abstract":"The aim of this study was to systematically analyze the potential and limitations of using plant functional trait observations from global databases versus in situ data to improve our understanding of vegetation impacts on ecosystem functional properties (EFPs). Using ecosystem photosynthetic capacity as an example, we first provide an objective approach to derive robust EFP estimates from gross primary productivity (GPP) obtained from eddy covariance flux measurements. Second, we investigate the impact of synchronizing EFPs and plant functional traits in time and space to evaluate their relationships, and the extent to which we can benefit from global plant trait databases to explain the variability of ecosystem photosynthetic capacity. Finally, we identify a set of plant functional traits controlling ecosystem photosynthetic capacity at selected sites. Suitable estimates of the ecosystem photosynthetic capacity can be derived from light response curve of GPP responding to radiation (photosynthetically active radiation or absorbed photosynthetically active radiation). Although the effect of climate is minimized in these calculations, the estimates indicate substantial interannual variation of the photosynthetic capacity, even after removing site-years with confounding factors like disturbance such as fire events. The relationships between foliar nitrogen concentration and ecosystem photosynthetic capacity are tighter when both of the measurements are synchronized in space and time. When using multiple plant traits simultaneously as predictors for ecosystem photosynthetic capacity variation, the combination of leaf carbon to nitrogen ratio with leaf phosphorus content explains the variance of ecosystem photosynthetic capacity best (adjusted R2 = 0.55). Overall, this study provides an objective approach to identify links between leaf level traits and canopy level processes and highlights the relevance of the dynamic nature of ecosystems. Synchronizing measurements of eddy covariance fluxes and plant traits in time and space is shown to be highly relevant to better understand the importance of intra- and interspecific trait variation on ecosystem functioning.","author":[{"dropping-particle":"","family":"Musavi","given":"Talie","non-dropping-particle":"","parse-names":false,"suffix":""},{"dropping-particle":"","family":"Migliavacca","given":"Mirco","non-dropping-particle":"","parse-names":false,"suffix":""},{"dropping-particle":"","family":"Weg","given":"Martine Janet","non-dropping-particle":"van de","parse-names":false,"suffix":""},{"dropping-particle":"","family":"Kattge","given":"Jens","non-dropping-particle":"","parse-names":false,"suffix":""},{"dropping-particle":"","family":"Wohlfahrt","given":"Georg","non-dropping-particle":"","parse-names":false,"suffix":""},{"dropping-particle":"","family":"Bodegom","given":"Peter M.","non-dropping-particle":"van","parse-names":false,"suffix":""},{"dropping-particle":"","family":"Reichstein","given":"Markus","non-dropping-particle":"","parse-names":false,"suffix":""},{"dropping-particle":"","family":"Bahn","given":"Michael","non-dropping-particle":"","parse-names":false,"suffix":""},{"dropping-particle":"","family":"Carrara","given":"Arnaud","non-dropping-particle":"","parse-names":false,"suffix":""},{"dropping-particle":"","family":"Domingues","given":"Tomas F.","non-dropping-particle":"","parse-names":false,"suffix":""},{"dropping-particle":"","family":"Gavazzi","given":"Michael","non-dropping-particle":"","parse-names":false,"suffix":""},{"dropping-particle":"","family":"Gianelle","given":"Damiano","non-dropping-particle":"","parse-names":false,"suffix":""},{"dropping-particle":"","family":"Gimeno","given":"Cristina","non-dropping-particle":"","parse-names":false,"suffix":""},{"dropping-particle":"","family":"Granier","given":"André","non-dropping-particle":"","parse-names":false,"suffix":""},{"dropping-particle":"","family":"Gruening","given":"Carsten","non-dropping-particle":"","parse-names":false,"suffix":""},{"dropping-particle":"","family":"Havránková","given":"Kateřina","non-dropping-particle":"","parse-names":false,"suffix":""},{"dropping-particle":"","family":"Herbst","given":"Mathias","non-dropping-particle":"","parse-names":false,"suffix":""},{"dropping-particle":"","family":"Hrynkiw","given":"Charmaine","non-dropping-particle":"","parse-names":false,"suffix":""},{"dropping-particle":"","family":"Kalhori","given":"Aram","non-dropping-particle":"","parse-names":false,"suffix":""},{"dropping-particle":"","family":"Kaminski","given":"Thomas","non-dropping-particle":"","parse-names":false,"suffix":""},{"dropping-particle":"","family":"Klumpp","given":"Katja","non-dropping-particle":"","parse-names":false,"suffix":""},{"dropping-particle":"","family":"Kolari","given":"Pasi","non-dropping-particle":"","parse-names":false,"suffix":""},{"dropping-particle":"","family":"Longdoz","given":"Bernard","non-dropping-particle":"","parse-names":false,"suffix":""},{"dropping-particle":"","family":"Minerbi","given":"Stefano","non-dropping-particle":"","parse-names":false,"suffix":""},{"dropping-particle":"","family":"Montagnani","given":"Leonardo","non-dropping-particle":"","parse-names":false,"suffix":""},{"dropping-particle":"","family":"Moors","given":"Eddy","non-dropping-particle":"","parse-names":false,"suffix":""},{"dropping-particle":"","family":"Oechel","given":"Walter C.","non-dropping-particle":"","parse-names":false,"suffix":""},{"dropping-particle":"","family":"Reich","given":"Peter B.","non-dropping-particle":"","parse-names":false,"suffix":""},{"dropping-particle":"","family":"Rohatyn","given":"Shani","non-dropping-particle":"","parse-names":false,"suffix":""},{"dropping-particle":"","family":"Rossi","given":"Alessandra","non-dropping-particle":"","parse-names":false,"suffix":""},{"dropping-particle":"","family":"Rotenberg","given":"Eyal","non-dropping-particle":"","parse-names":false,"suffix":""},{"dropping-particle":"","family":"Varlagin","given":"Andrej","non-dropping-particle":"","parse-names":false,"suffix":""},{"dropping-particle":"","family":"Wilkinson","given":"Matthew","non-dropping-particle":"","parse-names":false,"suffix":""},{"dropping-particle":"","family":"Wirth","given":"Christian","non-dropping-particle":"","parse-names":false,"suffix":""},{"dropping-particle":"","family":"Mahecha","given":"Miguel D.","non-dropping-particle":"","parse-names":false,"suffix":""}],"container-title":"Ecology and Evolution","id":"ITEM-2","issue":"20","issued":{"date-parts":[["2016"]]},"page":"7352-7366","title":"Potential and limitations of inferring ecosystem photosynthetic capacity from leaf functional traits","type":"article-journal","volume":"6"},"uris":["http://www.mendeley.com/documents/?uuid=e0320808-7fe9-47d5-8397-bb06f200bc23"]}],"mendeley":{"formattedCitation":"(Musavi &lt;i&gt;et al.&lt;/i&gt;, 2016, 2017)","plainTextFormattedCitation":"(Musavi et al., 2016, 2017)","previouslyFormattedCitation":"(Musavi &lt;i&gt;et al.&lt;/i&gt;, 2016, 2017)"},"properties":{"noteIndex":0},"schema":"https://github.com/citation-style-language/schema/raw/master/csl-citation.json"}</w:instrText>
      </w:r>
      <w:r w:rsidRPr="00364D88">
        <w:rPr>
          <w:rFonts w:ascii="Arial" w:hAnsi="Arial" w:cs="Arial"/>
          <w:lang w:val="en-GB"/>
        </w:rPr>
        <w:fldChar w:fldCharType="separate"/>
      </w:r>
      <w:r w:rsidR="009E486E" w:rsidRPr="00364D88">
        <w:rPr>
          <w:rFonts w:ascii="Arial" w:hAnsi="Arial" w:cs="Arial"/>
          <w:noProof/>
          <w:lang w:val="en-GB"/>
        </w:rPr>
        <w:t xml:space="preserve">(Musavi </w:t>
      </w:r>
      <w:r w:rsidR="009E486E" w:rsidRPr="00364D88">
        <w:rPr>
          <w:rFonts w:ascii="Arial" w:hAnsi="Arial" w:cs="Arial"/>
          <w:i/>
          <w:noProof/>
          <w:lang w:val="en-GB"/>
        </w:rPr>
        <w:t>et al.</w:t>
      </w:r>
      <w:r w:rsidR="009E486E" w:rsidRPr="00364D88">
        <w:rPr>
          <w:rFonts w:ascii="Arial" w:hAnsi="Arial" w:cs="Arial"/>
          <w:noProof/>
          <w:lang w:val="en-GB"/>
        </w:rPr>
        <w:t>, 2016, 2017)</w:t>
      </w:r>
      <w:r w:rsidRPr="00364D88">
        <w:rPr>
          <w:rFonts w:ascii="Arial" w:hAnsi="Arial" w:cs="Arial"/>
          <w:lang w:val="en-GB"/>
        </w:rPr>
        <w:fldChar w:fldCharType="end"/>
      </w:r>
      <w:r w:rsidRPr="00364D88">
        <w:rPr>
          <w:rFonts w:ascii="Arial" w:hAnsi="Arial" w:cs="Arial"/>
          <w:lang w:val="en-GB"/>
        </w:rPr>
        <w:t>, ancillary data for each site, published literature containing information about the selected sites and information provided after contacting the PI’s of the sites. To avoid underestimation of species richness in sites where inventories were not very accurate, we only used those species that accounted for up to 95% of the abundance of the site, similar to</w:t>
      </w:r>
      <w:r w:rsidR="009E486E" w:rsidRPr="00364D88">
        <w:rPr>
          <w:rFonts w:ascii="Arial" w:hAnsi="Arial" w:cs="Arial"/>
          <w:lang w:val="en-GB"/>
        </w:rPr>
        <w:t xml:space="preserve"> </w:t>
      </w:r>
      <w:r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10.1038/s41559-016-0048","ISSN":"2397-334X","author":[{"dropping-particle":"","family":"Musavi","given":"Talie","non-dropping-particle":"","parse-names":false,"suffix":""},{"dropping-particle":"","family":"Migliavacca","given":"Mirco","non-dropping-particle":"","parse-names":false,"suffix":""},{"dropping-particle":"","family":"Reichstein","given":"Markus","non-dropping-particle":"","parse-names":false,"suffix":""},{"dropping-particle":"","family":"Kattge","given":"Jens","non-dropping-particle":"","parse-names":false,"suffix":""},{"dropping-particle":"","family":"Wirth","given":"Christian","non-dropping-particle":"","parse-names":false,"suffix":""},{"dropping-particle":"","family":"Black","given":"T. Andrew","non-dropping-particle":"","parse-names":false,"suffix":""},{"dropping-particle":"","family":"Janssens","given":"Ivan","non-dropping-particle":"","parse-names":false,"suffix":""},{"dropping-particle":"","family":"Knohl","given":"Alexander","non-dropping-particle":"","parse-names":false,"suffix":""},{"dropping-particle":"","family":"Loustau","given":"Denis","non-dropping-particle":"","parse-names":false,"suffix":""},{"dropping-particle":"","family":"Roupsard","given":"Olivier","non-dropping-particle":"","parse-names":false,"suffix":""},{"dropping-particle":"","family":"Varlagin","given":"Andrej","non-dropping-particle":"","parse-names":false,"suffix":""},{"dropping-particle":"","family":"Rambal","given":"Serge","non-dropping-particle":"","parse-names":false,"suffix":""},{"dropping-particle":"","family":"Cescatti","given":"Alessandro","non-dropping-particle":"","parse-names":false,"suffix":""},{"dropping-particle":"","family":"Gianelle","given":"Damiano","non-dropping-particle":"","parse-names":false,"suffix":""},{"dropping-particle":"","family":"Kondo","given":"Hiroaki","non-dropping-particle":"","parse-names":false,"suffix":""},{"dropping-particle":"","family":"Tamrakar","given":"Rijan","non-dropping-particle":"","parse-names":false,"suffix":""},{"dropping-particle":"","family":"Mahecha","given":"Miguel D.","non-dropping-particle":"","parse-names":false,"suffix":""}],"container-title":"Nature Ecology &amp; Evolution","id":"ITEM-1","issue":"2","issued":{"date-parts":[["2017"]]},"page":"0048","publisher":"Nature Publishing Group","title":"Stand age and species richness dampen interannual variation of ecosystem-level photosynthetic capacity","type":"article-journal","volume":"1"},"uris":["http://www.mendeley.com/documents/?uuid=fe4ba24d-dd2c-4a93-b6bd-ab6f4ed61e77"]}],"mendeley":{"formattedCitation":"(Musavi &lt;i&gt;et al.&lt;/i&gt;, 2017)","plainTextFormattedCitation":"(Musavi et al., 2017)","previouslyFormattedCitation":"(Musavi &lt;i&gt;et al.&lt;/i&gt;, 2017)"},"properties":{"noteIndex":0},"schema":"https://github.com/citation-style-language/schema/raw/master/csl-citation.json"}</w:instrText>
      </w:r>
      <w:r w:rsidRPr="00364D88">
        <w:rPr>
          <w:rFonts w:ascii="Arial" w:hAnsi="Arial" w:cs="Arial"/>
          <w:lang w:val="en-GB"/>
        </w:rPr>
        <w:fldChar w:fldCharType="separate"/>
      </w:r>
      <w:r w:rsidR="009E486E" w:rsidRPr="00364D88">
        <w:rPr>
          <w:rFonts w:ascii="Arial" w:hAnsi="Arial" w:cs="Arial"/>
          <w:noProof/>
          <w:lang w:val="en-GB"/>
        </w:rPr>
        <w:t xml:space="preserve">(Musavi </w:t>
      </w:r>
      <w:r w:rsidR="009E486E" w:rsidRPr="00364D88">
        <w:rPr>
          <w:rFonts w:ascii="Arial" w:hAnsi="Arial" w:cs="Arial"/>
          <w:i/>
          <w:noProof/>
          <w:lang w:val="en-GB"/>
        </w:rPr>
        <w:t>et al.</w:t>
      </w:r>
      <w:r w:rsidR="009E486E" w:rsidRPr="00364D88">
        <w:rPr>
          <w:rFonts w:ascii="Arial" w:hAnsi="Arial" w:cs="Arial"/>
          <w:noProof/>
          <w:lang w:val="en-GB"/>
        </w:rPr>
        <w:t>, 2017)</w:t>
      </w:r>
      <w:r w:rsidRPr="00364D88">
        <w:rPr>
          <w:rFonts w:ascii="Arial" w:hAnsi="Arial" w:cs="Arial"/>
          <w:lang w:val="en-GB"/>
        </w:rPr>
        <w:fldChar w:fldCharType="end"/>
      </w:r>
      <w:r w:rsidRPr="00364D88">
        <w:rPr>
          <w:rFonts w:ascii="Arial" w:hAnsi="Arial" w:cs="Arial"/>
          <w:lang w:val="en-GB"/>
        </w:rPr>
        <w:t xml:space="preserve">. </w:t>
      </w:r>
      <w:r w:rsidR="00DC6A3F" w:rsidRPr="00364D88">
        <w:rPr>
          <w:rFonts w:ascii="Arial" w:hAnsi="Arial" w:cs="Arial"/>
          <w:lang w:val="en-GB"/>
        </w:rPr>
        <w:t>Abundances were estimated as the fraction of leaf area occupied by each species in the sites for which this information was available. The relative density of individuals or direct reports of relative abundance were used in the rest of sites</w:t>
      </w:r>
      <w:r w:rsidR="006160E5" w:rsidRPr="00364D88">
        <w:rPr>
          <w:rFonts w:ascii="Arial" w:hAnsi="Arial" w:cs="Arial"/>
          <w:lang w:val="en-GB"/>
        </w:rPr>
        <w:t xml:space="preserve">. </w:t>
      </w:r>
      <w:r w:rsidRPr="00364D88">
        <w:rPr>
          <w:rFonts w:ascii="Arial" w:hAnsi="Arial" w:cs="Arial"/>
          <w:lang w:val="en-GB"/>
        </w:rPr>
        <w:t xml:space="preserve">When abundances per species were not reported, we assigned equal abundances to each species within their strata (e.g., overstory or understory) based on the average percentage of over- and understory of each vegetation type (e.g., evergreen needle-leaved forests have 85% overstory and 15% understory, so if a site would have two species in the overstory, they both would have 42.5% relative abundance). When only vague indications about species abundance was reported we assigned differential abundances accordingly. Species per site and their abundances can be found in </w:t>
      </w:r>
      <w:r w:rsidRPr="00364D88">
        <w:rPr>
          <w:rFonts w:ascii="Arial" w:hAnsi="Arial" w:cs="Arial"/>
          <w:b/>
          <w:lang w:val="en-GB"/>
        </w:rPr>
        <w:t>Supplementary Material (online only – spec_abund_full.csv)</w:t>
      </w:r>
      <w:r w:rsidRPr="00364D88">
        <w:rPr>
          <w:rFonts w:ascii="Arial" w:hAnsi="Arial" w:cs="Arial"/>
          <w:lang w:val="en-GB"/>
        </w:rPr>
        <w:t>. Vascular plants, ferns and bryophytes were used in our analyses given that in some sites non-vascular plants could account for a considerable proportion of the species present (&gt;10%).</w:t>
      </w:r>
    </w:p>
    <w:p w14:paraId="3CBC9310" w14:textId="77777777" w:rsidR="00DC679B" w:rsidRPr="00364D88" w:rsidRDefault="00DC679B" w:rsidP="00DC679B">
      <w:pPr>
        <w:spacing w:line="360" w:lineRule="auto"/>
        <w:jc w:val="both"/>
        <w:outlineLvl w:val="0"/>
        <w:rPr>
          <w:rFonts w:ascii="Arial" w:hAnsi="Arial"/>
          <w:u w:val="single"/>
          <w:lang w:val="en-GB"/>
        </w:rPr>
      </w:pPr>
      <w:r w:rsidRPr="00364D88">
        <w:rPr>
          <w:rFonts w:ascii="Arial" w:hAnsi="Arial" w:cs="Arial"/>
          <w:u w:val="single"/>
          <w:lang w:val="en-GB"/>
        </w:rPr>
        <w:t>Elemental composition data</w:t>
      </w:r>
    </w:p>
    <w:p w14:paraId="2962B14B" w14:textId="1DCA134E" w:rsidR="00DC679B" w:rsidRPr="00364D88" w:rsidRDefault="00DC679B" w:rsidP="00DC679B">
      <w:pPr>
        <w:spacing w:line="360" w:lineRule="auto"/>
        <w:jc w:val="both"/>
        <w:outlineLvl w:val="0"/>
        <w:rPr>
          <w:rFonts w:ascii="Arial" w:hAnsi="Arial" w:cs="Arial"/>
          <w:lang w:val="en-US"/>
        </w:rPr>
      </w:pPr>
      <w:r w:rsidRPr="00364D88">
        <w:rPr>
          <w:rFonts w:ascii="Arial" w:hAnsi="Arial" w:cs="Arial"/>
          <w:lang w:val="en-GB"/>
        </w:rPr>
        <w:t>We collected all available information about foliar N and P concentration per species at each of the selected sites, including data from previous compilations</w:t>
      </w:r>
      <w:r w:rsidR="009E486E" w:rsidRPr="00364D88">
        <w:rPr>
          <w:rFonts w:ascii="Arial" w:hAnsi="Arial" w:cs="Arial"/>
          <w:lang w:val="en-GB"/>
        </w:rPr>
        <w:t xml:space="preserve"> </w:t>
      </w:r>
      <w:r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{"citationItems":[{"id":"ITEM-1","itemData":{"DOI":"10.1002/ece3.2479","ISSN":"20457758","abstract":"The aim of this study was to systematically analyze the potential and limitations of using plant functional trait observations from global databases versus in situ data to improve our understanding of vegetation impacts on ecosystem functional properties (EFPs). Using ecosystem photosynthetic capacity as an example, we first provide an objective approach to derive robust EFP estimates from gross primary productivity (GPP) obtained from eddy covariance flux measurements. Second, we investigate the impact of synchronizing EFPs and plant functional traits in time and space to evaluate their relationships, and the extent to which we can benefit from global plant trait databases to explain the variability of ecosystem photosynthetic capacity. Finally, we identify a set of plant functional traits controlling ecosystem photosynthetic capacity at selected sites. Suitable estimates of the ecosystem photosynthetic capacity can be derived from light response curve of GPP responding to radiation (photosynthetically active radiation or absorbed photosynthetically active radiation). Although the effect of climate is minimized in these calculations, the estimates indicate substantial interannual variation of the photosynthetic capacity, even after removing site-years with confounding factors like disturbance such as fire events. The relationships between foliar nitrogen concentration and ecosystem photosynthetic capacity are tighter when both of the measurements are synchronized in space and time. When using multiple plant traits simultaneously as predictors for ecosystem photosynthetic capacity variation, the combination of leaf carbon to nitrogen ratio with leaf phosphorus content explains the variance of ecosystem photosynthetic capacity best (adjusted R2 = 0.55). Overall, this study provides an objective approach to identify links between leaf level traits and canopy level processes and highlights the relevance of the dynamic nature of ecosystems. Synchronizing measurements of eddy covariance fluxes and plant traits in time and space is shown to be highly relevant to better understand the importance of intra- and interspecific trait variation on ecosystem functioning.","author":[{"dropping-particle":"","family":"Musavi","given":"Talie","non-dropping-particle":"","parse-names":false,"suffix":""},{"dropping-particle":"","family":"Migliavacca","given":"Mirco","non-dropping-particle":"","parse-names":false,"suffix":""},{"dropping-particle":"","family":"Weg","given":"Martine Janet","non-dropping-particle":"van de","parse-names":false,"suffix":""},{"dropping-particle":"","family":"Kattge","given":"Jens","non-dropping-particle":"","parse-names":false,"suffix":""},{"dropping-particle":"","family":"Wohlfahrt","given":"Georg","non-dropping-particle":"","parse-names":false,"suffix":""},{"dropping-particle":"","family":"Bodegom","given":"Peter M.","non-dropping-particle":"van","parse-names":false,"suffix":""},{"dropping-particle":"","family":"Reichstein","given":"Markus","non-dropping-particle":"","parse-names":false,"suffix":""},{"dropping-particle":"","family":"Bahn","given":"Michael","non-dropping-particle":"","parse-names":false,"suffix":""},{"dropping-particle":"","family":"Carrara","given":"Arnaud","non-dropping-particle":"","parse-names":false,"suffix":""},{"dropping-particle":"","family":"Domingues","given":"Tomas F.","non-dropping-particle":"","parse-names":false,"suffix":""},{"dropping-particle":"","family":"Gavazzi","given":"Michael","non-dropping-particle":"","parse-names":false,"suffix":""},{"dropping-particle":"","family":"Gianelle","given":"Damiano","non-dropping-particle":"","parse-names":false,"suffix":""},{"dropping-particle":"","family":"Gimeno","given":"Cristina","non-dropping-particle":"","parse-names":false,"suffix":""},{"dropping-particle":"","family":"Granier","given":"André","non-dropping-particle":"","parse-names":false,"suffix":""},{"dropping-particle":"","family":"Gruening","given":"Carsten","non-dropping-particle":"","parse-names":false,"suffix":""},{"dropping-particle":"","family":"Havránková","given":"Kateřina","non-dropping-particle":"","parse-names":false,"suffix":""},{"dropping-particle":"","family":"Herbst","given":"Mathias","non-dropping-particle":"","parse-names":false,"suffix":""},{"dropping-particle":"","family":"Hrynkiw","given":"Charmaine","non-dropping-particle":"","parse-names":false,"suffix":""},{"dropping-particle":"","family":"Kalhori","given":"Aram","non-dropping-particle":"","parse-names":false,"suffix":""},{"dropping-particle":"","family":"Kaminski","given":"Thomas","non-dropping-particle":"","parse-names":false,"suffix":""},{"dropping-particle":"","family":"Klumpp","given":"Katja","non-dropping-particle":"","parse-names":false,"suffix":""},{"dropping-particle":"","family":"Kolari","given":"Pasi","non-dropping-particle":"","parse-names":false,"suffix":""},{"dropping-particle":"","family":"Longdoz","given":"Bernard","non-dropping-particle":"","parse-names":false,"suffix":""},{"dropping-particle":"","family":"Minerbi","given":"Stefano","non-dropping-particle":"","parse-names":false,"suffix":""},{"dropping-particle":"","family":"Montagnani","given":"Leonardo","non-dropping-particle":"","parse-names":false,"suffix":""},{"dropping-particle":"","family":"Moors","given":"Eddy","non-dropping-particle":"","parse-names":false,"suffix":""},{"dropping-particle":"","family":"Oechel","given":"Walter C.","non-dropping-particle":"","parse-names":false,"suffix":""},{"dropping-particle":"","family":"Reich","given":"Peter B.","non-dropping-particle":"","parse-names":false,"suffix":""},{"dropping-particle":"","family":"Rohatyn","given":"Shani","non-dropping-particle":"","parse-names":false,"suffix":""},{"dropping-particle":"","family":"Rossi","given":"Alessandra","non-dropping-particle":"","parse-names":false,"suffix":""},{"dropping-particle":"","family":"Rotenberg","given":"Eyal","non-dropping-particle":"","parse-names":false,"suffix":""},{"dropping-particle":"","family":"Varlagin","given":"Andrej","non-dropping-particle":"","parse-names":false,"suffix":""},{"dropping-particle":"","family":"Wilkinson","given":"Matthew","non-dropping-particle":"","parse-names":false,"suffix":""},{"dropping-particle":"","family":"Wirth","given":"Christian","non-dropping-particle":"","parse-names":false,"suffix":""},{"dropping-particle":"","family":"Mahecha","given":"Miguel D.","non-dropping-particle":"","parse-names":false,"suffix":""}],"container-title":"Ecology and Evolution","id":"ITEM-1","issue":"20","issued":{"date-parts":[["2016"]]},"page":"7352-7366","title":"Potential and limitations of inferring ecosystem photosynthetic capacity from leaf functional traits","type":"article-journal","volume":"6"},"uris":["http://www.mendeley.com/documents/?uuid=e0320808-7fe9-47d5-8397-bb06f200bc23"]}],"mendeley":{"formattedCitation":"(Musavi &lt;i&gt;et al.&lt;/i&gt;, 2016)","plainTextFormattedCitation":"(Musavi et al., 2016)","previouslyFormattedCitation":"(Musavi &lt;i&gt;et al.&lt;/i&gt;, 2016)"},"properties":{"noteIndex":0},"schema":"https://github.com/citation-style-language/schema/raw/master/csl-citation.json"}</w:instrText>
      </w:r>
      <w:r w:rsidRPr="00364D88">
        <w:rPr>
          <w:rFonts w:ascii="Arial" w:hAnsi="Arial" w:cs="Arial"/>
          <w:lang w:val="en-GB"/>
        </w:rPr>
        <w:fldChar w:fldCharType="separate"/>
      </w:r>
      <w:r w:rsidR="009E486E" w:rsidRPr="00364D88">
        <w:rPr>
          <w:rFonts w:ascii="Arial" w:hAnsi="Arial" w:cs="Arial"/>
          <w:noProof/>
          <w:lang w:val="en-GB"/>
        </w:rPr>
        <w:t xml:space="preserve">(Musavi </w:t>
      </w:r>
      <w:r w:rsidR="009E486E" w:rsidRPr="00364D88">
        <w:rPr>
          <w:rFonts w:ascii="Arial" w:hAnsi="Arial" w:cs="Arial"/>
          <w:i/>
          <w:noProof/>
          <w:lang w:val="en-GB"/>
        </w:rPr>
        <w:t>et al.</w:t>
      </w:r>
      <w:r w:rsidR="009E486E" w:rsidRPr="00364D88">
        <w:rPr>
          <w:rFonts w:ascii="Arial" w:hAnsi="Arial" w:cs="Arial"/>
          <w:noProof/>
          <w:lang w:val="en-GB"/>
        </w:rPr>
        <w:t>, 2016)</w:t>
      </w:r>
      <w:r w:rsidRPr="00364D88">
        <w:rPr>
          <w:rFonts w:ascii="Arial" w:hAnsi="Arial" w:cs="Arial"/>
          <w:lang w:val="en-GB"/>
        </w:rPr>
        <w:fldChar w:fldCharType="end"/>
      </w:r>
      <w:r w:rsidRPr="00364D88">
        <w:rPr>
          <w:rFonts w:ascii="Arial" w:hAnsi="Arial" w:cs="Arial"/>
          <w:lang w:val="en-GB"/>
        </w:rPr>
        <w:t xml:space="preserve">. We searched for that information in the main literature of the sites and by directly requesting this information to the PI’s of each site. </w:t>
      </w:r>
      <w:r w:rsidR="00FE2B0A" w:rsidRPr="00364D88">
        <w:rPr>
          <w:rFonts w:ascii="Arial" w:hAnsi="Arial" w:cs="Arial"/>
          <w:lang w:val="en-GB"/>
        </w:rPr>
        <w:t xml:space="preserve">Overall, we gathered </w:t>
      </w:r>
      <w:r w:rsidR="00CD4F5F" w:rsidRPr="00364D88">
        <w:rPr>
          <w:rFonts w:ascii="Arial" w:hAnsi="Arial" w:cs="Arial"/>
          <w:lang w:val="en-GB"/>
        </w:rPr>
        <w:t xml:space="preserve">data of </w:t>
      </w:r>
      <w:r w:rsidR="00FE2B0A" w:rsidRPr="00364D88">
        <w:rPr>
          <w:rFonts w:ascii="Arial" w:hAnsi="Arial" w:cs="Arial"/>
          <w:lang w:val="en-GB"/>
        </w:rPr>
        <w:t xml:space="preserve">N and P </w:t>
      </w:r>
      <w:r w:rsidR="00CD4F5F" w:rsidRPr="00364D88">
        <w:rPr>
          <w:rFonts w:ascii="Arial" w:hAnsi="Arial" w:cs="Arial"/>
          <w:lang w:val="en-GB"/>
        </w:rPr>
        <w:t xml:space="preserve">foliar concentrations </w:t>
      </w:r>
      <w:r w:rsidR="00FE2B0A" w:rsidRPr="00364D88">
        <w:rPr>
          <w:rFonts w:ascii="Arial" w:hAnsi="Arial" w:cs="Arial"/>
          <w:lang w:val="en-GB"/>
        </w:rPr>
        <w:t>for, respectively, 21 and 18% of the relative abundance of species per site in our database (</w:t>
      </w:r>
      <w:r w:rsidR="00FE2B0A" w:rsidRPr="00364D88">
        <w:rPr>
          <w:rFonts w:ascii="Arial" w:hAnsi="Arial" w:cs="Arial"/>
          <w:b/>
          <w:lang w:val="en-GB"/>
        </w:rPr>
        <w:t xml:space="preserve">see specs_abund_full.csv file in Supplementary </w:t>
      </w:r>
      <w:r w:rsidR="00B9438B">
        <w:rPr>
          <w:rFonts w:ascii="Arial" w:hAnsi="Arial" w:cs="Arial"/>
          <w:b/>
          <w:lang w:val="en-GB"/>
        </w:rPr>
        <w:t>Information</w:t>
      </w:r>
      <w:r w:rsidR="00FE2B0A" w:rsidRPr="00364D88">
        <w:rPr>
          <w:rFonts w:ascii="Arial" w:hAnsi="Arial" w:cs="Arial"/>
          <w:lang w:val="en-GB"/>
        </w:rPr>
        <w:t>).</w:t>
      </w:r>
      <w:r w:rsidR="00FE2B0A" w:rsidRPr="00364D88">
        <w:rPr>
          <w:rFonts w:ascii="Arial" w:hAnsi="Arial" w:cs="Arial"/>
          <w:b/>
          <w:lang w:val="en-GB"/>
        </w:rPr>
        <w:t xml:space="preserve"> </w:t>
      </w:r>
      <w:r w:rsidRPr="00364D88">
        <w:rPr>
          <w:rFonts w:ascii="Arial" w:hAnsi="Arial" w:cs="Arial"/>
          <w:lang w:val="en-GB"/>
        </w:rPr>
        <w:t>For the rest of the species for which we did not find any information on foliar N and P concentrations, we attributed values of foliar N and P based on average values of the species. To that aim, we used N and P data per species from</w:t>
      </w:r>
      <w:r w:rsidR="009E486E" w:rsidRPr="00364D88">
        <w:rPr>
          <w:rFonts w:ascii="Arial" w:hAnsi="Arial" w:cs="Arial"/>
          <w:lang w:val="en-GB"/>
        </w:rPr>
        <w:t xml:space="preserve"> </w:t>
      </w:r>
      <w:r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10.1002/ecy.2812","ISSN":"0012-9658","author":[{"dropping-particle":"","family":"Tian","given":"Di","non-dropping-particle":"","parse-names":false,"suffix":""},{"dropping-particle":"","family":"Kattge","given":"Jens","non-dropping-particle":"","parse-names":false,"suffix":""},{"dropping-particle":"","family":"Chen","given":"Yahan","non-dropping-particle":"","parse-names":false,"suffix":""},{"dropping-particle":"","family":"Han","given":"Wenxuan","non-dropping-particle":"","parse-names":false,"suffix":""},{"dropping-particle":"","family":"Luo","given":"Yongkai","non-dropping-particle":"","parse-names":false,"suffix":""},{"dropping-particle":"","family":"He","given":"Jinsheng","non-dropping-particle":"","parse-names":false,"suffix":""},{"dropping-particle":"","family":"Hu","given":"Huifeng","non-dropping-particle":"","parse-names":false,"suffix":""},{"dropping-particle":"","family":"Tang","given":"Zhiyao","non-dropping-particle":"","parse-names":false,"suffix":""},{"dropping-particle":"","family":"Ma","given":"Suhui","non-dropping-particle":"","parse-names":false,"suffix":""},{"dropping-particle":"","family":"Yan","given":"Zhengbing","non-dropping-particle":"","parse-names":false,"suffix":""},{"dropping-particle":"","family":"Lin","given":"Quanhong","non-dropping-particle":"","parse-names":false,"suffix":""},{"dropping-particle":"","family":"Schmid","given":"Bernhard","non-dropping-particle":"","parse-names":false,"suffix":""},{"dropping-particle":"","family":"Fang","given":"Jingyun","non-dropping-particle":"","parse-names":false,"suffix":""}],"container-title":"Ecology","id":"ITEM-1","issued":{"date-parts":[["2019"]]},"page":"ecy.2812","title":"A global database of paired leaf nitrogen and phosphorus concentrations of terrestrial plants","type":"article-journal"},"uris":["http://www.mendeley.com/documents/?uuid=f3f6add3-ada6-40bd-b512-d41e4f53af4c"]}],"mendeley":{"formattedCitation":"(Tian &lt;i&gt;et al.&lt;/i&gt;, 2019)","plainTextFormattedCitation":"(Tian et al., 2019)","previouslyFormattedCitation":"(Tian &lt;i&gt;et al.&lt;/i&gt;, 2019)"},"properties":{"noteIndex":0},"schema":"https://github.com/citation-style-language/schema/raw/master/csl-citation.json"}</w:instrText>
      </w:r>
      <w:r w:rsidRPr="00364D88">
        <w:rPr>
          <w:rFonts w:ascii="Arial" w:hAnsi="Arial" w:cs="Arial"/>
          <w:lang w:val="en-GB"/>
        </w:rPr>
        <w:fldChar w:fldCharType="separate"/>
      </w:r>
      <w:r w:rsidR="009E486E" w:rsidRPr="00364D88">
        <w:rPr>
          <w:rFonts w:ascii="Arial" w:hAnsi="Arial" w:cs="Arial"/>
          <w:noProof/>
          <w:lang w:val="en-GB"/>
        </w:rPr>
        <w:t xml:space="preserve">(Tian </w:t>
      </w:r>
      <w:r w:rsidR="009E486E" w:rsidRPr="00364D88">
        <w:rPr>
          <w:rFonts w:ascii="Arial" w:hAnsi="Arial" w:cs="Arial"/>
          <w:i/>
          <w:noProof/>
          <w:lang w:val="en-GB"/>
        </w:rPr>
        <w:t>et al.</w:t>
      </w:r>
      <w:r w:rsidR="009E486E" w:rsidRPr="00364D88">
        <w:rPr>
          <w:rFonts w:ascii="Arial" w:hAnsi="Arial" w:cs="Arial"/>
          <w:noProof/>
          <w:lang w:val="en-GB"/>
        </w:rPr>
        <w:t>, 2019)</w:t>
      </w:r>
      <w:r w:rsidRPr="00364D88">
        <w:rPr>
          <w:rFonts w:ascii="Arial" w:hAnsi="Arial" w:cs="Arial"/>
          <w:lang w:val="en-GB"/>
        </w:rPr>
        <w:fldChar w:fldCharType="end"/>
      </w:r>
      <w:r w:rsidRPr="00364D88">
        <w:rPr>
          <w:rFonts w:ascii="Arial" w:hAnsi="Arial" w:cs="Arial"/>
          <w:lang w:val="en-GB"/>
        </w:rPr>
        <w:t xml:space="preserve">. For the purpose of this study, we calculated median concentrations of N and P per species. We used the </w:t>
      </w:r>
      <w:r w:rsidRPr="00364D88">
        <w:rPr>
          <w:rFonts w:ascii="Arial" w:hAnsi="Arial" w:cs="Arial"/>
          <w:i/>
          <w:lang w:val="en-GB"/>
        </w:rPr>
        <w:t>Rphylopars</w:t>
      </w:r>
      <w:r w:rsidR="009E486E" w:rsidRPr="00364D88">
        <w:rPr>
          <w:rFonts w:ascii="Arial" w:hAnsi="Arial" w:cs="Arial"/>
          <w:i/>
          <w:lang w:val="en-GB"/>
        </w:rPr>
        <w:t xml:space="preserve"> </w:t>
      </w:r>
      <w:r w:rsidRPr="00364D88">
        <w:rPr>
          <w:rFonts w:ascii="Arial" w:hAnsi="Arial" w:cs="Arial"/>
          <w:i/>
          <w:lang w:val="en-GB"/>
        </w:rPr>
        <w:fldChar w:fldCharType="begin" w:fldLock="1"/>
      </w:r>
      <w:r w:rsidR="00114B12" w:rsidRPr="00364D88">
        <w:rPr>
          <w:rFonts w:ascii="Arial" w:hAnsi="Arial" w:cs="Arial"/>
          <w:i/>
          <w:lang w:val="en-GB"/>
        </w:rPr>
        <w:instrText>ADDIN CSL_CITATION {"citationItems":[{"id":"ITEM-1","itemData":{"author":[{"dropping-particle":"","family":"Goolsby","given":"Eric W.","non-dropping-particle":"","parse-names":false,"suffix":""},{"dropping-particle":"","family":"Bruggeman","given":"Jorn","non-dropping-particle":"","parse-names":false,"suffix":""},{"dropping-particle":"","family":"Ane","given":"Cecile","non-dropping-particle":"","parse-names":false,"suffix":""}],"id":"ITEM-1","issued":{"date-parts":[["2016"]]},"number":"R package version 0.2.9","title":"Rphylopars: Phylogenetic Comparative Tools for Missing Data and Within-Species Variation","type":"article"},"uris":["http://www.mendeley.com/documents/?uuid=921236a6-8340-4a2d-a552-09fe9d4f9de0"]}],"mendeley":{"formattedCitation":"(Goolsby &lt;i&gt;et al.&lt;/i&gt;, 2016)","plainTextFormattedCitation":"(Goolsby et al., 2016)","previouslyFormattedCitation":"(Goolsby &lt;i&gt;et al.&lt;/i&gt;, 2016)"},"properties":{"noteIndex":0},"schema":"https://github.com/citation-style-language/schema/raw/master/csl-citation.json"}</w:instrText>
      </w:r>
      <w:r w:rsidRPr="00364D88">
        <w:rPr>
          <w:rFonts w:ascii="Arial" w:hAnsi="Arial" w:cs="Arial"/>
          <w:i/>
          <w:lang w:val="en-GB"/>
        </w:rPr>
        <w:fldChar w:fldCharType="separate"/>
      </w:r>
      <w:r w:rsidR="009E486E" w:rsidRPr="00364D88">
        <w:rPr>
          <w:rFonts w:ascii="Arial" w:hAnsi="Arial" w:cs="Arial"/>
          <w:noProof/>
          <w:lang w:val="en-GB"/>
        </w:rPr>
        <w:t xml:space="preserve">(Goolsby </w:t>
      </w:r>
      <w:r w:rsidR="009E486E" w:rsidRPr="00364D88">
        <w:rPr>
          <w:rFonts w:ascii="Arial" w:hAnsi="Arial" w:cs="Arial"/>
          <w:i/>
          <w:noProof/>
          <w:lang w:val="en-GB"/>
        </w:rPr>
        <w:t>et al.</w:t>
      </w:r>
      <w:r w:rsidR="009E486E" w:rsidRPr="00364D88">
        <w:rPr>
          <w:rFonts w:ascii="Arial" w:hAnsi="Arial" w:cs="Arial"/>
          <w:noProof/>
          <w:lang w:val="en-GB"/>
        </w:rPr>
        <w:t>, 2016)</w:t>
      </w:r>
      <w:r w:rsidRPr="00364D88">
        <w:rPr>
          <w:rFonts w:ascii="Arial" w:hAnsi="Arial" w:cs="Arial"/>
          <w:i/>
          <w:lang w:val="en-GB"/>
        </w:rPr>
        <w:fldChar w:fldCharType="end"/>
      </w:r>
      <w:r w:rsidRPr="00364D88">
        <w:rPr>
          <w:rFonts w:ascii="Arial" w:hAnsi="Arial" w:cs="Arial"/>
          <w:lang w:val="en-GB"/>
        </w:rPr>
        <w:t xml:space="preserve"> R package to estimate the </w:t>
      </w:r>
      <w:r w:rsidRPr="00364D88">
        <w:rPr>
          <w:rFonts w:ascii="Arial" w:hAnsi="Arial" w:cs="Arial"/>
          <w:lang w:val="en-GB"/>
        </w:rPr>
        <w:lastRenderedPageBreak/>
        <w:t>elemental composition of N and P from phylogenetic information</w:t>
      </w:r>
      <w:r w:rsidR="009E486E" w:rsidRPr="00364D88">
        <w:rPr>
          <w:rFonts w:ascii="Arial" w:hAnsi="Arial" w:cs="Arial"/>
          <w:lang w:val="en-GB"/>
        </w:rPr>
        <w:t xml:space="preserve"> </w:t>
      </w:r>
      <w:r w:rsidRPr="00364D88">
        <w:rPr>
          <w:rFonts w:ascii="Arial" w:hAnsi="Arial" w:cs="Arial"/>
          <w:lang w:val="en-GB"/>
        </w:rPr>
        <w:fldChar w:fldCharType="begin" w:fldLock="1"/>
      </w:r>
      <w:r w:rsidR="00114B12" w:rsidRPr="00364D88">
        <w:rPr>
          <w:rFonts w:ascii="Arial" w:hAnsi="Arial" w:cs="Arial"/>
          <w:lang w:val="en-US"/>
        </w:rPr>
        <w:instrText>ADDIN CSL_CITATION {"citationItems":[{"id":"ITEM-1","itemData":{"DOI":"10.1111/2041-210X.12232","ISSN":"2041210X","abstract":"© 2014 The Authors. 1. Despite efforts in data collection, missing values are commonplace in life-history trait databases. Because these values typically are not missing randomly, the common practice of removingmissing data not only reduces sample size, but also introduces bias that can lead to incorrect conclusions. Imputingmissing values is a potential solution to this problem. Here, we evaluate the performance of four approaches for estimating missing values in trait databases (K-nearest neighbour (kNN), multivariate imputation by chained equations (mice), missForest and Phylopars), and testwhether imputed datasets retain underlying allometric relationships among traits. 2. Starting with a nearly complete trait dataset on the mammalian order Carnivora (using four traits), we artificially removed values so that the percent ofmissing values ranged from 10% to 80%. Using the original values as a reference, we assessed imputation performance using normalized root mean squared error.We also evaluated whether including phylogenetic information improved imputation performance in kNN, mice, and missForest (it is a required input in Phylopars). Finally, we evaluated the extent to which the allometric relationship between two traits (body mass and longevity) was conserved for imputed datasets by looking at the difference (bias) between the slope of the original and the imputed datasets or datasets with missing values removed. 3. Three of the tested approaches (mice, missForest and Phylopars), resulted in qualitatively equivalent imputation performance, and all had significantly lower errors than kNN. Adding phylogenetic information into the imputation algorithms improved estimation of missing values for all tested traits. The allometric relationship between body mass and longevity was conserved when up to 60% of data were missing, either with or without phylogenetic information, depending on the approach. This relationship was less biased in imputed datasets compared to datasets withmissing values removed, especially whenmore than 30%of values weremissing. 4. Imputations provide valuable alternatives to removing missing observations in trait databases as they produce low errors and retain relationships among traits. Although we must continue to prioritize data collection on species traits, imputations can provide a valuable solution for conducting macroecological and evolutionary studies using life-history trait databases.","author":[{"dropping-particle":"","family":"Penone","given":"Caterina","non-dropping-particle":"","parse-names":false,"suffix":""},{"dropping-particle":"","family":"Davidson","given":"Ana D.","non-dropping-particle":"","parse-names":false,"suffix":""},{"dropping-particle":"","family":"Shoemaker","given":"Kevin T.","non-dropping-particle":"","parse-names":false,"suffix":""},{"dropping-particle":"","family":"Marco","given":"Moreno","non-dropping-particle":"Di","parse-names":false,"suffix":""},{"dropping-particle":"","family":"Rondinini","given":"Carlo","non-dropping-particle":"","parse-names":false,"suffix":""},{"dropping-particle":"","family":"Brooks","given":"Thomas M.","non-dropping-particle":"","parse-names":false,"suffix":""},{"dropping-particle":"","family":"Young","given":"Bruce E.","non-dropping-particle":"","parse-names":false,"suffix":""},{"dropping-particle":"","family":"Graham","given":"Catherine H.","non-dropping-particle":"","parse-names":false,"suffix":""},{"dropping-particle":"","family":"Costa","given":"Gabriel C.","non-dropping-particle":"","parse-names":false,"suffix":""}],"container-title":"Methods in Ecology and Evolution","id":"ITEM-1","issue":"9","issued":{"date-parts":[["2014"]]},"page":"1-10","title":"Imputation of missing data in life-history trait datasets: Which approach performs the best?","type":"article-journal","volume":"5"},"uris":["http://www.mendeley.com/documents/?uuid=70b195ff-baff-4b4e-8678-745ccef28691"]}],"mendeley":{"formattedCitation":"(Penone &lt;i&gt;et al.&lt;/i&gt;, 2014)","plainTextFormattedCitation":"(Penone et al., 2014)","previouslyFormattedCitation":"(Penone &lt;i&gt;et al.&lt;/i&gt;, 2014)"},"properties":{"noteIndex":0},"schema":"https://github.com/citation-style-language/schema/raw/master/csl-citation.json"}</w:instrText>
      </w:r>
      <w:r w:rsidRPr="00364D88">
        <w:rPr>
          <w:rFonts w:ascii="Arial" w:hAnsi="Arial" w:cs="Arial"/>
          <w:lang w:val="en-GB"/>
        </w:rPr>
        <w:fldChar w:fldCharType="separate"/>
      </w:r>
      <w:r w:rsidR="009E486E" w:rsidRPr="00364D88">
        <w:rPr>
          <w:rFonts w:ascii="Arial" w:hAnsi="Arial" w:cs="Arial"/>
          <w:noProof/>
          <w:lang w:val="en-US"/>
        </w:rPr>
        <w:t xml:space="preserve">(Penone </w:t>
      </w:r>
      <w:r w:rsidR="009E486E" w:rsidRPr="00364D88">
        <w:rPr>
          <w:rFonts w:ascii="Arial" w:hAnsi="Arial" w:cs="Arial"/>
          <w:i/>
          <w:noProof/>
          <w:lang w:val="en-US"/>
        </w:rPr>
        <w:t>et al.</w:t>
      </w:r>
      <w:r w:rsidR="009E486E" w:rsidRPr="00364D88">
        <w:rPr>
          <w:rFonts w:ascii="Arial" w:hAnsi="Arial" w:cs="Arial"/>
          <w:noProof/>
          <w:lang w:val="en-US"/>
        </w:rPr>
        <w:t>, 2014)</w:t>
      </w:r>
      <w:r w:rsidRPr="00364D88">
        <w:rPr>
          <w:rFonts w:ascii="Arial" w:hAnsi="Arial" w:cs="Arial"/>
          <w:lang w:val="en-GB"/>
        </w:rPr>
        <w:fldChar w:fldCharType="end"/>
      </w:r>
      <w:r w:rsidRPr="00364D88">
        <w:rPr>
          <w:rFonts w:ascii="Arial" w:hAnsi="Arial" w:cs="Arial"/>
          <w:lang w:val="en-GB"/>
        </w:rPr>
        <w:t xml:space="preserve"> for those species for which we did not find literature data on their foliar N and P concentrations. </w:t>
      </w:r>
      <w:r w:rsidRPr="00364D88">
        <w:rPr>
          <w:rFonts w:ascii="Arial" w:hAnsi="Arial" w:cs="Arial"/>
          <w:lang w:val="en-US"/>
        </w:rPr>
        <w:t>Imputation of N and P for missing species was performed based on the phylogenetic tree of all species present in the selected sites and in our database of elemental composition.</w:t>
      </w:r>
      <w:r w:rsidRPr="00364D88">
        <w:rPr>
          <w:rFonts w:ascii="Arial" w:hAnsi="Arial" w:cs="Arial"/>
          <w:lang w:val="en-GB"/>
        </w:rPr>
        <w:t xml:space="preserve"> We used the plant megaphylogeny provided by </w:t>
      </w:r>
      <w:r w:rsidRPr="00364D88">
        <w:rPr>
          <w:rFonts w:ascii="Arial" w:hAnsi="Arial" w:cs="Arial"/>
          <w:noProof/>
          <w:lang w:val="en-GB"/>
        </w:rPr>
        <w:t>Qian &amp; Jin</w:t>
      </w:r>
      <w:r w:rsidR="009E486E" w:rsidRPr="00364D88">
        <w:rPr>
          <w:rFonts w:ascii="Arial" w:hAnsi="Arial" w:cs="Arial"/>
          <w:noProof/>
          <w:lang w:val="en-GB"/>
        </w:rPr>
        <w:t xml:space="preserve"> </w:t>
      </w:r>
      <w:r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{"citationItems":[{"id":"ITEM-1","itemData":{"DOI":"10.1093/jpe/rtv047","ISBN":"9788578110796","ISSN":"1752993X","PMID":"25246403","abstract":"AimsThe aim of this article is threefold. First, we present an updated version of a published megaphylogeny of vascular plants that can be used in studies of plant ecology and biogeography. Second, we develop a tool that can be used by botanists and plant ecologists to generate phylogenetic hypotheses in three scenarios. Third, we use a set of regional assemblages of angiosperm trees in North America as a model system to evaluate the effect of differences in phylogenies generated using the three scenarios on the quantification of phylogenetic properties and the relationship between measures of phylogenetic properties and environment.MethodsThe taxonomy and nomenclature of plant species in the megaphylogeny were standardized according to The Plant List (version 1.1). A tool for generating phylogenies was created using the R language. The robustness of derived phylogenies was evaluated using correlation and regression analyses.Important FindingsAn updated megaphylogeny of vascular plants (PhytoPhylo) and a tool for reconstructing phylogenies of seed plants (S.PhyloMaker) were generated. Our study shows that phylogenies generated by S.PhyloMaker using the PhytoPhylo megaphylogeny as a backbone are nearly as good as phylogeny resolved at the species level when using derived phylogenies to quantify phylogenetic properties (e.g. phylogenetic diversity and phylogenetic relatedness) of biological assemblages, and that S.PhyloMaker-generated phylogenies are robust for studies of community ecology and biogeography, particularly those seeking for patterns of phylogenetic properties along environmental gradients.","author":[{"dropping-particle":"","family":"Qian","given":"Hong","non-dropping-particle":"","parse-names":false,"suffix":""},{"dropping-particle":"","family":"Jin","given":"Yi","non-dropping-particle":"","parse-names":false,"suffix":""}],"container-title":"Journal of Plant Ecology","id":"ITEM-1","issue":"2","issued":{"date-parts":[["2016"]]},"page":"233-239","title":"An updated megaphylogeny of plants, a tool for generating plant phylogenies and an analysis of phylogenetic community structure","type":"article-journal","volume":"9"},"uris":["http://www.mendeley.com/documents/?uuid=a6cedae6-6635-49bd-90be-ad2e609bd51f"]}],"mendeley":{"formattedCitation":"(Qian &amp; Jin, 2016)","plainTextFormattedCitation":"(Qian &amp; Jin, 2016)","previouslyFormattedCitation":"(Qian &amp; Jin, 2016)"},"properties":{"noteIndex":0},"schema":"https://github.com/citation-style-language/schema/raw/master/csl-citation.json"}</w:instrText>
      </w:r>
      <w:r w:rsidRPr="00364D88">
        <w:rPr>
          <w:rFonts w:ascii="Arial" w:hAnsi="Arial" w:cs="Arial"/>
          <w:lang w:val="en-GB"/>
        </w:rPr>
        <w:fldChar w:fldCharType="separate"/>
      </w:r>
      <w:r w:rsidR="009E486E" w:rsidRPr="00364D88">
        <w:rPr>
          <w:rFonts w:ascii="Arial" w:hAnsi="Arial" w:cs="Arial"/>
          <w:noProof/>
          <w:lang w:val="en-GB"/>
        </w:rPr>
        <w:t>(Qian &amp; Jin, 2016)</w:t>
      </w:r>
      <w:r w:rsidRPr="00364D88">
        <w:rPr>
          <w:rFonts w:ascii="Arial" w:hAnsi="Arial" w:cs="Arial"/>
          <w:lang w:val="en-GB"/>
        </w:rPr>
        <w:fldChar w:fldCharType="end"/>
      </w:r>
      <w:r w:rsidRPr="00364D88">
        <w:rPr>
          <w:rFonts w:ascii="Arial" w:hAnsi="Arial" w:cs="Arial"/>
          <w:lang w:val="en-GB"/>
        </w:rPr>
        <w:t xml:space="preserve">. Species not found in the base phylogeny were included into our phylogenetic tree using the </w:t>
      </w:r>
      <w:r w:rsidRPr="00364D88">
        <w:rPr>
          <w:rFonts w:ascii="Arial" w:hAnsi="Arial" w:cs="Arial"/>
          <w:i/>
          <w:lang w:val="en-GB"/>
        </w:rPr>
        <w:t>V.PhyloMaker</w:t>
      </w:r>
      <w:r w:rsidR="009E486E" w:rsidRPr="00364D88">
        <w:rPr>
          <w:rFonts w:ascii="Arial" w:hAnsi="Arial" w:cs="Arial"/>
          <w:i/>
          <w:lang w:val="en-GB"/>
        </w:rPr>
        <w:t xml:space="preserve"> </w:t>
      </w:r>
      <w:r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10.1111/ecog.04434","ISBN":"0000000213","ISSN":"0906-7590","author":[{"dropping-particle":"","family":"Jin","given":"Yi","non-dropping-particle":"","parse-names":false,"suffix":""},{"dropping-particle":"","family":"Qian","given":"Hong","non-dropping-particle":"","parse-names":false,"suffix":""}],"container-title":"Ecography","id":"ITEM-1","issued":{"date-parts":[["2019"]]},"page":"ecog.04434","title":"V.PhyloMaker: an R package that can generate very large phylogenies for vascular plants","type":"article-journal"},"uris":["http://www.mendeley.com/documents/?uuid=162983e9-bf7e-4aad-aa50-69f6f72cda9f"]}],"mendeley":{"formattedCitation":"(Jin &amp; Qian, 2019)","plainTextFormattedCitation":"(Jin &amp; Qian, 2019)","previouslyFormattedCitation":"(Jin &amp; Qian, 2019)"},"properties":{"noteIndex":0},"schema":"https://github.com/citation-style-language/schema/raw/master/csl-citation.json"}</w:instrText>
      </w:r>
      <w:r w:rsidRPr="00364D88">
        <w:rPr>
          <w:rFonts w:ascii="Arial" w:hAnsi="Arial" w:cs="Arial"/>
          <w:lang w:val="en-GB"/>
        </w:rPr>
        <w:fldChar w:fldCharType="separate"/>
      </w:r>
      <w:r w:rsidR="009E486E" w:rsidRPr="00364D88">
        <w:rPr>
          <w:rFonts w:ascii="Arial" w:hAnsi="Arial" w:cs="Arial"/>
          <w:noProof/>
          <w:lang w:val="en-GB"/>
        </w:rPr>
        <w:t>(Jin &amp; Qian, 2019)</w:t>
      </w:r>
      <w:r w:rsidRPr="00364D88">
        <w:rPr>
          <w:rFonts w:ascii="Arial" w:hAnsi="Arial" w:cs="Arial"/>
          <w:lang w:val="en-GB"/>
        </w:rPr>
        <w:fldChar w:fldCharType="end"/>
      </w:r>
      <w:r w:rsidRPr="00364D88">
        <w:rPr>
          <w:rFonts w:ascii="Arial" w:hAnsi="Arial" w:cs="Arial"/>
          <w:lang w:val="en-GB"/>
        </w:rPr>
        <w:t xml:space="preserve"> R package. </w:t>
      </w:r>
      <w:r w:rsidRPr="00364D88">
        <w:rPr>
          <w:rFonts w:ascii="Arial" w:hAnsi="Arial" w:cs="Arial"/>
          <w:lang w:val="en-US"/>
        </w:rPr>
        <w:t xml:space="preserve">Correlation between imputed and observed values (in the selected sites) was very good for both N and P (respectively, </w:t>
      </w:r>
      <w:r w:rsidRPr="00364D88">
        <w:rPr>
          <w:rFonts w:ascii="Arial" w:hAnsi="Arial" w:cs="Arial"/>
          <w:i/>
          <w:lang w:val="en-US"/>
        </w:rPr>
        <w:t>R</w:t>
      </w:r>
      <w:r w:rsidRPr="00364D88">
        <w:rPr>
          <w:rFonts w:ascii="Arial" w:hAnsi="Arial" w:cs="Arial"/>
          <w:lang w:val="en-US"/>
        </w:rPr>
        <w:t xml:space="preserve"> = 0.91 and 0.83; 100 and 94 replicates, </w:t>
      </w:r>
      <w:r w:rsidRPr="00364D88">
        <w:rPr>
          <w:rFonts w:ascii="Arial" w:hAnsi="Arial" w:cs="Arial"/>
          <w:i/>
          <w:lang w:val="en-US"/>
        </w:rPr>
        <w:t>P</w:t>
      </w:r>
      <w:r w:rsidRPr="00364D88">
        <w:rPr>
          <w:rFonts w:ascii="Arial" w:hAnsi="Arial" w:cs="Arial"/>
          <w:lang w:val="en-US"/>
        </w:rPr>
        <w:t xml:space="preserve"> &lt; 0.001)</w:t>
      </w:r>
      <w:r w:rsidR="00FB1DE4" w:rsidRPr="00364D88">
        <w:rPr>
          <w:rFonts w:ascii="Arial" w:hAnsi="Arial" w:cs="Arial"/>
          <w:lang w:val="en-US"/>
        </w:rPr>
        <w:t xml:space="preserve"> </w:t>
      </w:r>
      <w:r w:rsidR="00FE2B0A" w:rsidRPr="00364D88">
        <w:rPr>
          <w:rFonts w:ascii="Arial" w:hAnsi="Arial" w:cs="Arial"/>
          <w:lang w:val="en-US"/>
        </w:rPr>
        <w:t>indicating</w:t>
      </w:r>
      <w:r w:rsidR="00FB1DE4" w:rsidRPr="00364D88">
        <w:rPr>
          <w:rFonts w:ascii="Arial" w:hAnsi="Arial" w:cs="Arial"/>
          <w:lang w:val="en-US"/>
        </w:rPr>
        <w:t xml:space="preserve"> low uncertainty in our </w:t>
      </w:r>
      <w:r w:rsidR="00CD4F5F" w:rsidRPr="00364D88">
        <w:rPr>
          <w:rFonts w:ascii="Arial" w:hAnsi="Arial" w:cs="Arial"/>
          <w:lang w:val="en-US"/>
        </w:rPr>
        <w:t xml:space="preserve">estimates of </w:t>
      </w:r>
      <w:r w:rsidR="00FB1DE4" w:rsidRPr="00364D88">
        <w:rPr>
          <w:rFonts w:ascii="Arial" w:hAnsi="Arial" w:cs="Arial"/>
          <w:lang w:val="en-US"/>
        </w:rPr>
        <w:t xml:space="preserve">foliar N and P </w:t>
      </w:r>
      <w:r w:rsidR="00CD4F5F" w:rsidRPr="00364D88">
        <w:rPr>
          <w:rFonts w:ascii="Arial" w:hAnsi="Arial" w:cs="Arial"/>
          <w:lang w:val="en-US"/>
        </w:rPr>
        <w:t>concentrations</w:t>
      </w:r>
      <w:r w:rsidRPr="00364D88">
        <w:rPr>
          <w:rFonts w:ascii="Arial" w:hAnsi="Arial" w:cs="Arial"/>
          <w:lang w:val="en-US"/>
        </w:rPr>
        <w:t xml:space="preserve">. </w:t>
      </w:r>
      <w:r w:rsidRPr="00364D88">
        <w:rPr>
          <w:rFonts w:ascii="Arial" w:hAnsi="Arial" w:cs="Arial"/>
          <w:lang w:val="en-GB"/>
        </w:rPr>
        <w:t xml:space="preserve">All species names were checked and corrected using The Plant List database, using the R package </w:t>
      </w:r>
      <w:r w:rsidRPr="00364D88">
        <w:rPr>
          <w:rFonts w:ascii="Arial" w:hAnsi="Arial" w:cs="Arial"/>
          <w:i/>
          <w:lang w:val="en-GB"/>
        </w:rPr>
        <w:t>Taxonstand</w:t>
      </w:r>
      <w:r w:rsidR="009E486E" w:rsidRPr="00364D88">
        <w:rPr>
          <w:rFonts w:ascii="Arial" w:hAnsi="Arial" w:cs="Arial"/>
          <w:i/>
          <w:lang w:val="en-GB"/>
        </w:rPr>
        <w:t xml:space="preserve"> </w:t>
      </w:r>
      <w:r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author":[{"dropping-particle":"","family":"Cayuela","given":"Luis","non-dropping-particle":"","parse-names":false,"suffix":""},{"dropping-particle":"","family":"Oksanen","given":"Jari","non-dropping-particle":"","parse-names":false,"suffix":""}],"id":"ITEM-1","issued":{"date-parts":[["2016"]]},"number":"R package version 1.8","title":"Taxonstand: Taxonomic Standardization of Plant Species Names","type":"article"},"uris":["http://www.mendeley.com/documents/?uuid=8f30763c-1ea5-4ae1-80f6-39d87b5399a3"]}],"mendeley":{"formattedCitation":"(Cayuela &amp; Oksanen, 2016)","plainTextFormattedCitation":"(Cayuela &amp; Oksanen, 2016)","previouslyFormattedCitation":"(Cayuela &amp; Oksanen, 2016)"},"properties":{"noteIndex":0},"schema":"https://github.com/citation-style-language/schema/raw/master/csl-citation.json"}</w:instrText>
      </w:r>
      <w:r w:rsidRPr="00364D88">
        <w:rPr>
          <w:rFonts w:ascii="Arial" w:hAnsi="Arial" w:cs="Arial"/>
          <w:lang w:val="en-GB"/>
        </w:rPr>
        <w:fldChar w:fldCharType="separate"/>
      </w:r>
      <w:r w:rsidR="009E486E" w:rsidRPr="00364D88">
        <w:rPr>
          <w:rFonts w:ascii="Arial" w:hAnsi="Arial" w:cs="Arial"/>
          <w:noProof/>
          <w:lang w:val="en-GB"/>
        </w:rPr>
        <w:t>(Cayuela &amp; Oksanen, 2016)</w:t>
      </w:r>
      <w:r w:rsidRPr="00364D88">
        <w:rPr>
          <w:rFonts w:ascii="Arial" w:hAnsi="Arial" w:cs="Arial"/>
          <w:lang w:val="en-GB"/>
        </w:rPr>
        <w:fldChar w:fldCharType="end"/>
      </w:r>
      <w:r w:rsidRPr="00364D88">
        <w:rPr>
          <w:rFonts w:ascii="Arial" w:hAnsi="Arial" w:cs="Arial"/>
          <w:lang w:val="en-GB"/>
        </w:rPr>
        <w:t xml:space="preserve">. We finally calculated the community weighted mean N and P concentrations based on the species abundance per site and their corresponding N and P concentrations. </w:t>
      </w:r>
    </w:p>
    <w:p w14:paraId="4A3853FA" w14:textId="77777777" w:rsidR="00DC679B" w:rsidRPr="00364D88" w:rsidRDefault="00DC679B" w:rsidP="00DC679B">
      <w:pPr>
        <w:spacing w:line="360" w:lineRule="auto"/>
        <w:jc w:val="both"/>
        <w:outlineLvl w:val="0"/>
        <w:rPr>
          <w:rFonts w:ascii="Arial" w:hAnsi="Arial"/>
          <w:i/>
          <w:lang w:val="en-GB"/>
        </w:rPr>
      </w:pPr>
      <w:r w:rsidRPr="00364D88">
        <w:rPr>
          <w:rFonts w:ascii="Arial" w:hAnsi="Arial"/>
          <w:i/>
          <w:lang w:val="en-GB"/>
        </w:rPr>
        <w:t>Statistical analyses</w:t>
      </w:r>
    </w:p>
    <w:p w14:paraId="6DFA6D77" w14:textId="77777777" w:rsidR="00DC679B" w:rsidRPr="00364D88" w:rsidRDefault="00DC679B" w:rsidP="00DC679B">
      <w:pPr>
        <w:spacing w:line="360" w:lineRule="auto"/>
        <w:jc w:val="both"/>
        <w:outlineLvl w:val="0"/>
        <w:rPr>
          <w:rFonts w:ascii="Arial" w:hAnsi="Arial" w:cs="Arial"/>
          <w:u w:val="single"/>
          <w:lang w:val="en-GB"/>
        </w:rPr>
      </w:pPr>
      <w:r w:rsidRPr="00364D88">
        <w:rPr>
          <w:rFonts w:ascii="Arial" w:hAnsi="Arial" w:cs="Arial"/>
          <w:u w:val="single"/>
          <w:lang w:val="en-GB"/>
        </w:rPr>
        <w:t>Diversity indices</w:t>
      </w:r>
    </w:p>
    <w:p w14:paraId="3B4671A8" w14:textId="68F88A0E" w:rsidR="00DC679B" w:rsidRPr="00364D88" w:rsidRDefault="00DC679B" w:rsidP="00DC679B">
      <w:pPr>
        <w:spacing w:line="360" w:lineRule="auto"/>
        <w:jc w:val="both"/>
        <w:outlineLvl w:val="0"/>
        <w:rPr>
          <w:rFonts w:ascii="Arial" w:hAnsi="Arial"/>
          <w:lang w:val="en-GB"/>
        </w:rPr>
      </w:pPr>
      <w:r w:rsidRPr="00364D88">
        <w:rPr>
          <w:rFonts w:ascii="Arial" w:hAnsi="Arial" w:cs="Arial"/>
          <w:lang w:val="en-GB"/>
        </w:rPr>
        <w:t xml:space="preserve">We first calculated three different metrics of phylogenetic diversity per site using the </w:t>
      </w:r>
      <w:r w:rsidRPr="00364D88">
        <w:rPr>
          <w:rFonts w:ascii="Arial" w:hAnsi="Arial" w:cs="Arial"/>
          <w:i/>
          <w:lang w:val="en-GB"/>
        </w:rPr>
        <w:t>PhyloMeasures</w:t>
      </w:r>
      <w:r w:rsidRPr="00364D88">
        <w:rPr>
          <w:rFonts w:ascii="Arial" w:hAnsi="Arial" w:cs="Arial"/>
          <w:lang w:val="en-GB"/>
        </w:rPr>
        <w:t xml:space="preserve"> package in R</w:t>
      </w:r>
      <w:r w:rsidR="009E486E" w:rsidRPr="00364D88">
        <w:rPr>
          <w:rFonts w:ascii="Arial" w:hAnsi="Arial" w:cs="Arial"/>
          <w:lang w:val="en-GB"/>
        </w:rPr>
        <w:t xml:space="preserve"> </w:t>
      </w:r>
      <w:r w:rsidRPr="00364D88">
        <w:rPr>
          <w:rFonts w:ascii="Arial" w:hAnsi="Arial" w:cs="Arial"/>
          <w:lang w:val="en-GB"/>
        </w:rPr>
        <w:fldChar w:fldCharType="begin" w:fldLock="1"/>
      </w:r>
      <w:r w:rsidR="007D536C" w:rsidRPr="00364D88">
        <w:rPr>
          <w:rFonts w:ascii="Arial" w:hAnsi="Arial" w:cs="Arial"/>
          <w:lang w:val="en-GB"/>
        </w:rPr>
        <w:instrText>ADDIN CSL_CITATION {"citationItems":[{"id":"ITEM-1","itemData":{"author":[{"dropping-particle":"","family":"Tsirogiannis","given":"Constantinos","non-dropping-particle":"","parse-names":false,"suffix":""},{"dropping-particle":"","family":"Sandel","given":"Brody","non-dropping-particle":"","parse-names":false,"suffix":""}],"id":"ITEM-1","issued":{"date-parts":[["2017"]]},"number":"R package version 2.1","title":"PhyloMeasures: Fast and Exact Algorithms for Computing Phylogenetic Biodiversity Measures","type":"article"},"uris":["http://www.mendeley.com/documents/?uuid=271fec22-7958-4f67-8bdf-e6f009f5e49f"]},{"id":"ITEM-2","itemData":{"DOI":"10.1111/ecog.01814","ISSN":"16000587","abstract":"We present PhyloMeasures, a new software package including both a C++ and R version, that provides very fast computation of popular phylogenetic diversity measures. PhyloMeasures introduces two major advances over existing methods. First, it uses efficient algorithms for calculating basic phylogenetic metrics (such as Faith's PD and the mean pairwise distance, MPD) and two-sample measures (such as common branch length, CBL, and the unique fraction) that are designed to perform well even on very large trees. Second, it computes exact richness-standardised versions of these measures (such as the widely used net relatedness index, NRI) by efficiently evaluating analytical expressions for the mean and variance of the basic measures, rather than by the slow and inexact randomization techniques that are the current standard. Together, these lead to massive improvements in performance compared to the current state of the art. For example, running on a standard laptop, PhyloMeasures functions can provide the NRI for 20 samples from a tree of 100 000 tips in about 1.5 s, compared to an estimated 37 d using standard resampling approaches. This will allow analyses on larger data sets than were previously possible.","author":[{"dropping-particle":"","family":"Tsirogiannis","given":"Constantinos","non-dropping-particle":"","parse-names":false,"suffix":""},{"dropping-particle":"","family":"Sandel","given":"Brody","non-dropping-particle":"","parse-names":false,"suffix":""}],"container-title":"Ecography","id":"ITEM-2","issue":"7","issued":{"date-parts":[["2016"]]},"page":"709-714","title":"PhyloMeasures: a package for computing phylogenetic biodiversity measures and their statistical moments","type":"article-journal","volume":"39"},"uris":["http://www.mendeley.com/documents/?uuid=a04af30a-867b-48c6-833e-f121ed267394"]}],"mendeley":{"formattedCitation":"(Tsirogiannis &amp; Sandel, 2016, 2017)","plainTextFormattedCitation":"(Tsirogiannis &amp; Sandel, 2016, 2017)","previouslyFormattedCitation":"(Tsirogiannis &amp; Sandel, 2016, 2017)"},"properties":{"noteIndex":0},"schema":"https://github.com/citation-style-language/schema/raw/master/csl-citation.json"}</w:instrText>
      </w:r>
      <w:r w:rsidRPr="00364D88">
        <w:rPr>
          <w:rFonts w:ascii="Arial" w:hAnsi="Arial" w:cs="Arial"/>
          <w:lang w:val="en-GB"/>
        </w:rPr>
        <w:fldChar w:fldCharType="separate"/>
      </w:r>
      <w:r w:rsidR="009E3FDB" w:rsidRPr="00364D88">
        <w:rPr>
          <w:rFonts w:ascii="Arial" w:hAnsi="Arial" w:cs="Arial"/>
          <w:noProof/>
          <w:lang w:val="en-GB"/>
        </w:rPr>
        <w:t>(Tsirogiannis &amp; Sandel, 2016, 2017)</w:t>
      </w:r>
      <w:r w:rsidRPr="00364D88">
        <w:rPr>
          <w:rFonts w:ascii="Arial" w:hAnsi="Arial" w:cs="Arial"/>
          <w:lang w:val="en-GB"/>
        </w:rPr>
        <w:fldChar w:fldCharType="end"/>
      </w:r>
      <w:r w:rsidRPr="00364D88">
        <w:rPr>
          <w:rFonts w:ascii="Arial" w:hAnsi="Arial" w:cs="Arial"/>
          <w:lang w:val="en-GB"/>
        </w:rPr>
        <w:t>. We estimated phylogenetic diversity</w:t>
      </w:r>
      <w:r w:rsidR="007D536C" w:rsidRPr="00364D88">
        <w:rPr>
          <w:rFonts w:ascii="Arial" w:hAnsi="Arial" w:cs="Arial"/>
          <w:lang w:val="en-GB"/>
        </w:rPr>
        <w:t xml:space="preserve"> (PD)</w:t>
      </w:r>
      <w:r w:rsidRPr="00364D88">
        <w:rPr>
          <w:rFonts w:ascii="Arial" w:hAnsi="Arial" w:cs="Arial"/>
          <w:lang w:val="en-GB"/>
        </w:rPr>
        <w:t>, mean pairwise distance</w:t>
      </w:r>
      <w:r w:rsidR="007D536C" w:rsidRPr="00364D88">
        <w:rPr>
          <w:rFonts w:ascii="Arial" w:hAnsi="Arial" w:cs="Arial"/>
          <w:lang w:val="en-GB"/>
        </w:rPr>
        <w:t xml:space="preserve"> (MPD)</w:t>
      </w:r>
      <w:r w:rsidRPr="00364D88">
        <w:rPr>
          <w:rFonts w:ascii="Arial" w:hAnsi="Arial" w:cs="Arial"/>
          <w:lang w:val="en-GB"/>
        </w:rPr>
        <w:t xml:space="preserve"> and mean nearest taxon distance</w:t>
      </w:r>
      <w:r w:rsidR="007D536C" w:rsidRPr="00364D88">
        <w:rPr>
          <w:rFonts w:ascii="Arial" w:hAnsi="Arial" w:cs="Arial"/>
          <w:lang w:val="en-GB"/>
        </w:rPr>
        <w:t xml:space="preserve"> (MNTD)</w:t>
      </w:r>
      <w:r w:rsidRPr="00364D88">
        <w:rPr>
          <w:rFonts w:ascii="Arial" w:hAnsi="Arial" w:cs="Arial"/>
          <w:lang w:val="en-GB"/>
        </w:rPr>
        <w:t xml:space="preserve"> per site, we standardised (mean</w:t>
      </w:r>
      <w:r w:rsidR="0086743A" w:rsidRPr="00364D88">
        <w:rPr>
          <w:rFonts w:ascii="Arial" w:hAnsi="Arial" w:cs="Arial"/>
          <w:lang w:val="en-GB"/>
        </w:rPr>
        <w:t xml:space="preserve"> </w:t>
      </w:r>
      <w:r w:rsidRPr="00364D88">
        <w:rPr>
          <w:rFonts w:ascii="Arial" w:hAnsi="Arial" w:cs="Arial"/>
          <w:lang w:val="en-GB"/>
        </w:rPr>
        <w:t>=</w:t>
      </w:r>
      <w:r w:rsidR="0086743A" w:rsidRPr="00364D88">
        <w:rPr>
          <w:rFonts w:ascii="Arial" w:hAnsi="Arial" w:cs="Arial"/>
          <w:lang w:val="en-GB"/>
        </w:rPr>
        <w:t xml:space="preserve"> </w:t>
      </w:r>
      <w:r w:rsidRPr="00364D88">
        <w:rPr>
          <w:rFonts w:ascii="Arial" w:hAnsi="Arial" w:cs="Arial"/>
          <w:lang w:val="en-GB"/>
        </w:rPr>
        <w:t>0, sd</w:t>
      </w:r>
      <w:r w:rsidR="0086743A" w:rsidRPr="00364D88">
        <w:rPr>
          <w:rFonts w:ascii="Arial" w:hAnsi="Arial" w:cs="Arial"/>
          <w:lang w:val="en-GB"/>
        </w:rPr>
        <w:t xml:space="preserve"> </w:t>
      </w:r>
      <w:r w:rsidRPr="00364D88">
        <w:rPr>
          <w:rFonts w:ascii="Arial" w:hAnsi="Arial" w:cs="Arial"/>
          <w:lang w:val="en-GB"/>
        </w:rPr>
        <w:t>=</w:t>
      </w:r>
      <w:r w:rsidR="0086743A" w:rsidRPr="00364D88">
        <w:rPr>
          <w:rFonts w:ascii="Arial" w:hAnsi="Arial" w:cs="Arial"/>
          <w:lang w:val="en-GB"/>
        </w:rPr>
        <w:t xml:space="preserve"> </w:t>
      </w:r>
      <w:r w:rsidRPr="00364D88">
        <w:rPr>
          <w:rFonts w:ascii="Arial" w:hAnsi="Arial" w:cs="Arial"/>
          <w:lang w:val="en-GB"/>
        </w:rPr>
        <w:t>1) all three variables and calculated their average as a measure of phylogenetic diversity.</w:t>
      </w:r>
      <w:r w:rsidR="007D536C" w:rsidRPr="00364D88">
        <w:rPr>
          <w:rFonts w:ascii="Arial" w:hAnsi="Arial" w:cs="Arial"/>
          <w:lang w:val="en-GB"/>
        </w:rPr>
        <w:t xml:space="preserve"> PD measures</w:t>
      </w:r>
      <w:r w:rsidR="005308F4" w:rsidRPr="00364D88">
        <w:rPr>
          <w:rFonts w:ascii="Arial" w:hAnsi="Arial" w:cs="Arial"/>
          <w:lang w:val="en-GB"/>
        </w:rPr>
        <w:t xml:space="preserve"> phylogenetic</w:t>
      </w:r>
      <w:r w:rsidR="007D536C" w:rsidRPr="00364D88">
        <w:rPr>
          <w:rFonts w:ascii="Arial" w:hAnsi="Arial" w:cs="Arial"/>
          <w:lang w:val="en-GB"/>
        </w:rPr>
        <w:t xml:space="preserve"> diversity as the total branch length in the minimum spanning subtree for a given set of species </w:t>
      </w:r>
      <w:r w:rsidR="007D536C" w:rsidRPr="00364D88">
        <w:rPr>
          <w:rFonts w:ascii="Arial" w:hAnsi="Arial" w:cs="Arial"/>
          <w:lang w:val="en-GB"/>
        </w:rPr>
        <w:fldChar w:fldCharType="begin" w:fldLock="1"/>
      </w:r>
      <w:r w:rsidR="005308F4" w:rsidRPr="00364D88">
        <w:rPr>
          <w:rFonts w:ascii="Arial" w:hAnsi="Arial" w:cs="Arial"/>
          <w:lang w:val="en-GB"/>
        </w:rPr>
        <w:instrText>ADDIN CSL_CITATION {"citationItems":[{"id":"ITEM-1","itemData":{"author":[{"dropping-particle":"","family":"Faith","given":"Daniel P","non-dropping-particle":"","parse-names":false,"suffix":""}],"container-title":"Biological Conservation","id":"ITEM-1","issued":{"date-parts":[["1992","12"]]},"page":"1-10","title":"Conservation evaluation and phylogenetic diversity","type":"article-journal","volume":"61"},"uris":["http://www.mendeley.com/documents/?uuid=4d50c651-111d-4680-a854-ba84371f5ede"]}],"mendeley":{"formattedCitation":"(Faith, 1992)","plainTextFormattedCitation":"(Faith, 1992)","previouslyFormattedCitation":"(Faith, 1992)"},"properties":{"noteIndex":0},"schema":"https://github.com/citation-style-language/schema/raw/master/csl-citation.json"}</w:instrText>
      </w:r>
      <w:r w:rsidR="007D536C" w:rsidRPr="00364D88">
        <w:rPr>
          <w:rFonts w:ascii="Arial" w:hAnsi="Arial" w:cs="Arial"/>
          <w:lang w:val="en-GB"/>
        </w:rPr>
        <w:fldChar w:fldCharType="separate"/>
      </w:r>
      <w:r w:rsidR="007D536C" w:rsidRPr="00364D88">
        <w:rPr>
          <w:rFonts w:ascii="Arial" w:hAnsi="Arial" w:cs="Arial"/>
          <w:noProof/>
          <w:lang w:val="en-GB"/>
        </w:rPr>
        <w:t>(Faith, 1992)</w:t>
      </w:r>
      <w:r w:rsidR="007D536C" w:rsidRPr="00364D88">
        <w:rPr>
          <w:rFonts w:ascii="Arial" w:hAnsi="Arial" w:cs="Arial"/>
          <w:lang w:val="en-GB"/>
        </w:rPr>
        <w:fldChar w:fldCharType="end"/>
      </w:r>
      <w:r w:rsidR="007D536C" w:rsidRPr="00364D88">
        <w:rPr>
          <w:rFonts w:ascii="Arial" w:hAnsi="Arial" w:cs="Arial"/>
          <w:lang w:val="en-GB"/>
        </w:rPr>
        <w:t>, MPD measures t</w:t>
      </w:r>
      <w:r w:rsidR="00F161E7" w:rsidRPr="00364D88">
        <w:rPr>
          <w:rFonts w:ascii="Arial" w:hAnsi="Arial" w:cs="Arial"/>
          <w:lang w:val="en-GB"/>
        </w:rPr>
        <w:t>he mean</w:t>
      </w:r>
      <w:r w:rsidR="007D536C" w:rsidRPr="00364D88">
        <w:rPr>
          <w:rFonts w:ascii="Arial" w:hAnsi="Arial" w:cs="Arial"/>
          <w:lang w:val="en-GB"/>
        </w:rPr>
        <w:t xml:space="preserve"> </w:t>
      </w:r>
      <w:r w:rsidR="00F161E7" w:rsidRPr="00364D88">
        <w:rPr>
          <w:rFonts w:ascii="Arial" w:hAnsi="Arial" w:cs="Arial"/>
          <w:lang w:val="en-GB"/>
        </w:rPr>
        <w:t xml:space="preserve">pairwise distance along the tree between all species in </w:t>
      </w:r>
      <w:r w:rsidR="007D536C" w:rsidRPr="00364D88">
        <w:rPr>
          <w:rFonts w:ascii="Arial" w:hAnsi="Arial" w:cs="Arial"/>
          <w:lang w:val="en-GB"/>
        </w:rPr>
        <w:t>a given set</w:t>
      </w:r>
      <w:r w:rsidR="00F161E7" w:rsidRPr="00364D88">
        <w:rPr>
          <w:rFonts w:ascii="Arial" w:hAnsi="Arial" w:cs="Arial"/>
          <w:lang w:val="en-GB"/>
        </w:rPr>
        <w:t>, and MNTD</w:t>
      </w:r>
      <w:r w:rsidR="007D536C" w:rsidRPr="00364D88">
        <w:rPr>
          <w:rFonts w:ascii="Arial" w:hAnsi="Arial" w:cs="Arial"/>
          <w:lang w:val="en-GB"/>
        </w:rPr>
        <w:t xml:space="preserve"> measures</w:t>
      </w:r>
      <w:r w:rsidR="00F161E7" w:rsidRPr="00364D88">
        <w:rPr>
          <w:rFonts w:ascii="Arial" w:hAnsi="Arial" w:cs="Arial"/>
          <w:lang w:val="en-GB"/>
        </w:rPr>
        <w:t xml:space="preserve"> the mean distance from each taxon to its nearest neighbo</w:t>
      </w:r>
      <w:r w:rsidR="0051515F" w:rsidRPr="00364D88">
        <w:rPr>
          <w:rFonts w:ascii="Arial" w:hAnsi="Arial" w:cs="Arial"/>
          <w:lang w:val="en-GB"/>
        </w:rPr>
        <w:t>u</w:t>
      </w:r>
      <w:r w:rsidR="00F161E7" w:rsidRPr="00364D88">
        <w:rPr>
          <w:rFonts w:ascii="Arial" w:hAnsi="Arial" w:cs="Arial"/>
          <w:lang w:val="en-GB"/>
        </w:rPr>
        <w:t>r in the set</w:t>
      </w:r>
      <w:r w:rsidR="007D536C" w:rsidRPr="00364D88">
        <w:rPr>
          <w:rFonts w:ascii="Arial" w:hAnsi="Arial" w:cs="Arial"/>
          <w:lang w:val="en-GB"/>
        </w:rPr>
        <w:t xml:space="preserve"> of selected species</w:t>
      </w:r>
      <w:r w:rsidR="00F161E7" w:rsidRPr="00364D88">
        <w:rPr>
          <w:rFonts w:ascii="Arial" w:hAnsi="Arial" w:cs="Arial"/>
          <w:lang w:val="en-GB"/>
        </w:rPr>
        <w:t xml:space="preserve"> </w:t>
      </w:r>
      <w:r w:rsidR="005308F4" w:rsidRPr="00364D88">
        <w:rPr>
          <w:rFonts w:ascii="Arial" w:hAnsi="Arial" w:cs="Arial"/>
          <w:lang w:val="en-GB"/>
        </w:rPr>
        <w:fldChar w:fldCharType="begin" w:fldLock="1"/>
      </w:r>
      <w:r w:rsidR="00034FA7" w:rsidRPr="00364D88">
        <w:rPr>
          <w:rFonts w:ascii="Arial" w:hAnsi="Arial" w:cs="Arial"/>
          <w:lang w:val="en-GB"/>
        </w:rPr>
        <w:instrText>ADDIN CSL_CITATION {"citationItems":[{"id":"ITEM-1","itemData":{"DOI":"10.2307/3079215","ISSN":"00030147","abstract":"JSTOR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.","author":[{"dropping-particle":"","family":"Webb","given":"","non-dropping-particle":"","parse-names":false,"suffix":""}],"container-title":"The American Naturalist","id":"ITEM-1","issue":"2","issued":{"date-parts":[["2000"]]},"page":"145","title":"Exploring the Phylogenetic Structure of Ecological Communities: An Example for Rain Forest Trees","type":"article-journal","volume":"156"},"uris":["http://www.mendeley.com/documents/?uuid=4b043c9e-a424-43c7-b143-c27f1d68fc1d"]},{"id":"ITEM-2","itemData":{"DOI":"10.1111/ecog.01814","ISSN":"16000587","abstract":"We present PhyloMeasures, a new software package including both a C++ and R version, that provides very fast computation of popular phylogenetic diversity measures. PhyloMeasures introduces two major advances over existing methods. First, it uses efficient algorithms for calculating basic phylogenetic metrics (such as Faith's PD and the mean pairwise distance, MPD) and two-sample measures (such as common branch length, CBL, and the unique fraction) that are designed to perform well even on very large trees. Second, it computes exact richness-standardised versions of these measures (such as the widely used net relatedness index, NRI) by efficiently evaluating analytical expressions for the mean and variance of the basic measures, rather than by the slow and inexact randomization techniques that are the current standard. Together, these lead to massive improvements in performance compared to the current state of the art. For example, running on a standard laptop, PhyloMeasures functions can provide the NRI for 20 samples from a tree of 100 000 tips in about 1.5 s, compared to an estimated 37 d using standard resampling approaches. This will allow analyses on larger data sets than were previously possible.","author":[{"dropping-particle":"","family":"Tsirogiannis","given":"Constantinos","non-dropping-particle":"","parse-names":false,"suffix":""},{"dropping-particle":"","family":"Sandel","given":"Brody","non-dropping-particle":"","parse-names":false,"suffix":""}],"container-title":"Ecography","id":"ITEM-2","issue":"7","issued":{"date-parts":[["2016"]]},"page":"709-714","title":"PhyloMeasures: a package for computing phylogenetic biodiversity measures and their statistical moments","type":"article-journal","volume":"39"},"uris":["http://www.mendeley.com/documents/?uuid=a04af30a-867b-48c6-833e-f121ed267394"]}],"mendeley":{"formattedCitation":"(Webb, 2000; Tsirogiannis &amp; Sandel, 2016)","plainTextFormattedCitation":"(Webb, 2000; Tsirogiannis &amp; Sandel, 2016)","previouslyFormattedCitation":"(Webb, 2000; Tsirogiannis &amp; Sandel, 2016)"},"properties":{"noteIndex":0},"schema":"https://github.com/citation-style-language/schema/raw/master/csl-citation.json"}</w:instrText>
      </w:r>
      <w:r w:rsidR="005308F4" w:rsidRPr="00364D88">
        <w:rPr>
          <w:rFonts w:ascii="Arial" w:hAnsi="Arial" w:cs="Arial"/>
          <w:lang w:val="en-GB"/>
        </w:rPr>
        <w:fldChar w:fldCharType="separate"/>
      </w:r>
      <w:r w:rsidR="005308F4" w:rsidRPr="00364D88">
        <w:rPr>
          <w:rFonts w:ascii="Arial" w:hAnsi="Arial" w:cs="Arial"/>
          <w:noProof/>
          <w:lang w:val="en-GB"/>
        </w:rPr>
        <w:t>(Webb, 2000; Tsirogiannis &amp; Sandel, 2016)</w:t>
      </w:r>
      <w:r w:rsidR="005308F4" w:rsidRPr="00364D88">
        <w:rPr>
          <w:rFonts w:ascii="Arial" w:hAnsi="Arial" w:cs="Arial"/>
          <w:lang w:val="en-GB"/>
        </w:rPr>
        <w:fldChar w:fldCharType="end"/>
      </w:r>
      <w:r w:rsidR="005308F4" w:rsidRPr="00364D88">
        <w:rPr>
          <w:rFonts w:ascii="Arial" w:hAnsi="Arial" w:cs="Arial"/>
          <w:lang w:val="en-GB"/>
        </w:rPr>
        <w:t xml:space="preserve">. </w:t>
      </w:r>
      <w:r w:rsidRPr="00364D88">
        <w:rPr>
          <w:rFonts w:ascii="Arial" w:hAnsi="Arial" w:cs="Arial"/>
          <w:lang w:val="en-GB"/>
        </w:rPr>
        <w:t>We also estimated species diversity as the average of the standardised values of species richness per site, Shannon, Simpson, inverse Simpson, unbiased Simpson and evenness indices</w:t>
      </w:r>
      <w:r w:rsidR="00034FA7" w:rsidRPr="00364D88">
        <w:rPr>
          <w:rFonts w:ascii="Arial" w:hAnsi="Arial" w:cs="Arial"/>
          <w:lang w:val="en-GB"/>
        </w:rPr>
        <w:t xml:space="preserve"> </w:t>
      </w:r>
      <w:r w:rsidR="00034FA7" w:rsidRPr="00364D88">
        <w:rPr>
          <w:rFonts w:ascii="Arial" w:hAnsi="Arial" w:cs="Arial"/>
          <w:lang w:val="en-GB"/>
        </w:rPr>
        <w:fldChar w:fldCharType="begin" w:fldLock="1"/>
      </w:r>
      <w:r w:rsidR="00AA225F" w:rsidRPr="00364D88">
        <w:rPr>
          <w:rFonts w:ascii="Arial" w:hAnsi="Arial" w:cs="Arial"/>
          <w:lang w:val="en-GB"/>
        </w:rPr>
        <w:instrText>ADDIN CSL_CITATION {"citationItems":[{"id":"ITEM-1","itemData":{"DOI":"10.2307/1934352","abstract":"Three commonly used measures of diversity, Simpson's index, Shannon's entropy, and the total number of species, are related to Renyi's definition of a generalized entropy. A unified concept of diversity is presented, according to which there is a continuum of possible diversity measures. In a sense which becomes apparent, these measures provide estimates of the effective number of species present, and differ only in their tendency to include or to ignore the relatively rarer species. The notion of the diversity of a community as opposed to that of a sample is examined, and is related to the asymptotic form of the species—abundance curve. A new and plausible definition of evenness is derived. See full-text article at JSTOR","author":[{"dropping-particle":"","family":"Hill","given":"M. O.","non-dropping-particle":"","parse-names":false,"suffix":""}],"container-title":"Ecology","id":"ITEM-1","issue":"2","issued":{"date-parts":[["1973"]]},"page":"427-432","title":"Diversity and Evenness: A Unifying Notation and Its Consequences","type":"article-journal","volume":"54"},"uris":["http://www.mendeley.com/documents/?uuid=35f7f9bf-fbc7-433e-b254-cc9b0c3277fa"]},{"id":"ITEM-2","itemData":{"DOI":"10.3390/math6070119","ISSN":"22277390","abstract":"Diversity is a concept central to ecology, and its measurement is essential for any study of ecosystem health. But summarizing this complex and multidimensional concept in a single measure is problematic. Dozens of mathematical indices have been proposed for this purpose, but these can provide contradictory results leading to misleading or incorrect conclusions about a community's diversity. In this review, we summarize the key conceptual issues underlying the measurement of ecological diversity, survey the indices most commonly used in ecology, and discuss their relative suitability. We advocate for indices that: (i) satisfy key mathematical axioms; (ii) can be expressed as so-called effective numbers; (iii) can be extended to account for disparity between types; (iv) can be parameterized to obtain diversity profiles; and (v) for which an estimator (preferably unbiased) can be found so that the index is useful for practical applications.","author":[{"dropping-particle":"","family":"Daly","given":"Aisling J.","non-dropping-particle":"","parse-names":false,"suffix":""},{"dropping-particle":"","family":"Baetens","given":"Jan M.","non-dropping-particle":"","parse-names":false,"suffix":""},{"dropping-particle":"","family":"Baets","given":"Bernard","non-dropping-particle":"De","parse-names":false,"suffix":""}],"container-title":"Mathematics","id":"ITEM-2","issue":"7","issued":{"date-parts":[["2018"]]},"title":"Ecological diversity: Measuring the unmeasurable","type":"article-journal","volume":"6"},"uris":["http://www.mendeley.com/documents/?uuid=9fdfc24d-cf69-48db-88c9-3e274fd8ae08"]},{"id":"ITEM-3","itemData":{"author":[{"dropping-particle":"","family":"Hurlbert","given":"Stuart H","non-dropping-particle":"","parse-names":false,"suffix":""}],"container-title":"Ecology","id":"ITEM-3","issue":"4","issued":{"date-parts":[["1971"]]},"page":"577-586","title":"The nonconcept of species diversity: a critique and alternative parameters","type":"article-journal","volume":"52"},"uris":["http://www.mendeley.com/documents/?uuid=bf8c8c83-ca7c-46f5-b063-49c740dceeda"]}],"mendeley":{"formattedCitation":"(Hurlbert, 1971; Hill, 1973; Daly &lt;i&gt;et al.&lt;/i&gt;, 2018)","plainTextFormattedCitation":"(Hurlbert, 1971; Hill, 1973; Daly et al., 2018)","previouslyFormattedCitation":"(Hurlbert, 1971; Hill, 1973; Daly &lt;i&gt;et al.&lt;/i&gt;, 2018)"},"properties":{"noteIndex":0},"schema":"https://github.com/citation-style-language/schema/raw/master/csl-citation.json"}</w:instrText>
      </w:r>
      <w:r w:rsidR="00034FA7" w:rsidRPr="00364D88">
        <w:rPr>
          <w:rFonts w:ascii="Arial" w:hAnsi="Arial" w:cs="Arial"/>
          <w:lang w:val="en-GB"/>
        </w:rPr>
        <w:fldChar w:fldCharType="separate"/>
      </w:r>
      <w:r w:rsidR="00034FA7" w:rsidRPr="00364D88">
        <w:rPr>
          <w:rFonts w:ascii="Arial" w:hAnsi="Arial" w:cs="Arial"/>
          <w:noProof/>
          <w:lang w:val="en-GB"/>
        </w:rPr>
        <w:t xml:space="preserve">(Hurlbert, 1971; Hill, 1973; Daly </w:t>
      </w:r>
      <w:r w:rsidR="00034FA7" w:rsidRPr="00364D88">
        <w:rPr>
          <w:rFonts w:ascii="Arial" w:hAnsi="Arial" w:cs="Arial"/>
          <w:i/>
          <w:noProof/>
          <w:lang w:val="en-GB"/>
        </w:rPr>
        <w:t>et al.</w:t>
      </w:r>
      <w:r w:rsidR="00034FA7" w:rsidRPr="00364D88">
        <w:rPr>
          <w:rFonts w:ascii="Arial" w:hAnsi="Arial" w:cs="Arial"/>
          <w:noProof/>
          <w:lang w:val="en-GB"/>
        </w:rPr>
        <w:t>, 2018)</w:t>
      </w:r>
      <w:r w:rsidR="00034FA7" w:rsidRPr="00364D88">
        <w:rPr>
          <w:rFonts w:ascii="Arial" w:hAnsi="Arial" w:cs="Arial"/>
          <w:lang w:val="en-GB"/>
        </w:rPr>
        <w:fldChar w:fldCharType="end"/>
      </w:r>
      <w:r w:rsidRPr="00364D88">
        <w:rPr>
          <w:rFonts w:ascii="Arial" w:hAnsi="Arial" w:cs="Arial"/>
          <w:lang w:val="en-GB"/>
        </w:rPr>
        <w:t xml:space="preserve">. All these indices, except species richness per site, were calculated using the </w:t>
      </w:r>
      <w:r w:rsidRPr="00364D88">
        <w:rPr>
          <w:rFonts w:ascii="Arial" w:hAnsi="Arial" w:cs="Arial"/>
          <w:i/>
          <w:lang w:val="en-GB"/>
        </w:rPr>
        <w:t>vegan</w:t>
      </w:r>
      <w:r w:rsidR="009E486E" w:rsidRPr="00364D88">
        <w:rPr>
          <w:rFonts w:ascii="Arial" w:hAnsi="Arial" w:cs="Arial"/>
          <w:i/>
          <w:lang w:val="en-GB"/>
        </w:rPr>
        <w:t xml:space="preserve"> </w:t>
      </w:r>
      <w:r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{"citationItems":[{"id":"ITEM-1","itemData":{"author":[{"dropping-particle":"","family":"Oksanen","given":"Jari","non-dropping-particle":"","parse-names":false,"suffix":""},{"dropping-particle":"","family":"Guillaume Blanchet","given":"F","non-dropping-particle":"","parse-names":false,"suffix":""},{"dropping-particle":"","family":"Friendly","given":"Michael","non-dropping-particle":"","parse-names":false,"suffix":""},{"dropping-particle":"","family":"Kindt","given":"Roeland","non-dropping-particle":"","parse-names":false,"suffix":""},{"dropping-particle":"","family":"Legendre","given":"Pierre","non-dropping-particle":"","parse-names":false,"suffix":""},{"dropping-particle":"","family":"McGlinn","given":"Dan","non-dropping-particle":"","parse-names":false,"suffix":""},{"dropping-particle":"","family":"Minchin","given":"Peter R.","non-dropping-particle":"","parse-names":false,"suffix":""},{"dropping-particle":"","family":"O'Hara","given":"R. B.","non-dropping-particle":"","parse-names":false,"suffix":""},{"dropping-particle":"","family":"Simpson","given":"Gavin L.","non-dropping-particle":"","parse-names":false,"suffix":""},{"dropping-particle":"","family":"Solymos","given":"Peter","non-dropping-particle":"","parse-names":false,"suffix":""},{"dropping-particle":"","family":"Henry","given":"M.","non-dropping-particle":"","parse-names":false,"suffix":""},{"dropping-particle":"","family":"Stevens","given":"H.","non-dropping-particle":"","parse-names":false,"suffix":""},{"dropping-particle":"","family":"Szoecs","given":"Eduard","non-dropping-particle":"","parse-names":false,"suffix":""},{"dropping-particle":"","family":"Wagner","given":"Helene","non-dropping-particle":"","parse-names":false,"suffix":""}],"id":"ITEM-1","issued":{"date-parts":[["2018"]]},"page":"R package version 2.4-6.","title":"vegan: Community Ecology Package","type":"article"},"uris":["http://www.mendeley.com/documents/?uuid=2d461ba8-a4d5-436f-b3dd-4f1d227be4d6"]}],"mendeley":{"formattedCitation":"(Oksanen &lt;i&gt;et al.&lt;/i&gt;, 2018)","plainTextFormattedCitation":"(Oksanen et al., 2018)","previouslyFormattedCitation":"(Oksanen &lt;i&gt;et al.&lt;/i&gt;, 2018)"},"properties":{"noteIndex":0},"schema":"https://github.com/citation-style-language/schema/raw/master/csl-citation.json"}</w:instrText>
      </w:r>
      <w:r w:rsidRPr="00364D88">
        <w:rPr>
          <w:rFonts w:ascii="Arial" w:hAnsi="Arial" w:cs="Arial"/>
          <w:lang w:val="en-GB"/>
        </w:rPr>
        <w:fldChar w:fldCharType="separate"/>
      </w:r>
      <w:r w:rsidR="009E486E" w:rsidRPr="00364D88">
        <w:rPr>
          <w:rFonts w:ascii="Arial" w:hAnsi="Arial" w:cs="Arial"/>
          <w:noProof/>
          <w:lang w:val="en-GB"/>
        </w:rPr>
        <w:t xml:space="preserve">(Oksanen </w:t>
      </w:r>
      <w:r w:rsidR="009E486E" w:rsidRPr="00364D88">
        <w:rPr>
          <w:rFonts w:ascii="Arial" w:hAnsi="Arial" w:cs="Arial"/>
          <w:i/>
          <w:noProof/>
          <w:lang w:val="en-GB"/>
        </w:rPr>
        <w:t>et al.</w:t>
      </w:r>
      <w:r w:rsidR="009E486E" w:rsidRPr="00364D88">
        <w:rPr>
          <w:rFonts w:ascii="Arial" w:hAnsi="Arial" w:cs="Arial"/>
          <w:noProof/>
          <w:lang w:val="en-GB"/>
        </w:rPr>
        <w:t>, 2018)</w:t>
      </w:r>
      <w:r w:rsidRPr="00364D88">
        <w:rPr>
          <w:rFonts w:ascii="Arial" w:hAnsi="Arial" w:cs="Arial"/>
          <w:lang w:val="en-GB"/>
        </w:rPr>
        <w:fldChar w:fldCharType="end"/>
      </w:r>
      <w:r w:rsidRPr="00364D88">
        <w:rPr>
          <w:rFonts w:ascii="Arial" w:hAnsi="Arial" w:cs="Arial"/>
          <w:lang w:val="en-GB"/>
        </w:rPr>
        <w:t xml:space="preserve"> package in R. </w:t>
      </w:r>
    </w:p>
    <w:p w14:paraId="18830496" w14:textId="77777777" w:rsidR="00DC679B" w:rsidRPr="00364D88" w:rsidRDefault="00DC679B" w:rsidP="00DC679B">
      <w:pPr>
        <w:spacing w:line="360" w:lineRule="auto"/>
        <w:jc w:val="both"/>
        <w:outlineLvl w:val="0"/>
        <w:rPr>
          <w:rFonts w:ascii="Arial" w:hAnsi="Arial"/>
          <w:u w:val="single"/>
          <w:lang w:val="en-GB"/>
        </w:rPr>
      </w:pPr>
      <w:r w:rsidRPr="00364D88">
        <w:rPr>
          <w:rFonts w:ascii="Arial" w:hAnsi="Arial" w:cs="Arial"/>
          <w:u w:val="single"/>
          <w:lang w:val="en-GB"/>
        </w:rPr>
        <w:t>Statistical models</w:t>
      </w:r>
    </w:p>
    <w:p w14:paraId="7553BE10" w14:textId="37F85FD1" w:rsidR="00DC679B" w:rsidRPr="00364D88" w:rsidRDefault="00DC679B" w:rsidP="00DC679B">
      <w:pPr>
        <w:spacing w:line="360" w:lineRule="auto"/>
        <w:jc w:val="both"/>
        <w:outlineLvl w:val="0"/>
        <w:rPr>
          <w:rFonts w:ascii="Arial" w:hAnsi="Arial"/>
          <w:lang w:val="en-GB"/>
        </w:rPr>
      </w:pPr>
      <w:r w:rsidRPr="00364D88">
        <w:rPr>
          <w:rFonts w:ascii="Arial" w:hAnsi="Arial"/>
          <w:lang w:val="en-GB"/>
        </w:rPr>
        <w:t>We used a model averaging approach based on linear models to investigate the effects of endogenous factors, climate, diversity and foliar nutrient concentrations on annual C fluxes (GPP, Re and NEP), their interannual variability (GPP</w:t>
      </w:r>
      <w:r w:rsidRPr="00364D88">
        <w:rPr>
          <w:rFonts w:ascii="Arial" w:hAnsi="Arial"/>
          <w:vertAlign w:val="subscript"/>
          <w:lang w:val="en-GB"/>
        </w:rPr>
        <w:t>IAV</w:t>
      </w:r>
      <w:r w:rsidRPr="00364D88">
        <w:rPr>
          <w:rFonts w:ascii="Arial" w:hAnsi="Arial"/>
          <w:lang w:val="en-GB"/>
        </w:rPr>
        <w:t>, Re</w:t>
      </w:r>
      <w:r w:rsidRPr="00364D88">
        <w:rPr>
          <w:rFonts w:ascii="Arial" w:hAnsi="Arial"/>
          <w:vertAlign w:val="subscript"/>
          <w:lang w:val="en-GB"/>
        </w:rPr>
        <w:t>IAV</w:t>
      </w:r>
      <w:r w:rsidRPr="00364D88">
        <w:rPr>
          <w:rFonts w:ascii="Arial" w:hAnsi="Arial"/>
          <w:lang w:val="en-GB"/>
        </w:rPr>
        <w:t xml:space="preserve"> and NEP</w:t>
      </w:r>
      <w:r w:rsidRPr="00364D88">
        <w:rPr>
          <w:rFonts w:ascii="Arial" w:hAnsi="Arial"/>
          <w:vertAlign w:val="subscript"/>
          <w:lang w:val="en-GB"/>
        </w:rPr>
        <w:t>IAV</w:t>
      </w:r>
      <w:r w:rsidRPr="00364D88">
        <w:rPr>
          <w:rFonts w:ascii="Arial" w:hAnsi="Arial"/>
          <w:lang w:val="en-GB"/>
        </w:rPr>
        <w:t xml:space="preserve">) and </w:t>
      </w:r>
      <w:r w:rsidRPr="00364D88">
        <w:rPr>
          <w:rFonts w:ascii="Arial" w:hAnsi="Arial"/>
          <w:lang w:val="en-GB"/>
        </w:rPr>
        <w:lastRenderedPageBreak/>
        <w:t xml:space="preserve">CUEe. </w:t>
      </w:r>
      <w:r w:rsidR="0025678B" w:rsidRPr="00364D88">
        <w:rPr>
          <w:rFonts w:ascii="Arial" w:hAnsi="Arial"/>
          <w:lang w:val="en-GB"/>
        </w:rPr>
        <w:t>Model averaging is a</w:t>
      </w:r>
      <w:r w:rsidR="00AA225F" w:rsidRPr="00364D88">
        <w:rPr>
          <w:rFonts w:ascii="Arial" w:hAnsi="Arial"/>
          <w:lang w:val="en-GB"/>
        </w:rPr>
        <w:t xml:space="preserve"> statistical technique</w:t>
      </w:r>
      <w:r w:rsidR="0025678B" w:rsidRPr="00364D88">
        <w:rPr>
          <w:rFonts w:ascii="Arial" w:hAnsi="Arial"/>
          <w:lang w:val="en-GB"/>
        </w:rPr>
        <w:t xml:space="preserve"> based on multimodel inference that computes an average model from the estimates of </w:t>
      </w:r>
      <w:r w:rsidR="00AA225F" w:rsidRPr="00364D88">
        <w:rPr>
          <w:rFonts w:ascii="Arial" w:hAnsi="Arial"/>
          <w:lang w:val="en-GB"/>
        </w:rPr>
        <w:t xml:space="preserve">a set of </w:t>
      </w:r>
      <w:r w:rsidR="0025678B" w:rsidRPr="00364D88">
        <w:rPr>
          <w:rFonts w:ascii="Arial" w:hAnsi="Arial"/>
          <w:lang w:val="en-GB"/>
        </w:rPr>
        <w:t xml:space="preserve">models </w:t>
      </w:r>
      <w:r w:rsidR="00AA225F" w:rsidRPr="00364D88">
        <w:rPr>
          <w:rFonts w:ascii="Arial" w:hAnsi="Arial"/>
          <w:lang w:val="en-GB"/>
        </w:rPr>
        <w:t xml:space="preserve">including different predictors </w:t>
      </w:r>
      <w:r w:rsidR="0025678B" w:rsidRPr="00364D88">
        <w:rPr>
          <w:rFonts w:ascii="Arial" w:hAnsi="Arial"/>
          <w:lang w:val="en-GB"/>
        </w:rPr>
        <w:t>and weighting their relative importance according to the difference of the second-order AIC</w:t>
      </w:r>
      <w:r w:rsidR="00AA225F" w:rsidRPr="00364D88">
        <w:rPr>
          <w:rFonts w:ascii="Arial" w:hAnsi="Arial"/>
          <w:lang w:val="en-GB"/>
        </w:rPr>
        <w:t xml:space="preserve"> (AICc)</w:t>
      </w:r>
      <w:r w:rsidR="0025678B" w:rsidRPr="00364D88">
        <w:rPr>
          <w:rFonts w:ascii="Arial" w:hAnsi="Arial"/>
          <w:lang w:val="en-GB"/>
        </w:rPr>
        <w:t xml:space="preserve"> between each model and the best model</w:t>
      </w:r>
      <w:r w:rsidR="00AA225F" w:rsidRPr="00364D88">
        <w:rPr>
          <w:rFonts w:ascii="Arial" w:hAnsi="Arial"/>
          <w:lang w:val="en-GB"/>
        </w:rPr>
        <w:t xml:space="preserve"> </w:t>
      </w:r>
      <w:r w:rsidR="00AA225F" w:rsidRPr="00364D88">
        <w:rPr>
          <w:rFonts w:ascii="Arial" w:hAnsi="Arial"/>
          <w:lang w:val="en-GB"/>
        </w:rPr>
        <w:fldChar w:fldCharType="begin" w:fldLock="1"/>
      </w:r>
      <w:r w:rsidR="00103339" w:rsidRPr="00364D88">
        <w:rPr>
          <w:rFonts w:ascii="Arial" w:hAnsi="Arial"/>
          <w:lang w:val="en-GB"/>
        </w:rPr>
        <w:instrText>ADDIN CSL_CITATION {"citationItems":[{"id":"ITEM-1","itemData":{"author":[{"dropping-particle":"","family":"Burnham","given":"K.P.","non-dropping-particle":"","parse-names":false,"suffix":""},{"dropping-particle":"","family":"Anderson","given":"D.R.","non-dropping-particle":"","parse-names":false,"suffix":""}],"id":"ITEM-1","issued":{"date-parts":[["2004"]]},"publisher":"Springer","publisher-place":"New York","title":"Model Selection and Multimodel Inference: A Practical Information-Theoretic Approach","type":"book"},"uris":["http://www.mendeley.com/documents/?uuid=dd8aca91-8b57-4e06-a83c-29e1197374ba"]}],"mendeley":{"formattedCitation":"(Burnham &amp; Anderson, 2004)","plainTextFormattedCitation":"(Burnham &amp; Anderson, 2004)","previouslyFormattedCitation":"(Burnham &amp; Anderson, 2004)"},"properties":{"noteIndex":0},"schema":"https://github.com/citation-style-language/schema/raw/master/csl-citation.json"}</w:instrText>
      </w:r>
      <w:r w:rsidR="00AA225F" w:rsidRPr="00364D88">
        <w:rPr>
          <w:rFonts w:ascii="Arial" w:hAnsi="Arial"/>
          <w:lang w:val="en-GB"/>
        </w:rPr>
        <w:fldChar w:fldCharType="separate"/>
      </w:r>
      <w:r w:rsidR="00AA225F" w:rsidRPr="00364D88">
        <w:rPr>
          <w:rFonts w:ascii="Arial" w:hAnsi="Arial"/>
          <w:noProof/>
          <w:lang w:val="en-GB"/>
        </w:rPr>
        <w:t>(Burnham &amp; Anderson, 2004)</w:t>
      </w:r>
      <w:r w:rsidR="00AA225F" w:rsidRPr="00364D88">
        <w:rPr>
          <w:rFonts w:ascii="Arial" w:hAnsi="Arial"/>
          <w:lang w:val="en-GB"/>
        </w:rPr>
        <w:fldChar w:fldCharType="end"/>
      </w:r>
      <w:r w:rsidR="0025678B" w:rsidRPr="00364D88">
        <w:rPr>
          <w:rFonts w:ascii="Arial" w:hAnsi="Arial"/>
          <w:lang w:val="en-GB"/>
        </w:rPr>
        <w:t>.</w:t>
      </w:r>
      <w:r w:rsidR="00AA225F" w:rsidRPr="00364D88">
        <w:rPr>
          <w:rFonts w:ascii="Arial" w:hAnsi="Arial"/>
          <w:lang w:val="en-GB"/>
        </w:rPr>
        <w:t xml:space="preserve"> </w:t>
      </w:r>
      <w:r w:rsidRPr="00364D88">
        <w:rPr>
          <w:rFonts w:ascii="Arial" w:hAnsi="Arial"/>
          <w:lang w:val="en-GB"/>
        </w:rPr>
        <w:t>For annual fluxes, we fitted models containing ecosystem type (forest, shrublands-savannas or grasslands), MAT</w:t>
      </w:r>
      <w:r w:rsidRPr="00364D88">
        <w:rPr>
          <w:rFonts w:ascii="Arial" w:hAnsi="Arial" w:cs="Arial"/>
          <w:lang w:val="en-GB"/>
        </w:rPr>
        <w:t xml:space="preserve">, </w:t>
      </w:r>
      <w:r w:rsidRPr="00364D88">
        <w:rPr>
          <w:rFonts w:ascii="Arial" w:hAnsi="Arial"/>
          <w:lang w:val="en-GB"/>
        </w:rPr>
        <w:t xml:space="preserve"> MAP and their interaction (MAT </w:t>
      </w:r>
      <w:r w:rsidRPr="00364D88">
        <w:rPr>
          <w:rFonts w:ascii="Arial" w:hAnsi="Arial" w:cs="Arial"/>
          <w:lang w:val="en-GB"/>
        </w:rPr>
        <w:t>×</w:t>
      </w:r>
      <w:r w:rsidRPr="00364D88">
        <w:rPr>
          <w:rFonts w:ascii="Arial" w:hAnsi="Arial"/>
          <w:lang w:val="en-GB"/>
        </w:rPr>
        <w:t xml:space="preserve"> MAP), species and phylogenetic diversity, community weighted foliar N and P and their interaction. For Re and NEP, we also included GPP as a predictor to control for the productivity of the site as an endogenous factor. Models explaining variability in CUEe included the same predictors but without including C fluxes. For interannual variability we repeated the same models as for C fluxes described above but including also the GPP, Re and NEP as predictors. For GPP</w:t>
      </w:r>
      <w:r w:rsidRPr="00364D88">
        <w:rPr>
          <w:rFonts w:ascii="Arial" w:hAnsi="Arial"/>
          <w:vertAlign w:val="subscript"/>
          <w:lang w:val="en-GB"/>
        </w:rPr>
        <w:t xml:space="preserve">IAV </w:t>
      </w:r>
      <w:r w:rsidRPr="00364D88">
        <w:rPr>
          <w:rFonts w:ascii="Arial" w:hAnsi="Arial"/>
          <w:lang w:val="en-GB"/>
        </w:rPr>
        <w:t>only GPP was included, for Re</w:t>
      </w:r>
      <w:r w:rsidRPr="00364D88">
        <w:rPr>
          <w:rFonts w:ascii="Arial" w:hAnsi="Arial"/>
          <w:vertAlign w:val="subscript"/>
          <w:lang w:val="en-GB"/>
        </w:rPr>
        <w:t>IAV</w:t>
      </w:r>
      <w:r w:rsidRPr="00364D88">
        <w:rPr>
          <w:rFonts w:ascii="Arial" w:hAnsi="Arial"/>
          <w:lang w:val="en-GB"/>
        </w:rPr>
        <w:t xml:space="preserve"> we included GPP and Re and for NEP</w:t>
      </w:r>
      <w:r w:rsidRPr="00364D88">
        <w:rPr>
          <w:rFonts w:ascii="Arial" w:hAnsi="Arial"/>
          <w:vertAlign w:val="subscript"/>
          <w:lang w:val="en-GB"/>
        </w:rPr>
        <w:t>IAV</w:t>
      </w:r>
      <w:r w:rsidRPr="00364D88">
        <w:rPr>
          <w:rFonts w:ascii="Arial" w:hAnsi="Arial"/>
          <w:lang w:val="en-GB"/>
        </w:rPr>
        <w:t xml:space="preserve"> we included GPP, Re and NEP. Diversity and foliar nutrient variables were log-transformed to account for non-linear relationships. </w:t>
      </w:r>
    </w:p>
    <w:p w14:paraId="28AF6845" w14:textId="67B0F6C4" w:rsidR="00DC679B" w:rsidRPr="00364D88" w:rsidRDefault="00DC679B" w:rsidP="00DC679B">
      <w:pPr>
        <w:spacing w:line="360" w:lineRule="auto"/>
        <w:jc w:val="both"/>
        <w:outlineLvl w:val="0"/>
        <w:rPr>
          <w:rFonts w:ascii="Arial" w:hAnsi="Arial"/>
          <w:lang w:val="en-GB"/>
        </w:rPr>
      </w:pPr>
      <w:r w:rsidRPr="00364D88">
        <w:rPr>
          <w:rFonts w:ascii="Arial" w:hAnsi="Arial"/>
          <w:lang w:val="en-GB"/>
        </w:rPr>
        <w:t xml:space="preserve">We then estimated all possible models nested within the saturated (see above) models using the </w:t>
      </w:r>
      <w:r w:rsidRPr="00364D88">
        <w:rPr>
          <w:rFonts w:ascii="Arial" w:hAnsi="Arial"/>
          <w:i/>
          <w:lang w:val="en-GB"/>
        </w:rPr>
        <w:t>dredge</w:t>
      </w:r>
      <w:r w:rsidRPr="00364D88">
        <w:rPr>
          <w:rFonts w:ascii="Arial" w:hAnsi="Arial"/>
          <w:lang w:val="en-GB"/>
        </w:rPr>
        <w:t xml:space="preserve"> function in </w:t>
      </w:r>
      <w:r w:rsidRPr="00364D88">
        <w:rPr>
          <w:rFonts w:ascii="Arial" w:hAnsi="Arial"/>
          <w:i/>
          <w:lang w:val="en-GB"/>
        </w:rPr>
        <w:t>MuMin</w:t>
      </w:r>
      <w:r w:rsidR="009E486E" w:rsidRPr="00364D88">
        <w:rPr>
          <w:rFonts w:ascii="Arial" w:hAnsi="Arial"/>
          <w:i/>
          <w:lang w:val="en-GB"/>
        </w:rPr>
        <w:t xml:space="preserve"> </w:t>
      </w:r>
      <w:r w:rsidRPr="00364D88">
        <w:rPr>
          <w:rFonts w:ascii="Arial" w:hAnsi="Arial"/>
          <w:lang w:val="en-GB"/>
        </w:rPr>
        <w:fldChar w:fldCharType="begin" w:fldLock="1"/>
      </w:r>
      <w:r w:rsidR="00114B12" w:rsidRPr="00364D88">
        <w:rPr>
          <w:rFonts w:ascii="Arial" w:hAnsi="Arial"/>
          <w:lang w:val="en-GB"/>
        </w:rPr>
        <w:instrText>ADDIN CSL_CITATION {"citationItems":[{"id":"ITEM-1","itemData":{"author":[{"dropping-particle":"","family":"Barton","given":"Kamil","non-dropping-particle":"","parse-names":false,"suffix":""}],"id":"ITEM-1","issued":{"date-parts":[["2018"]]},"title":"MuMIn: Multi-Model Inference. -R package version 1.40.4.","type":"patent"},"uris":["http://www.mendeley.com/documents/?uuid=ae0c8b5f-d3bf-4b06-9499-0a0dc16d2058"]},{"id":"ITEM-2","itemData":{"DOI":"10.1177/0049124104268644","ISSN":"0049-1241","author":[{"dropping-particle":"","family":"Burnham","given":"K. P.","non-dropping-particle":"","parse-names":false,"suffix":""}],"container-title":"Sociological Methods &amp; Research","id":"ITEM-2","issue":"2","issued":{"date-parts":[["2004","11","1"]]},"page":"261-304","title":"Multimodel Inference: Understanding AIC and BIC in Model Selection","type":"article-journal","volume":"33"},"uris":["http://www.mendeley.com/documents/?uuid=144faa22-9f10-4960-87e2-faa2edaef880"]}],"mendeley":{"formattedCitation":"(Burnham, 2004; Barton, 2018)","plainTextFormattedCitation":"(Burnham, 2004; Barton, 2018)","previouslyFormattedCitation":"(Burnham, 2004; Barton, 2018)"},"properties":{"noteIndex":0},"schema":"https://github.com/citation-style-language/schema/raw/master/csl-citation.json"}</w:instrText>
      </w:r>
      <w:r w:rsidRPr="00364D88">
        <w:rPr>
          <w:rFonts w:ascii="Arial" w:hAnsi="Arial"/>
          <w:lang w:val="en-GB"/>
        </w:rPr>
        <w:fldChar w:fldCharType="separate"/>
      </w:r>
      <w:r w:rsidR="009E486E" w:rsidRPr="00364D88">
        <w:rPr>
          <w:rFonts w:ascii="Arial" w:hAnsi="Arial"/>
          <w:noProof/>
          <w:lang w:val="en-GB"/>
        </w:rPr>
        <w:t>(Burnham, 2004; Barton, 2018)</w:t>
      </w:r>
      <w:r w:rsidRPr="00364D88">
        <w:rPr>
          <w:rFonts w:ascii="Arial" w:hAnsi="Arial"/>
          <w:lang w:val="en-GB"/>
        </w:rPr>
        <w:fldChar w:fldCharType="end"/>
      </w:r>
      <w:r w:rsidRPr="00364D88">
        <w:rPr>
          <w:rFonts w:ascii="Arial" w:hAnsi="Arial"/>
          <w:lang w:val="en-GB"/>
        </w:rPr>
        <w:t xml:space="preserve"> R package. Models including both MAT and MAT</w:t>
      </w:r>
      <w:r w:rsidRPr="00364D88">
        <w:rPr>
          <w:rFonts w:ascii="Arial" w:hAnsi="Arial"/>
          <w:vertAlign w:val="subscript"/>
          <w:lang w:val="en-GB"/>
        </w:rPr>
        <w:t>IAV</w:t>
      </w:r>
      <w:r w:rsidRPr="00364D88">
        <w:rPr>
          <w:rFonts w:ascii="Arial" w:hAnsi="Arial"/>
          <w:lang w:val="en-GB"/>
        </w:rPr>
        <w:t xml:space="preserve"> were discarded from the set of models because of the high collinearity between these two predictors (variance inflation factor &gt; 10). We selected those models with </w:t>
      </w:r>
      <w:r w:rsidRPr="00364D88">
        <w:rPr>
          <w:rFonts w:ascii="Calibri" w:hAnsi="Calibri"/>
          <w:lang w:val="en-GB"/>
        </w:rPr>
        <w:t>Δ</w:t>
      </w:r>
      <w:r w:rsidRPr="00364D88">
        <w:rPr>
          <w:rFonts w:ascii="Arial" w:hAnsi="Arial"/>
          <w:lang w:val="en-GB"/>
        </w:rPr>
        <w:t>AICc &lt; 4 to estimate the conditional average model and calculate the relative importance of each predictor. For each of these models we also calculated the variance explained by each of the predictors with the “</w:t>
      </w:r>
      <w:r w:rsidRPr="00364D88">
        <w:rPr>
          <w:rFonts w:ascii="Arial" w:hAnsi="Arial"/>
          <w:i/>
          <w:lang w:val="en-GB"/>
        </w:rPr>
        <w:t>lmg</w:t>
      </w:r>
      <w:r w:rsidRPr="00364D88">
        <w:rPr>
          <w:rFonts w:ascii="Arial" w:hAnsi="Arial"/>
          <w:lang w:val="en-GB"/>
        </w:rPr>
        <w:t>” metric in the R package “</w:t>
      </w:r>
      <w:r w:rsidRPr="00364D88">
        <w:rPr>
          <w:rFonts w:ascii="Arial" w:hAnsi="Arial"/>
          <w:i/>
          <w:lang w:val="en-GB"/>
        </w:rPr>
        <w:t>relaimpo</w:t>
      </w:r>
      <w:r w:rsidRPr="00364D88">
        <w:rPr>
          <w:rFonts w:ascii="Arial" w:hAnsi="Arial"/>
          <w:lang w:val="en-GB"/>
        </w:rPr>
        <w:t>”</w:t>
      </w:r>
      <w:r w:rsidR="009E486E" w:rsidRPr="00364D88">
        <w:rPr>
          <w:rFonts w:ascii="Arial" w:hAnsi="Arial"/>
          <w:lang w:val="en-GB"/>
        </w:rPr>
        <w:t xml:space="preserve"> </w:t>
      </w:r>
      <w:r w:rsidRPr="00364D88">
        <w:rPr>
          <w:rFonts w:ascii="Arial" w:hAnsi="Arial"/>
          <w:lang w:val="en-GB"/>
        </w:rPr>
        <w:fldChar w:fldCharType="begin" w:fldLock="1"/>
      </w:r>
      <w:r w:rsidR="00114B12" w:rsidRPr="00364D88">
        <w:rPr>
          <w:rFonts w:ascii="Arial" w:hAnsi="Arial"/>
          <w:lang w:val="en-GB"/>
        </w:rPr>
        <w:instrText>ADDIN CSL_CITATION {"citationItems":[{"id":"ITEM-1","itemData":{"author":[{"dropping-particle":"","family":"Grömping","given":"U","non-dropping-particle":"","parse-names":false,"suffix":""}],"container-title":"Journal of Statistical Software","id":"ITEM-1","issue":"1","issued":{"date-parts":[["2006"]]},"page":"1-27","title":"Relative importance for linear regression in R: the package relaimpo","type":"article-journal","volume":"17"},"uris":["http://www.mendeley.com/documents/?uuid=d0a2a731-6fec-4d2b-82d1-3ed990c3d458"]}],"mendeley":{"formattedCitation":"(Grömping, 2006)","plainTextFormattedCitation":"(Grömping, 2006)","previouslyFormattedCitation":"(Grömping, 2006)"},"properties":{"noteIndex":0},"schema":"https://github.com/citation-style-language/schema/raw/master/csl-citation.json"}</w:instrText>
      </w:r>
      <w:r w:rsidRPr="00364D88">
        <w:rPr>
          <w:rFonts w:ascii="Arial" w:hAnsi="Arial"/>
          <w:lang w:val="en-GB"/>
        </w:rPr>
        <w:fldChar w:fldCharType="separate"/>
      </w:r>
      <w:r w:rsidR="009E486E" w:rsidRPr="00364D88">
        <w:rPr>
          <w:rFonts w:ascii="Arial" w:hAnsi="Arial"/>
          <w:noProof/>
          <w:lang w:val="en-GB"/>
        </w:rPr>
        <w:t>(Grömping, 2006)</w:t>
      </w:r>
      <w:r w:rsidRPr="00364D88">
        <w:rPr>
          <w:rFonts w:ascii="Arial" w:hAnsi="Arial"/>
          <w:lang w:val="en-GB"/>
        </w:rPr>
        <w:fldChar w:fldCharType="end"/>
      </w:r>
      <w:r w:rsidRPr="00364D88">
        <w:rPr>
          <w:rFonts w:ascii="Arial" w:hAnsi="Arial"/>
          <w:lang w:val="en-GB"/>
        </w:rPr>
        <w:t xml:space="preserve">. We then calculated the average variance explained by all predictors weighting by the relative importance of each of the models with </w:t>
      </w:r>
      <w:r w:rsidRPr="00364D88">
        <w:rPr>
          <w:rFonts w:ascii="Calibri" w:hAnsi="Calibri"/>
          <w:lang w:val="en-GB"/>
        </w:rPr>
        <w:t>Δ</w:t>
      </w:r>
      <w:r w:rsidRPr="00364D88">
        <w:rPr>
          <w:rFonts w:ascii="Arial" w:hAnsi="Arial"/>
          <w:lang w:val="en-GB"/>
        </w:rPr>
        <w:t xml:space="preserve">AICc &lt; 4. We finally used models with ΔAICc &lt; 4 to visualise the relationships between response and predictor variables using partial residual plots by means of the </w:t>
      </w:r>
      <w:r w:rsidRPr="00364D88">
        <w:rPr>
          <w:rFonts w:ascii="Arial" w:hAnsi="Arial"/>
          <w:i/>
          <w:lang w:val="en-GB"/>
        </w:rPr>
        <w:t>visreg</w:t>
      </w:r>
      <w:r w:rsidR="009E486E" w:rsidRPr="00364D88">
        <w:rPr>
          <w:rFonts w:ascii="Arial" w:hAnsi="Arial"/>
          <w:i/>
          <w:lang w:val="en-GB"/>
        </w:rPr>
        <w:t xml:space="preserve"> </w:t>
      </w:r>
      <w:r w:rsidRPr="00364D88">
        <w:rPr>
          <w:rFonts w:ascii="Arial" w:hAnsi="Arial"/>
          <w:lang w:val="en-GB"/>
        </w:rPr>
        <w:fldChar w:fldCharType="begin" w:fldLock="1"/>
      </w:r>
      <w:r w:rsidR="00114B12" w:rsidRPr="00364D88">
        <w:rPr>
          <w:rFonts w:ascii="Arial" w:hAnsi="Arial"/>
          <w:lang w:val="en-GB"/>
        </w:rPr>
        <w:instrText>ADDIN CSL_CITATION {"citationItems":[{"id":"ITEM-1","itemData":{"abstract":"Abstract Regression models allow one to isolate the relationship between the outcome and an explanatory variable while the other variables are held constant. Here, we introduce an R package, visreg , for the convenient visualization of this relationship via short, simple ... \\n","author":[{"dropping-particle":"","family":"Breheny","given":"Patrick","non-dropping-particle":"","parse-names":false,"suffix":""},{"dropping-particle":"","family":"Burchett","given":"Woodrow","non-dropping-particle":"","parse-names":false,"suffix":""}],"id":"ITEM-1","issued":{"date-parts":[["2015"]]},"title":"Visualization of Regression Models Using visreg, R package version 2.2-0","type":"article"},"uris":["http://www.mendeley.com/documents/?uuid=f44f753a-907d-4766-b816-6b3720d5e18a"]}],"mendeley":{"formattedCitation":"(Breheny &amp; Burchett, 2015)","plainTextFormattedCitation":"(Breheny &amp; Burchett, 2015)","previouslyFormattedCitation":"(Breheny &amp; Burchett, 2015)"},"properties":{"noteIndex":0},"schema":"https://github.com/citation-style-language/schema/raw/master/csl-citation.json"}</w:instrText>
      </w:r>
      <w:r w:rsidRPr="00364D88">
        <w:rPr>
          <w:rFonts w:ascii="Arial" w:hAnsi="Arial"/>
          <w:lang w:val="en-GB"/>
        </w:rPr>
        <w:fldChar w:fldCharType="separate"/>
      </w:r>
      <w:r w:rsidR="009E486E" w:rsidRPr="00364D88">
        <w:rPr>
          <w:rFonts w:ascii="Arial" w:hAnsi="Arial"/>
          <w:noProof/>
          <w:lang w:val="en-GB"/>
        </w:rPr>
        <w:t>(Breheny &amp; Burchett, 2015)</w:t>
      </w:r>
      <w:r w:rsidRPr="00364D88">
        <w:rPr>
          <w:rFonts w:ascii="Arial" w:hAnsi="Arial"/>
          <w:lang w:val="en-GB"/>
        </w:rPr>
        <w:fldChar w:fldCharType="end"/>
      </w:r>
      <w:r w:rsidRPr="00364D88">
        <w:rPr>
          <w:rFonts w:ascii="Arial" w:hAnsi="Arial"/>
          <w:lang w:val="en-GB"/>
        </w:rPr>
        <w:t xml:space="preserve"> package in R.</w:t>
      </w:r>
    </w:p>
    <w:p w14:paraId="6C3FEDAA" w14:textId="10BFE0CA" w:rsidR="00DC679B" w:rsidRPr="00364D88" w:rsidRDefault="00DC679B" w:rsidP="00DC679B">
      <w:pPr>
        <w:spacing w:line="360" w:lineRule="auto"/>
        <w:jc w:val="both"/>
        <w:outlineLvl w:val="0"/>
        <w:rPr>
          <w:rFonts w:ascii="Arial" w:hAnsi="Arial"/>
          <w:lang w:val="en-GB"/>
        </w:rPr>
      </w:pPr>
      <w:r w:rsidRPr="00364D88">
        <w:rPr>
          <w:rFonts w:ascii="Arial" w:hAnsi="Arial"/>
          <w:lang w:val="en-GB"/>
        </w:rPr>
        <w:t xml:space="preserve">We repeated all statistical analyses using </w:t>
      </w:r>
      <w:r w:rsidRPr="00364D88">
        <w:rPr>
          <w:rFonts w:ascii="Arial" w:hAnsi="Arial"/>
          <w:i/>
          <w:lang w:val="en-GB"/>
        </w:rPr>
        <w:t>i</w:t>
      </w:r>
      <w:r w:rsidRPr="00364D88">
        <w:rPr>
          <w:rFonts w:ascii="Arial" w:hAnsi="Arial"/>
          <w:lang w:val="en-GB"/>
        </w:rPr>
        <w:t xml:space="preserve">) all sites (N=62), </w:t>
      </w:r>
      <w:r w:rsidRPr="00364D88">
        <w:rPr>
          <w:rFonts w:ascii="Arial" w:hAnsi="Arial"/>
          <w:i/>
          <w:lang w:val="en-GB"/>
        </w:rPr>
        <w:t>ii</w:t>
      </w:r>
      <w:r w:rsidRPr="00364D88">
        <w:rPr>
          <w:rFonts w:ascii="Arial" w:hAnsi="Arial"/>
          <w:lang w:val="en-GB"/>
        </w:rPr>
        <w:t xml:space="preserve">) only forests (N=41), and </w:t>
      </w:r>
      <w:r w:rsidRPr="00364D88">
        <w:rPr>
          <w:rFonts w:ascii="Arial" w:hAnsi="Arial"/>
          <w:i/>
          <w:lang w:val="en-GB"/>
        </w:rPr>
        <w:t>iii</w:t>
      </w:r>
      <w:r w:rsidRPr="00364D88">
        <w:rPr>
          <w:rFonts w:ascii="Arial" w:hAnsi="Arial"/>
          <w:lang w:val="en-GB"/>
        </w:rPr>
        <w:t>) only savannas, shrublands and grasslands (N=21). In models using only forests, we also included stand age (log-transformed) and its interaction with C fluxes as a predictor (see models described above). All analyses were performed in R statistical software v. 3.6.2</w:t>
      </w:r>
      <w:r w:rsidR="009E486E" w:rsidRPr="00364D88">
        <w:rPr>
          <w:rFonts w:ascii="Arial" w:hAnsi="Arial"/>
          <w:lang w:val="en-GB"/>
        </w:rPr>
        <w:t xml:space="preserve"> </w:t>
      </w:r>
      <w:r w:rsidRPr="00364D88">
        <w:rPr>
          <w:rFonts w:ascii="Arial" w:hAnsi="Arial"/>
          <w:lang w:val="en-GB"/>
        </w:rPr>
        <w:fldChar w:fldCharType="begin" w:fldLock="1"/>
      </w:r>
      <w:r w:rsidR="00114B12" w:rsidRPr="00364D88">
        <w:rPr>
          <w:rFonts w:ascii="Arial" w:hAnsi="Arial"/>
          <w:lang w:val="en-GB"/>
        </w:rPr>
        <w:instrText>ADDIN CSL_CITATION {"citationItems":[{"id":"ITEM-1","itemData":{"author":[{"dropping-particle":"","family":"R Core Team","given":"","non-dropping-particle":"","parse-names":false,"suffix":""}],"id":"ITEM-1","issued":{"date-parts":[["2019"]]},"number":"3.6.2","publisher":"R Foundation for Statistical Computing","publisher-place":"Vienna, Austria","title":"R: A Language and Environment for Statistical Computing","type":"article"},"uris":["http://www.mendeley.com/documents/?uuid=c5535c8e-0265-4c2b-b856-e36f5fbef6a3"]}],"mendeley":{"formattedCitation":"(R Core Team, 2019)","plainTextFormattedCitation":"(R Core Team, 2019)","previouslyFormattedCitation":"(R Core Team, 2019)"},"properties":{"noteIndex":0},"schema":"https://github.com/citation-style-language/schema/raw/master/csl-citation.json"}</w:instrText>
      </w:r>
      <w:r w:rsidRPr="00364D88">
        <w:rPr>
          <w:rFonts w:ascii="Arial" w:hAnsi="Arial"/>
          <w:lang w:val="en-GB"/>
        </w:rPr>
        <w:fldChar w:fldCharType="separate"/>
      </w:r>
      <w:r w:rsidR="009E486E" w:rsidRPr="00364D88">
        <w:rPr>
          <w:rFonts w:ascii="Arial" w:hAnsi="Arial"/>
          <w:noProof/>
          <w:lang w:val="en-GB"/>
        </w:rPr>
        <w:t>(R Core Team, 2019)</w:t>
      </w:r>
      <w:r w:rsidRPr="00364D88">
        <w:rPr>
          <w:rFonts w:ascii="Arial" w:hAnsi="Arial"/>
          <w:lang w:val="en-GB"/>
        </w:rPr>
        <w:fldChar w:fldCharType="end"/>
      </w:r>
      <w:r w:rsidRPr="00364D88">
        <w:rPr>
          <w:rFonts w:ascii="Arial" w:hAnsi="Arial"/>
          <w:lang w:val="en-GB"/>
        </w:rPr>
        <w:t xml:space="preserve">. </w:t>
      </w:r>
    </w:p>
    <w:p w14:paraId="78D820BA" w14:textId="42A4346F" w:rsidR="006261E2" w:rsidRPr="00364D88" w:rsidRDefault="006261E2" w:rsidP="006261E2">
      <w:pPr>
        <w:spacing w:line="360" w:lineRule="auto"/>
        <w:jc w:val="both"/>
        <w:outlineLvl w:val="0"/>
        <w:rPr>
          <w:rFonts w:ascii="Arial" w:hAnsi="Arial"/>
          <w:b/>
          <w:lang w:val="en-GB"/>
        </w:rPr>
      </w:pPr>
      <w:r w:rsidRPr="00364D88">
        <w:rPr>
          <w:rFonts w:ascii="Arial" w:hAnsi="Arial"/>
          <w:b/>
          <w:lang w:val="en-GB"/>
        </w:rPr>
        <w:t>Results</w:t>
      </w:r>
    </w:p>
    <w:p w14:paraId="77A633F6" w14:textId="73C1E9DB" w:rsidR="007B7625" w:rsidRPr="00364D88" w:rsidRDefault="000F3DB0" w:rsidP="007B7625">
      <w:pPr>
        <w:spacing w:line="360" w:lineRule="auto"/>
        <w:jc w:val="both"/>
        <w:outlineLvl w:val="0"/>
        <w:rPr>
          <w:rFonts w:ascii="Arial" w:hAnsi="Arial"/>
          <w:i/>
          <w:lang w:val="en-GB"/>
        </w:rPr>
      </w:pPr>
      <w:r w:rsidRPr="00364D88">
        <w:rPr>
          <w:rFonts w:ascii="Arial" w:hAnsi="Arial"/>
          <w:i/>
          <w:lang w:val="en-GB"/>
        </w:rPr>
        <w:t>Main c</w:t>
      </w:r>
      <w:r w:rsidR="0078366A" w:rsidRPr="00364D88">
        <w:rPr>
          <w:rFonts w:ascii="Arial" w:hAnsi="Arial"/>
          <w:i/>
          <w:lang w:val="en-GB"/>
        </w:rPr>
        <w:t>ontrols of</w:t>
      </w:r>
      <w:r w:rsidR="007B7625" w:rsidRPr="00364D88">
        <w:rPr>
          <w:rFonts w:ascii="Arial" w:hAnsi="Arial"/>
          <w:i/>
          <w:lang w:val="en-GB"/>
        </w:rPr>
        <w:t xml:space="preserve"> C fluxes</w:t>
      </w:r>
      <w:r w:rsidR="00A542F6" w:rsidRPr="00364D88">
        <w:rPr>
          <w:rFonts w:ascii="Arial" w:hAnsi="Arial"/>
          <w:i/>
          <w:lang w:val="en-GB"/>
        </w:rPr>
        <w:t xml:space="preserve"> and their temporal variability</w:t>
      </w:r>
    </w:p>
    <w:p w14:paraId="75D5CCEE" w14:textId="375EC47B" w:rsidR="00821B39" w:rsidRPr="00364D88" w:rsidRDefault="00235DA8" w:rsidP="00D673EB">
      <w:pPr>
        <w:spacing w:line="360" w:lineRule="auto"/>
        <w:jc w:val="both"/>
        <w:outlineLvl w:val="0"/>
        <w:rPr>
          <w:rFonts w:ascii="Arial" w:hAnsi="Arial"/>
          <w:lang w:val="en-GB"/>
        </w:rPr>
      </w:pPr>
      <w:r w:rsidRPr="00364D88">
        <w:rPr>
          <w:rFonts w:ascii="Arial" w:hAnsi="Arial"/>
          <w:lang w:val="en-GB"/>
        </w:rPr>
        <w:lastRenderedPageBreak/>
        <w:t>Our r</w:t>
      </w:r>
      <w:r w:rsidR="00AE6686" w:rsidRPr="00364D88">
        <w:rPr>
          <w:rFonts w:ascii="Arial" w:hAnsi="Arial"/>
          <w:lang w:val="en-GB"/>
        </w:rPr>
        <w:t>esults indicated that</w:t>
      </w:r>
      <w:r w:rsidR="00193A8E" w:rsidRPr="00364D88">
        <w:rPr>
          <w:rFonts w:ascii="Arial" w:hAnsi="Arial"/>
          <w:lang w:val="en-GB"/>
        </w:rPr>
        <w:t xml:space="preserve"> </w:t>
      </w:r>
      <w:r w:rsidRPr="00364D88">
        <w:rPr>
          <w:rFonts w:ascii="Arial" w:hAnsi="Arial"/>
          <w:lang w:val="en-GB"/>
        </w:rPr>
        <w:t>climate was the main factor explaining variability in GPP across sites</w:t>
      </w:r>
      <w:r w:rsidR="006B425D" w:rsidRPr="00364D88">
        <w:rPr>
          <w:rFonts w:ascii="Arial" w:hAnsi="Arial"/>
          <w:lang w:val="en-GB"/>
        </w:rPr>
        <w:t xml:space="preserve"> (</w:t>
      </w:r>
      <w:r w:rsidR="00C823F7">
        <w:rPr>
          <w:rFonts w:ascii="Arial" w:hAnsi="Arial"/>
          <w:b/>
          <w:lang w:val="en-GB"/>
        </w:rPr>
        <w:t>Fig.</w:t>
      </w:r>
      <w:r w:rsidR="006B425D" w:rsidRPr="00364D88">
        <w:rPr>
          <w:rFonts w:ascii="Arial" w:hAnsi="Arial"/>
          <w:b/>
          <w:lang w:val="en-GB"/>
        </w:rPr>
        <w:t xml:space="preserve"> 1</w:t>
      </w:r>
      <w:r w:rsidR="006B425D" w:rsidRPr="00364D88">
        <w:rPr>
          <w:rFonts w:ascii="Arial" w:hAnsi="Arial"/>
          <w:lang w:val="en-GB"/>
        </w:rPr>
        <w:t xml:space="preserve">). </w:t>
      </w:r>
      <w:r w:rsidR="00161CA0" w:rsidRPr="00364D88">
        <w:rPr>
          <w:rFonts w:ascii="Arial" w:hAnsi="Arial"/>
          <w:lang w:val="en-GB"/>
        </w:rPr>
        <w:t>Ecosystems with higher MAP and MAT and less variable climate (MAT</w:t>
      </w:r>
      <w:r w:rsidR="00161CA0" w:rsidRPr="00364D88">
        <w:rPr>
          <w:rFonts w:ascii="Arial" w:hAnsi="Arial"/>
          <w:vertAlign w:val="subscript"/>
          <w:lang w:val="en-GB"/>
        </w:rPr>
        <w:t>IAV</w:t>
      </w:r>
      <w:r w:rsidR="00161CA0" w:rsidRPr="00364D88">
        <w:rPr>
          <w:rFonts w:ascii="Arial" w:hAnsi="Arial"/>
          <w:lang w:val="en-GB"/>
        </w:rPr>
        <w:t xml:space="preserve"> and MAP</w:t>
      </w:r>
      <w:r w:rsidR="00161CA0" w:rsidRPr="00364D88">
        <w:rPr>
          <w:rFonts w:ascii="Arial" w:hAnsi="Arial"/>
          <w:vertAlign w:val="subscript"/>
          <w:lang w:val="en-GB"/>
        </w:rPr>
        <w:t>IAV</w:t>
      </w:r>
      <w:r w:rsidR="00161CA0" w:rsidRPr="00364D88">
        <w:rPr>
          <w:rFonts w:ascii="Arial" w:hAnsi="Arial"/>
          <w:lang w:val="en-GB"/>
        </w:rPr>
        <w:t xml:space="preserve">) had generally higher GPP. </w:t>
      </w:r>
      <w:r w:rsidR="006B425D" w:rsidRPr="00364D88">
        <w:rPr>
          <w:rFonts w:ascii="Arial" w:hAnsi="Arial"/>
          <w:lang w:val="en-GB"/>
        </w:rPr>
        <w:t>T</w:t>
      </w:r>
      <w:r w:rsidR="00D673EB" w:rsidRPr="00364D88">
        <w:rPr>
          <w:rFonts w:ascii="Arial" w:hAnsi="Arial"/>
          <w:lang w:val="en-GB"/>
        </w:rPr>
        <w:t>h</w:t>
      </w:r>
      <w:r w:rsidR="006B425D" w:rsidRPr="00364D88">
        <w:rPr>
          <w:rFonts w:ascii="Arial" w:hAnsi="Arial"/>
          <w:lang w:val="en-GB"/>
        </w:rPr>
        <w:t>e main</w:t>
      </w:r>
      <w:r w:rsidR="00D673EB" w:rsidRPr="00364D88">
        <w:rPr>
          <w:rFonts w:ascii="Arial" w:hAnsi="Arial"/>
          <w:lang w:val="en-GB"/>
        </w:rPr>
        <w:t xml:space="preserve"> </w:t>
      </w:r>
      <w:r w:rsidR="006B425D" w:rsidRPr="00364D88">
        <w:rPr>
          <w:rFonts w:ascii="Arial" w:hAnsi="Arial"/>
          <w:lang w:val="en-GB"/>
        </w:rPr>
        <w:t xml:space="preserve">climatic </w:t>
      </w:r>
      <w:r w:rsidR="00D673EB" w:rsidRPr="00364D88">
        <w:rPr>
          <w:rFonts w:ascii="Arial" w:hAnsi="Arial"/>
          <w:lang w:val="en-GB"/>
        </w:rPr>
        <w:t xml:space="preserve">effect </w:t>
      </w:r>
      <w:r w:rsidR="006B425D" w:rsidRPr="00364D88">
        <w:rPr>
          <w:rFonts w:ascii="Arial" w:hAnsi="Arial"/>
          <w:lang w:val="en-GB"/>
        </w:rPr>
        <w:t xml:space="preserve">on GPP </w:t>
      </w:r>
      <w:r w:rsidR="00D673EB" w:rsidRPr="00364D88">
        <w:rPr>
          <w:rFonts w:ascii="Arial" w:hAnsi="Arial"/>
          <w:lang w:val="en-GB"/>
        </w:rPr>
        <w:t xml:space="preserve">propagated </w:t>
      </w:r>
      <w:r w:rsidR="006B425D" w:rsidRPr="00364D88">
        <w:rPr>
          <w:rFonts w:ascii="Arial" w:hAnsi="Arial"/>
          <w:lang w:val="en-GB"/>
        </w:rPr>
        <w:t>in</w:t>
      </w:r>
      <w:r w:rsidR="00D673EB" w:rsidRPr="00364D88">
        <w:rPr>
          <w:rFonts w:ascii="Arial" w:hAnsi="Arial"/>
          <w:lang w:val="en-GB"/>
        </w:rPr>
        <w:t>to</w:t>
      </w:r>
      <w:r w:rsidR="006B425D" w:rsidRPr="00364D88">
        <w:rPr>
          <w:rFonts w:ascii="Arial" w:hAnsi="Arial"/>
          <w:lang w:val="en-GB"/>
        </w:rPr>
        <w:t xml:space="preserve"> Re and NEP, for which the direct climate effect was very low </w:t>
      </w:r>
      <w:r w:rsidR="00161CA0" w:rsidRPr="00364D88">
        <w:rPr>
          <w:rFonts w:ascii="Arial" w:hAnsi="Arial"/>
          <w:lang w:val="en-GB"/>
        </w:rPr>
        <w:t xml:space="preserve">(and potentially negative for Re) </w:t>
      </w:r>
      <w:r w:rsidR="006B425D" w:rsidRPr="00364D88">
        <w:rPr>
          <w:rFonts w:ascii="Arial" w:hAnsi="Arial"/>
          <w:lang w:val="en-GB"/>
        </w:rPr>
        <w:t xml:space="preserve">once </w:t>
      </w:r>
      <w:r w:rsidR="00161CA0" w:rsidRPr="00364D88">
        <w:rPr>
          <w:rFonts w:ascii="Arial" w:hAnsi="Arial"/>
          <w:lang w:val="en-GB"/>
        </w:rPr>
        <w:t>site productivity (</w:t>
      </w:r>
      <w:r w:rsidR="006B425D" w:rsidRPr="00364D88">
        <w:rPr>
          <w:rFonts w:ascii="Arial" w:hAnsi="Arial"/>
          <w:lang w:val="en-GB"/>
        </w:rPr>
        <w:t>GPP</w:t>
      </w:r>
      <w:r w:rsidR="00161CA0" w:rsidRPr="00364D88">
        <w:rPr>
          <w:rFonts w:ascii="Arial" w:hAnsi="Arial"/>
          <w:lang w:val="en-GB"/>
        </w:rPr>
        <w:t>)</w:t>
      </w:r>
      <w:r w:rsidR="006B425D" w:rsidRPr="00364D88">
        <w:rPr>
          <w:rFonts w:ascii="Arial" w:hAnsi="Arial"/>
          <w:lang w:val="en-GB"/>
        </w:rPr>
        <w:t xml:space="preserve"> was taken into account. Similarly</w:t>
      </w:r>
      <w:r w:rsidR="00161CA0" w:rsidRPr="00364D88">
        <w:rPr>
          <w:rFonts w:ascii="Arial" w:hAnsi="Arial"/>
          <w:lang w:val="en-GB"/>
        </w:rPr>
        <w:t xml:space="preserve"> happened with</w:t>
      </w:r>
      <w:r w:rsidR="006B425D" w:rsidRPr="00364D88">
        <w:rPr>
          <w:rFonts w:ascii="Arial" w:hAnsi="Arial"/>
          <w:lang w:val="en-GB"/>
        </w:rPr>
        <w:t xml:space="preserve"> interannual variability in C fluxes</w:t>
      </w:r>
      <w:r w:rsidR="00161CA0" w:rsidRPr="00364D88">
        <w:rPr>
          <w:rFonts w:ascii="Arial" w:hAnsi="Arial"/>
          <w:lang w:val="en-GB"/>
        </w:rPr>
        <w:t>, that w</w:t>
      </w:r>
      <w:r w:rsidR="00BC1836" w:rsidRPr="00364D88">
        <w:rPr>
          <w:rFonts w:ascii="Arial" w:hAnsi="Arial"/>
          <w:lang w:val="en-GB"/>
        </w:rPr>
        <w:t>as</w:t>
      </w:r>
      <w:r w:rsidR="00161CA0" w:rsidRPr="00364D88">
        <w:rPr>
          <w:rFonts w:ascii="Arial" w:hAnsi="Arial"/>
          <w:lang w:val="en-GB"/>
        </w:rPr>
        <w:t xml:space="preserve"> </w:t>
      </w:r>
      <w:r w:rsidR="006B425D" w:rsidRPr="00364D88">
        <w:rPr>
          <w:rFonts w:ascii="Arial" w:hAnsi="Arial"/>
          <w:lang w:val="en-GB"/>
        </w:rPr>
        <w:t>strongly negatively related to the annual C fluxes (</w:t>
      </w:r>
      <w:r w:rsidR="00C823F7">
        <w:rPr>
          <w:rFonts w:ascii="Arial" w:hAnsi="Arial"/>
          <w:b/>
          <w:lang w:val="en-GB"/>
        </w:rPr>
        <w:t>Fig.</w:t>
      </w:r>
      <w:r w:rsidR="006B425D" w:rsidRPr="00364D88">
        <w:rPr>
          <w:rFonts w:ascii="Arial" w:hAnsi="Arial"/>
          <w:b/>
          <w:lang w:val="en-GB"/>
        </w:rPr>
        <w:t xml:space="preserve"> 2</w:t>
      </w:r>
      <w:r w:rsidR="006B425D" w:rsidRPr="00364D88">
        <w:rPr>
          <w:rFonts w:ascii="Arial" w:hAnsi="Arial"/>
          <w:lang w:val="en-GB"/>
        </w:rPr>
        <w:t xml:space="preserve">). </w:t>
      </w:r>
      <w:r w:rsidR="009863B3" w:rsidRPr="00364D88">
        <w:rPr>
          <w:rFonts w:ascii="Arial" w:hAnsi="Arial"/>
          <w:lang w:val="en-GB"/>
        </w:rPr>
        <w:t>Across all ecosystem types, w</w:t>
      </w:r>
      <w:r w:rsidR="00D673EB" w:rsidRPr="00364D88">
        <w:rPr>
          <w:rFonts w:ascii="Arial" w:hAnsi="Arial"/>
          <w:lang w:val="en-GB"/>
        </w:rPr>
        <w:t>armer sites presented higher Re</w:t>
      </w:r>
      <w:r w:rsidR="00161CA0" w:rsidRPr="00364D88">
        <w:rPr>
          <w:rFonts w:ascii="Arial" w:hAnsi="Arial"/>
          <w:vertAlign w:val="subscript"/>
          <w:lang w:val="en-GB"/>
        </w:rPr>
        <w:t>IAV</w:t>
      </w:r>
      <w:r w:rsidR="00D673EB" w:rsidRPr="00364D88">
        <w:rPr>
          <w:rFonts w:ascii="Arial" w:hAnsi="Arial"/>
          <w:lang w:val="en-GB"/>
        </w:rPr>
        <w:t xml:space="preserve"> and NEP</w:t>
      </w:r>
      <w:r w:rsidR="00D673EB" w:rsidRPr="00364D88">
        <w:rPr>
          <w:rFonts w:ascii="Arial" w:hAnsi="Arial"/>
          <w:vertAlign w:val="subscript"/>
          <w:lang w:val="en-GB"/>
        </w:rPr>
        <w:t>IAV</w:t>
      </w:r>
      <w:r w:rsidR="00D673EB" w:rsidRPr="00364D88">
        <w:rPr>
          <w:rFonts w:ascii="Arial" w:hAnsi="Arial"/>
          <w:lang w:val="en-GB"/>
        </w:rPr>
        <w:t xml:space="preserve">, </w:t>
      </w:r>
      <w:r w:rsidR="009863B3" w:rsidRPr="00364D88">
        <w:rPr>
          <w:rFonts w:ascii="Arial" w:hAnsi="Arial"/>
          <w:lang w:val="en-GB"/>
        </w:rPr>
        <w:t>while across forests MAP was positively related to higher Re</w:t>
      </w:r>
      <w:r w:rsidR="009863B3" w:rsidRPr="00364D88">
        <w:rPr>
          <w:rFonts w:ascii="Arial" w:hAnsi="Arial"/>
          <w:vertAlign w:val="subscript"/>
          <w:lang w:val="en-GB"/>
        </w:rPr>
        <w:t>IAV</w:t>
      </w:r>
      <w:r w:rsidR="009863B3" w:rsidRPr="00364D88">
        <w:rPr>
          <w:rFonts w:ascii="Arial" w:hAnsi="Arial"/>
          <w:lang w:val="en-GB"/>
        </w:rPr>
        <w:t xml:space="preserve"> and NEP</w:t>
      </w:r>
      <w:r w:rsidR="009863B3" w:rsidRPr="00364D88">
        <w:rPr>
          <w:rFonts w:ascii="Arial" w:hAnsi="Arial"/>
          <w:vertAlign w:val="subscript"/>
          <w:lang w:val="en-GB"/>
        </w:rPr>
        <w:t xml:space="preserve">IAV </w:t>
      </w:r>
      <w:r w:rsidR="009863B3" w:rsidRPr="00364D88">
        <w:rPr>
          <w:rFonts w:ascii="Arial" w:hAnsi="Arial"/>
          <w:lang w:val="en-GB"/>
        </w:rPr>
        <w:t>(</w:t>
      </w:r>
      <w:r w:rsidR="00C823F7">
        <w:rPr>
          <w:rFonts w:ascii="Arial" w:hAnsi="Arial"/>
          <w:b/>
          <w:lang w:val="en-GB"/>
        </w:rPr>
        <w:t>Fig.</w:t>
      </w:r>
      <w:r w:rsidR="009863B3" w:rsidRPr="00364D88">
        <w:rPr>
          <w:rFonts w:ascii="Arial" w:hAnsi="Arial"/>
          <w:b/>
          <w:lang w:val="en-GB"/>
        </w:rPr>
        <w:t xml:space="preserve"> S2</w:t>
      </w:r>
      <w:r w:rsidR="009863B3" w:rsidRPr="00364D88">
        <w:rPr>
          <w:rFonts w:ascii="Arial" w:hAnsi="Arial"/>
          <w:lang w:val="en-GB"/>
        </w:rPr>
        <w:t xml:space="preserve">). Instead, </w:t>
      </w:r>
      <w:r w:rsidR="00D673EB" w:rsidRPr="00364D88">
        <w:rPr>
          <w:rFonts w:ascii="Arial" w:hAnsi="Arial"/>
          <w:lang w:val="en-GB"/>
        </w:rPr>
        <w:t>MAT</w:t>
      </w:r>
      <w:r w:rsidR="00D673EB" w:rsidRPr="00364D88">
        <w:rPr>
          <w:rFonts w:ascii="Arial" w:hAnsi="Arial"/>
          <w:vertAlign w:val="subscript"/>
          <w:lang w:val="en-GB"/>
        </w:rPr>
        <w:t>IAV</w:t>
      </w:r>
      <w:r w:rsidR="00D673EB" w:rsidRPr="00364D88">
        <w:rPr>
          <w:rFonts w:ascii="Arial" w:hAnsi="Arial"/>
          <w:lang w:val="en-GB"/>
        </w:rPr>
        <w:t xml:space="preserve"> often presented a negative relationship with variability in C fluxes, especially in savannas and grasslands</w:t>
      </w:r>
      <w:r w:rsidR="009863B3" w:rsidRPr="00364D88">
        <w:rPr>
          <w:rFonts w:ascii="Arial" w:hAnsi="Arial"/>
          <w:b/>
          <w:lang w:val="en-GB"/>
        </w:rPr>
        <w:t xml:space="preserve"> </w:t>
      </w:r>
      <w:r w:rsidR="009863B3" w:rsidRPr="00364D88">
        <w:rPr>
          <w:rFonts w:ascii="Arial" w:hAnsi="Arial"/>
          <w:lang w:val="en-GB"/>
        </w:rPr>
        <w:t>(</w:t>
      </w:r>
      <w:r w:rsidR="00C823F7">
        <w:rPr>
          <w:rFonts w:ascii="Arial" w:hAnsi="Arial"/>
          <w:b/>
          <w:lang w:val="en-GB"/>
        </w:rPr>
        <w:t>Fig.</w:t>
      </w:r>
      <w:r w:rsidR="006B425D" w:rsidRPr="00364D88">
        <w:rPr>
          <w:rFonts w:ascii="Arial" w:hAnsi="Arial"/>
          <w:b/>
          <w:lang w:val="en-GB"/>
        </w:rPr>
        <w:t xml:space="preserve"> S3</w:t>
      </w:r>
      <w:r w:rsidR="00D673EB" w:rsidRPr="00364D88">
        <w:rPr>
          <w:rFonts w:ascii="Arial" w:hAnsi="Arial"/>
          <w:lang w:val="en-GB"/>
        </w:rPr>
        <w:t>).</w:t>
      </w:r>
    </w:p>
    <w:p w14:paraId="362050E4" w14:textId="4E559003" w:rsidR="00381704" w:rsidRPr="00364D88" w:rsidRDefault="00381704" w:rsidP="0089509A">
      <w:pPr>
        <w:spacing w:line="360" w:lineRule="auto"/>
        <w:jc w:val="both"/>
        <w:outlineLvl w:val="0"/>
        <w:rPr>
          <w:rFonts w:ascii="Arial" w:hAnsi="Arial"/>
          <w:lang w:val="en-GB"/>
        </w:rPr>
      </w:pPr>
      <w:r w:rsidRPr="00364D88">
        <w:rPr>
          <w:rFonts w:ascii="Arial" w:hAnsi="Arial"/>
          <w:lang w:val="en-GB"/>
        </w:rPr>
        <w:t>Community-weighted foliar N and P explained a relatively large proportion of the spatial variability in GPP and NEP annual sums and their interannual variability.</w:t>
      </w:r>
      <w:r w:rsidR="0089509A" w:rsidRPr="00364D88">
        <w:rPr>
          <w:rFonts w:ascii="Arial" w:hAnsi="Arial"/>
          <w:lang w:val="en-GB"/>
        </w:rPr>
        <w:t xml:space="preserve"> We found a statistically significant interaction between community-weighted foliar N and P concentrations explaining variability in GPP, Re and NEP (</w:t>
      </w:r>
      <w:r w:rsidR="00C823F7">
        <w:rPr>
          <w:rFonts w:ascii="Arial" w:hAnsi="Arial"/>
          <w:b/>
          <w:lang w:val="en-GB"/>
        </w:rPr>
        <w:t>Fig.</w:t>
      </w:r>
      <w:r w:rsidR="0089509A" w:rsidRPr="00364D88">
        <w:rPr>
          <w:rFonts w:ascii="Arial" w:hAnsi="Arial"/>
          <w:b/>
          <w:lang w:val="en-GB"/>
        </w:rPr>
        <w:t xml:space="preserve"> 3</w:t>
      </w:r>
      <w:r w:rsidR="0089509A" w:rsidRPr="00364D88">
        <w:rPr>
          <w:rFonts w:ascii="Arial" w:hAnsi="Arial"/>
          <w:lang w:val="en-GB"/>
        </w:rPr>
        <w:t>). Our results showed that increasing foliar N translated into increases in GPP only in sites with higher concentrations of foliar P. On the other hand, increasing foliar P had a positive effect on GPP in sites with high foliar N concentration, while the opposite relationship was found across sites with low foliar N. Similarly, Re only increased with increasing foliar N and P when their counterpart nutrient was also high. As a result of these interactions between nutrients, GPP and Re, we found a negative interaction between foliar N and P explaining variability in NEP. Our analyses indicate that increasing foliar N and P is only slightly related to increased NEP in sites with low foliar N and P concentrations. These interactions, however, were either lost or had a very low importance in the average model when forest and non-forest ecosystems were analysed separately (</w:t>
      </w:r>
      <w:r w:rsidR="0089509A" w:rsidRPr="00364D88">
        <w:rPr>
          <w:rFonts w:ascii="Arial" w:hAnsi="Arial"/>
          <w:b/>
          <w:lang w:val="en-GB"/>
        </w:rPr>
        <w:t>Fig</w:t>
      </w:r>
      <w:r w:rsidR="00C823F7">
        <w:rPr>
          <w:rFonts w:ascii="Arial" w:hAnsi="Arial"/>
          <w:b/>
          <w:lang w:val="en-GB"/>
        </w:rPr>
        <w:t>.</w:t>
      </w:r>
      <w:r w:rsidR="0089509A" w:rsidRPr="00364D88">
        <w:rPr>
          <w:rFonts w:ascii="Arial" w:hAnsi="Arial"/>
          <w:b/>
          <w:lang w:val="en-GB"/>
        </w:rPr>
        <w:t xml:space="preserve"> 1, Fig</w:t>
      </w:r>
      <w:r w:rsidR="00C823F7">
        <w:rPr>
          <w:rFonts w:ascii="Arial" w:hAnsi="Arial"/>
          <w:b/>
          <w:lang w:val="en-GB"/>
        </w:rPr>
        <w:t>.</w:t>
      </w:r>
      <w:r w:rsidR="0089509A" w:rsidRPr="00364D88">
        <w:rPr>
          <w:rFonts w:ascii="Arial" w:hAnsi="Arial"/>
          <w:b/>
          <w:lang w:val="en-GB"/>
        </w:rPr>
        <w:t xml:space="preserve"> S2, Fig</w:t>
      </w:r>
      <w:r w:rsidR="00C823F7">
        <w:rPr>
          <w:rFonts w:ascii="Arial" w:hAnsi="Arial"/>
          <w:b/>
          <w:lang w:val="en-GB"/>
        </w:rPr>
        <w:t>.</w:t>
      </w:r>
      <w:r w:rsidR="0089509A" w:rsidRPr="00364D88">
        <w:rPr>
          <w:rFonts w:ascii="Arial" w:hAnsi="Arial"/>
          <w:b/>
          <w:lang w:val="en-GB"/>
        </w:rPr>
        <w:t xml:space="preserve"> S3</w:t>
      </w:r>
      <w:r w:rsidR="0089509A" w:rsidRPr="00364D88">
        <w:rPr>
          <w:rFonts w:ascii="Arial" w:hAnsi="Arial"/>
          <w:lang w:val="en-GB"/>
        </w:rPr>
        <w:t>). We also found that variability in C fluxes was positively related to the interaction between foliar N and P, pointing towards higher variability when both nutrients were high. Across non-forest ecosystems those findings remained only for foliar P.</w:t>
      </w:r>
    </w:p>
    <w:p w14:paraId="0FE0D003" w14:textId="32269519" w:rsidR="002B6B5E" w:rsidRPr="00364D88" w:rsidRDefault="0089509A" w:rsidP="002F52F0">
      <w:pPr>
        <w:spacing w:line="360" w:lineRule="auto"/>
        <w:jc w:val="both"/>
        <w:outlineLvl w:val="0"/>
        <w:rPr>
          <w:rFonts w:ascii="Arial" w:hAnsi="Arial"/>
          <w:lang w:val="en-GB"/>
        </w:rPr>
      </w:pPr>
      <w:r w:rsidRPr="00364D88">
        <w:rPr>
          <w:rFonts w:ascii="Arial" w:hAnsi="Arial"/>
          <w:lang w:val="en-GB"/>
        </w:rPr>
        <w:t>Instead, t</w:t>
      </w:r>
      <w:r w:rsidR="000F3DB0" w:rsidRPr="00364D88">
        <w:rPr>
          <w:rFonts w:ascii="Arial" w:hAnsi="Arial"/>
          <w:lang w:val="en-GB"/>
        </w:rPr>
        <w:t>he role of d</w:t>
      </w:r>
      <w:r w:rsidR="00193A8E" w:rsidRPr="00364D88">
        <w:rPr>
          <w:rFonts w:ascii="Arial" w:hAnsi="Arial"/>
          <w:lang w:val="en-GB"/>
        </w:rPr>
        <w:t>iversity</w:t>
      </w:r>
      <w:r w:rsidR="009A20D1" w:rsidRPr="00364D88">
        <w:rPr>
          <w:rFonts w:ascii="Arial" w:hAnsi="Arial"/>
          <w:lang w:val="en-GB"/>
        </w:rPr>
        <w:t xml:space="preserve"> </w:t>
      </w:r>
      <w:r w:rsidR="00B731B7" w:rsidRPr="00364D88">
        <w:rPr>
          <w:rFonts w:ascii="Arial" w:hAnsi="Arial"/>
          <w:lang w:val="en-GB"/>
        </w:rPr>
        <w:t xml:space="preserve">was </w:t>
      </w:r>
      <w:r w:rsidRPr="00364D88">
        <w:rPr>
          <w:rFonts w:ascii="Arial" w:hAnsi="Arial"/>
          <w:lang w:val="en-GB"/>
        </w:rPr>
        <w:t>very small</w:t>
      </w:r>
      <w:r w:rsidR="000F3DB0" w:rsidRPr="00364D88">
        <w:rPr>
          <w:rFonts w:ascii="Arial" w:hAnsi="Arial"/>
          <w:lang w:val="en-GB"/>
        </w:rPr>
        <w:t xml:space="preserve"> on annual C fluxes and their interannual variability</w:t>
      </w:r>
      <w:r w:rsidRPr="00364D88">
        <w:rPr>
          <w:rFonts w:ascii="Arial" w:hAnsi="Arial"/>
          <w:lang w:val="en-GB"/>
        </w:rPr>
        <w:t xml:space="preserve"> when comparing all ecosystems (</w:t>
      </w:r>
      <w:r w:rsidRPr="00364D88">
        <w:rPr>
          <w:rFonts w:ascii="Arial" w:hAnsi="Arial"/>
          <w:b/>
          <w:lang w:val="en-GB"/>
        </w:rPr>
        <w:t>Fig</w:t>
      </w:r>
      <w:r w:rsidR="00C823F7">
        <w:rPr>
          <w:rFonts w:ascii="Arial" w:hAnsi="Arial"/>
          <w:b/>
          <w:lang w:val="en-GB"/>
        </w:rPr>
        <w:t>.</w:t>
      </w:r>
      <w:r w:rsidRPr="00364D88">
        <w:rPr>
          <w:rFonts w:ascii="Arial" w:hAnsi="Arial"/>
          <w:b/>
          <w:lang w:val="en-GB"/>
        </w:rPr>
        <w:t xml:space="preserve"> 1</w:t>
      </w:r>
      <w:r w:rsidRPr="00364D88">
        <w:rPr>
          <w:rFonts w:ascii="Arial" w:hAnsi="Arial"/>
          <w:lang w:val="en-GB"/>
        </w:rPr>
        <w:t>)</w:t>
      </w:r>
      <w:r w:rsidR="00314F44" w:rsidRPr="00364D88">
        <w:rPr>
          <w:rFonts w:ascii="Arial" w:hAnsi="Arial"/>
          <w:lang w:val="en-GB"/>
        </w:rPr>
        <w:t>.</w:t>
      </w:r>
      <w:r w:rsidR="009A20D1" w:rsidRPr="00364D88">
        <w:rPr>
          <w:rFonts w:ascii="Arial" w:hAnsi="Arial"/>
          <w:lang w:val="en-GB"/>
        </w:rPr>
        <w:t xml:space="preserve"> </w:t>
      </w:r>
      <w:r w:rsidR="00381704" w:rsidRPr="00364D88">
        <w:rPr>
          <w:rFonts w:ascii="Arial" w:hAnsi="Arial"/>
          <w:lang w:val="en-GB"/>
        </w:rPr>
        <w:t>Across all ecosystem types and across forests, sites with higher species diversity tended to present higher GPP and Re but lower NEP and higher GPP</w:t>
      </w:r>
      <w:r w:rsidR="00381704" w:rsidRPr="00364D88">
        <w:rPr>
          <w:rFonts w:ascii="Arial" w:hAnsi="Arial"/>
          <w:vertAlign w:val="subscript"/>
          <w:lang w:val="en-GB"/>
        </w:rPr>
        <w:t>IAV</w:t>
      </w:r>
      <w:r w:rsidR="00381704" w:rsidRPr="00364D88">
        <w:rPr>
          <w:rFonts w:ascii="Arial" w:hAnsi="Arial"/>
          <w:lang w:val="en-GB"/>
        </w:rPr>
        <w:t>. Across forests, instead, diversity did not seem to affect C fluxes nor their variability</w:t>
      </w:r>
      <w:r w:rsidRPr="00364D88">
        <w:rPr>
          <w:rFonts w:ascii="Arial" w:hAnsi="Arial"/>
          <w:lang w:val="en-GB"/>
        </w:rPr>
        <w:t xml:space="preserve"> (</w:t>
      </w:r>
      <w:r w:rsidRPr="00364D88">
        <w:rPr>
          <w:rFonts w:ascii="Arial" w:hAnsi="Arial"/>
          <w:b/>
          <w:lang w:val="en-GB"/>
        </w:rPr>
        <w:t>Fig</w:t>
      </w:r>
      <w:r w:rsidR="00C823F7">
        <w:rPr>
          <w:rFonts w:ascii="Arial" w:hAnsi="Arial"/>
          <w:b/>
          <w:lang w:val="en-GB"/>
        </w:rPr>
        <w:t>.</w:t>
      </w:r>
      <w:r w:rsidRPr="00364D88">
        <w:rPr>
          <w:rFonts w:ascii="Arial" w:hAnsi="Arial"/>
          <w:b/>
          <w:lang w:val="en-GB"/>
        </w:rPr>
        <w:t xml:space="preserve"> S2</w:t>
      </w:r>
      <w:r w:rsidRPr="00364D88">
        <w:rPr>
          <w:rFonts w:ascii="Arial" w:hAnsi="Arial"/>
          <w:lang w:val="en-GB"/>
        </w:rPr>
        <w:t>)</w:t>
      </w:r>
      <w:r w:rsidR="00381704" w:rsidRPr="00364D88">
        <w:rPr>
          <w:rFonts w:ascii="Arial" w:hAnsi="Arial"/>
          <w:lang w:val="en-GB"/>
        </w:rPr>
        <w:t>. Phylogenetic diversity, however, was found to be negatively related to temporal variability in NEP across non-forest ecosystems</w:t>
      </w:r>
      <w:r w:rsidRPr="00364D88">
        <w:rPr>
          <w:rFonts w:ascii="Arial" w:hAnsi="Arial"/>
          <w:lang w:val="en-GB"/>
        </w:rPr>
        <w:t xml:space="preserve"> (</w:t>
      </w:r>
      <w:r w:rsidRPr="00364D88">
        <w:rPr>
          <w:rFonts w:ascii="Arial" w:hAnsi="Arial"/>
          <w:b/>
          <w:lang w:val="en-GB"/>
        </w:rPr>
        <w:t>Fig</w:t>
      </w:r>
      <w:r w:rsidR="00C823F7">
        <w:rPr>
          <w:rFonts w:ascii="Arial" w:hAnsi="Arial"/>
          <w:b/>
          <w:lang w:val="en-GB"/>
        </w:rPr>
        <w:t>.</w:t>
      </w:r>
      <w:r w:rsidRPr="00364D88">
        <w:rPr>
          <w:rFonts w:ascii="Arial" w:hAnsi="Arial"/>
          <w:b/>
          <w:lang w:val="en-GB"/>
        </w:rPr>
        <w:t xml:space="preserve"> S3</w:t>
      </w:r>
      <w:r w:rsidRPr="00364D88">
        <w:rPr>
          <w:rFonts w:ascii="Arial" w:hAnsi="Arial"/>
          <w:lang w:val="en-GB"/>
        </w:rPr>
        <w:t>)</w:t>
      </w:r>
      <w:r w:rsidR="00381704" w:rsidRPr="00364D88">
        <w:rPr>
          <w:rFonts w:ascii="Arial" w:hAnsi="Arial"/>
          <w:lang w:val="en-GB"/>
        </w:rPr>
        <w:t>.</w:t>
      </w:r>
      <w:r w:rsidRPr="00364D88">
        <w:rPr>
          <w:rFonts w:ascii="Arial" w:hAnsi="Arial"/>
          <w:lang w:val="en-GB"/>
        </w:rPr>
        <w:t xml:space="preserve"> We additionally found that </w:t>
      </w:r>
      <w:r w:rsidR="000F3DB0" w:rsidRPr="00364D88">
        <w:rPr>
          <w:rFonts w:ascii="Arial" w:hAnsi="Arial"/>
          <w:lang w:val="en-GB"/>
        </w:rPr>
        <w:t>s</w:t>
      </w:r>
      <w:r w:rsidR="00314F44" w:rsidRPr="00364D88">
        <w:rPr>
          <w:rFonts w:ascii="Arial" w:hAnsi="Arial"/>
          <w:lang w:val="en-GB"/>
        </w:rPr>
        <w:t xml:space="preserve">tand age </w:t>
      </w:r>
      <w:r w:rsidR="001F4332" w:rsidRPr="00364D88">
        <w:rPr>
          <w:rFonts w:ascii="Arial" w:hAnsi="Arial"/>
          <w:lang w:val="en-GB"/>
        </w:rPr>
        <w:t>was</w:t>
      </w:r>
      <w:r w:rsidR="000F3DB0" w:rsidRPr="00364D88">
        <w:rPr>
          <w:rFonts w:ascii="Arial" w:hAnsi="Arial"/>
          <w:lang w:val="en-GB"/>
        </w:rPr>
        <w:t xml:space="preserve"> an</w:t>
      </w:r>
      <w:r w:rsidR="00314F44" w:rsidRPr="00364D88">
        <w:rPr>
          <w:rFonts w:ascii="Arial" w:hAnsi="Arial"/>
          <w:lang w:val="en-GB"/>
        </w:rPr>
        <w:t xml:space="preserve"> important predictor </w:t>
      </w:r>
      <w:r w:rsidR="001F4332" w:rsidRPr="00364D88">
        <w:rPr>
          <w:rFonts w:ascii="Arial" w:hAnsi="Arial"/>
          <w:lang w:val="en-GB"/>
        </w:rPr>
        <w:t>of GPP</w:t>
      </w:r>
      <w:r w:rsidRPr="00364D88">
        <w:rPr>
          <w:rFonts w:ascii="Arial" w:hAnsi="Arial"/>
          <w:lang w:val="en-GB"/>
        </w:rPr>
        <w:t xml:space="preserve"> </w:t>
      </w:r>
      <w:r w:rsidRPr="00364D88">
        <w:rPr>
          <w:rFonts w:ascii="Arial" w:hAnsi="Arial"/>
          <w:lang w:val="en-GB"/>
        </w:rPr>
        <w:lastRenderedPageBreak/>
        <w:t>across forests</w:t>
      </w:r>
      <w:r w:rsidR="001F4332" w:rsidRPr="00364D88">
        <w:rPr>
          <w:rFonts w:ascii="Arial" w:hAnsi="Arial"/>
          <w:lang w:val="en-GB"/>
        </w:rPr>
        <w:t>. Older</w:t>
      </w:r>
      <w:r w:rsidR="00CF34CC" w:rsidRPr="00364D88">
        <w:rPr>
          <w:rFonts w:ascii="Arial" w:hAnsi="Arial"/>
          <w:lang w:val="en-GB"/>
        </w:rPr>
        <w:t xml:space="preserve"> </w:t>
      </w:r>
      <w:r w:rsidRPr="00364D88">
        <w:rPr>
          <w:rFonts w:ascii="Arial" w:hAnsi="Arial"/>
          <w:lang w:val="en-GB"/>
        </w:rPr>
        <w:t>stands</w:t>
      </w:r>
      <w:r w:rsidR="00CF34CC" w:rsidRPr="00364D88">
        <w:rPr>
          <w:rFonts w:ascii="Arial" w:hAnsi="Arial"/>
          <w:lang w:val="en-GB"/>
        </w:rPr>
        <w:t xml:space="preserve"> are more productive</w:t>
      </w:r>
      <w:r w:rsidR="00314F44" w:rsidRPr="00364D88">
        <w:rPr>
          <w:rFonts w:ascii="Arial" w:hAnsi="Arial"/>
          <w:lang w:val="en-GB"/>
        </w:rPr>
        <w:t xml:space="preserve"> </w:t>
      </w:r>
      <w:r w:rsidR="00CF34CC" w:rsidRPr="00364D88">
        <w:rPr>
          <w:rFonts w:ascii="Arial" w:hAnsi="Arial"/>
          <w:lang w:val="en-GB"/>
        </w:rPr>
        <w:t>(</w:t>
      </w:r>
      <w:r w:rsidR="00314F44" w:rsidRPr="00364D88">
        <w:rPr>
          <w:rFonts w:ascii="Arial" w:hAnsi="Arial"/>
          <w:lang w:val="en-GB"/>
        </w:rPr>
        <w:t>GPP</w:t>
      </w:r>
      <w:r w:rsidR="00CF34CC" w:rsidRPr="00364D88">
        <w:rPr>
          <w:rFonts w:ascii="Arial" w:hAnsi="Arial"/>
          <w:lang w:val="en-GB"/>
        </w:rPr>
        <w:t>)</w:t>
      </w:r>
      <w:r w:rsidR="007128A4" w:rsidRPr="00364D88">
        <w:rPr>
          <w:rFonts w:ascii="Arial" w:hAnsi="Arial"/>
          <w:lang w:val="en-GB"/>
        </w:rPr>
        <w:t xml:space="preserve"> and </w:t>
      </w:r>
      <w:r w:rsidR="00ED0077" w:rsidRPr="00364D88">
        <w:rPr>
          <w:rFonts w:ascii="Arial" w:hAnsi="Arial"/>
          <w:lang w:val="en-GB"/>
        </w:rPr>
        <w:t xml:space="preserve">exhibit more temporarily stable net </w:t>
      </w:r>
      <w:r w:rsidR="00B27907" w:rsidRPr="00364D88">
        <w:rPr>
          <w:rFonts w:ascii="Arial" w:hAnsi="Arial"/>
          <w:lang w:val="en-GB"/>
        </w:rPr>
        <w:t>C</w:t>
      </w:r>
      <w:r w:rsidR="00ED0077" w:rsidRPr="00364D88">
        <w:rPr>
          <w:rFonts w:ascii="Arial" w:hAnsi="Arial"/>
          <w:lang w:val="en-GB"/>
        </w:rPr>
        <w:t xml:space="preserve"> uptake</w:t>
      </w:r>
      <w:r w:rsidR="001F4332" w:rsidRPr="00364D88">
        <w:rPr>
          <w:rFonts w:ascii="Arial" w:hAnsi="Arial"/>
          <w:lang w:val="en-GB"/>
        </w:rPr>
        <w:t xml:space="preserve"> </w:t>
      </w:r>
      <w:r w:rsidR="00CF34CC" w:rsidRPr="00364D88">
        <w:rPr>
          <w:rFonts w:ascii="Arial" w:hAnsi="Arial"/>
          <w:lang w:val="en-GB"/>
        </w:rPr>
        <w:t>(</w:t>
      </w:r>
      <w:r w:rsidR="001F4332" w:rsidRPr="00364D88">
        <w:rPr>
          <w:rFonts w:ascii="Arial" w:hAnsi="Arial"/>
          <w:lang w:val="en-GB"/>
        </w:rPr>
        <w:t xml:space="preserve">lower </w:t>
      </w:r>
      <w:r w:rsidR="007128A4" w:rsidRPr="00364D88">
        <w:rPr>
          <w:rFonts w:ascii="Arial" w:hAnsi="Arial"/>
          <w:lang w:val="en-GB"/>
        </w:rPr>
        <w:t>NEP</w:t>
      </w:r>
      <w:r w:rsidR="00314F44" w:rsidRPr="00364D88">
        <w:rPr>
          <w:rFonts w:ascii="Arial" w:hAnsi="Arial"/>
          <w:vertAlign w:val="subscript"/>
          <w:lang w:val="en-GB"/>
        </w:rPr>
        <w:t>IAV</w:t>
      </w:r>
      <w:r w:rsidR="00CF34CC" w:rsidRPr="00364D88">
        <w:rPr>
          <w:rFonts w:ascii="Arial" w:hAnsi="Arial"/>
          <w:lang w:val="en-GB"/>
        </w:rPr>
        <w:t xml:space="preserve">) </w:t>
      </w:r>
      <w:r w:rsidR="000F3DB0" w:rsidRPr="00364D88">
        <w:rPr>
          <w:rFonts w:ascii="Arial" w:hAnsi="Arial"/>
          <w:lang w:val="en-GB"/>
        </w:rPr>
        <w:t>(</w:t>
      </w:r>
      <w:r w:rsidR="000F3DB0" w:rsidRPr="00364D88">
        <w:rPr>
          <w:rFonts w:ascii="Arial" w:hAnsi="Arial"/>
          <w:b/>
          <w:lang w:val="en-GB"/>
        </w:rPr>
        <w:t>Fig</w:t>
      </w:r>
      <w:r w:rsidR="00C823F7">
        <w:rPr>
          <w:rFonts w:ascii="Arial" w:hAnsi="Arial"/>
          <w:b/>
          <w:lang w:val="en-GB"/>
        </w:rPr>
        <w:t>.</w:t>
      </w:r>
      <w:r w:rsidR="000F3DB0" w:rsidRPr="00364D88">
        <w:rPr>
          <w:rFonts w:ascii="Arial" w:hAnsi="Arial"/>
          <w:b/>
          <w:lang w:val="en-GB"/>
        </w:rPr>
        <w:t xml:space="preserve"> S</w:t>
      </w:r>
      <w:r w:rsidR="007128A4" w:rsidRPr="00364D88">
        <w:rPr>
          <w:rFonts w:ascii="Arial" w:hAnsi="Arial"/>
          <w:b/>
          <w:lang w:val="en-GB"/>
        </w:rPr>
        <w:t>2</w:t>
      </w:r>
      <w:r w:rsidR="00FF7E7C" w:rsidRPr="00364D88">
        <w:rPr>
          <w:rFonts w:ascii="Arial" w:hAnsi="Arial"/>
          <w:b/>
          <w:lang w:val="en-GB"/>
        </w:rPr>
        <w:t xml:space="preserve">, </w:t>
      </w:r>
      <w:r w:rsidR="006B425D" w:rsidRPr="00364D88">
        <w:rPr>
          <w:rFonts w:ascii="Arial" w:hAnsi="Arial"/>
          <w:b/>
          <w:lang w:val="en-GB"/>
        </w:rPr>
        <w:t>Fig</w:t>
      </w:r>
      <w:r w:rsidR="00C823F7">
        <w:rPr>
          <w:rFonts w:ascii="Arial" w:hAnsi="Arial"/>
          <w:b/>
          <w:lang w:val="en-GB"/>
        </w:rPr>
        <w:t>.</w:t>
      </w:r>
      <w:r w:rsidR="006B425D" w:rsidRPr="00364D88">
        <w:rPr>
          <w:rFonts w:ascii="Arial" w:hAnsi="Arial"/>
          <w:b/>
          <w:lang w:val="en-GB"/>
        </w:rPr>
        <w:t xml:space="preserve"> S4</w:t>
      </w:r>
      <w:r w:rsidR="000F3DB0" w:rsidRPr="00364D88">
        <w:rPr>
          <w:rFonts w:ascii="Arial" w:hAnsi="Arial"/>
          <w:lang w:val="en-GB"/>
        </w:rPr>
        <w:t>)</w:t>
      </w:r>
      <w:r w:rsidR="009A20D1" w:rsidRPr="00364D88">
        <w:rPr>
          <w:rFonts w:ascii="Arial" w:hAnsi="Arial"/>
          <w:lang w:val="en-GB"/>
        </w:rPr>
        <w:t xml:space="preserve">. </w:t>
      </w:r>
    </w:p>
    <w:p w14:paraId="203E3E11" w14:textId="208F7B22" w:rsidR="00FF7E7C" w:rsidRPr="00364D88" w:rsidRDefault="004B78F6" w:rsidP="00FF7E7C">
      <w:pPr>
        <w:spacing w:line="360" w:lineRule="auto"/>
        <w:jc w:val="both"/>
        <w:outlineLvl w:val="0"/>
        <w:rPr>
          <w:rFonts w:ascii="Arial" w:hAnsi="Arial"/>
          <w:i/>
          <w:lang w:val="en-GB"/>
        </w:rPr>
      </w:pPr>
      <w:r w:rsidRPr="00364D88">
        <w:rPr>
          <w:rFonts w:ascii="Arial" w:hAnsi="Arial"/>
          <w:i/>
          <w:lang w:val="en-GB"/>
        </w:rPr>
        <w:t>Controls of carbon-use efficiency at the ecosystem level</w:t>
      </w:r>
    </w:p>
    <w:p w14:paraId="3B7389E3" w14:textId="6710792D" w:rsidR="004B78F6" w:rsidRPr="00364D88" w:rsidRDefault="009A08B2" w:rsidP="00FF7E7C">
      <w:pPr>
        <w:spacing w:line="360" w:lineRule="auto"/>
        <w:jc w:val="both"/>
        <w:outlineLvl w:val="0"/>
        <w:rPr>
          <w:rFonts w:ascii="Arial" w:hAnsi="Arial"/>
          <w:lang w:val="en-GB"/>
        </w:rPr>
      </w:pPr>
      <w:r w:rsidRPr="00364D88">
        <w:rPr>
          <w:rFonts w:ascii="Arial" w:hAnsi="Arial"/>
          <w:lang w:val="en-GB"/>
        </w:rPr>
        <w:t>Across sites, CUEe</w:t>
      </w:r>
      <w:r w:rsidR="00E379A2" w:rsidRPr="00364D88">
        <w:rPr>
          <w:rFonts w:ascii="Arial" w:hAnsi="Arial"/>
          <w:lang w:val="en-GB"/>
        </w:rPr>
        <w:t>, defined as the NEP:GPP ratio,</w:t>
      </w:r>
      <w:r w:rsidRPr="00364D88">
        <w:rPr>
          <w:rFonts w:ascii="Arial" w:hAnsi="Arial"/>
          <w:lang w:val="en-GB"/>
        </w:rPr>
        <w:t xml:space="preserve"> was mainly explained by climate and the type of ecosystem (</w:t>
      </w:r>
      <w:r w:rsidRPr="00364D88">
        <w:rPr>
          <w:rFonts w:ascii="Arial" w:hAnsi="Arial"/>
          <w:b/>
          <w:lang w:val="en-GB"/>
        </w:rPr>
        <w:t>Fig</w:t>
      </w:r>
      <w:r w:rsidR="00C823F7">
        <w:rPr>
          <w:rFonts w:ascii="Arial" w:hAnsi="Arial"/>
          <w:b/>
          <w:lang w:val="en-GB"/>
        </w:rPr>
        <w:t>.</w:t>
      </w:r>
      <w:r w:rsidRPr="00364D88">
        <w:rPr>
          <w:rFonts w:ascii="Arial" w:hAnsi="Arial"/>
          <w:b/>
          <w:lang w:val="en-GB"/>
        </w:rPr>
        <w:t xml:space="preserve"> 4</w:t>
      </w:r>
      <w:r w:rsidRPr="00364D88">
        <w:rPr>
          <w:rFonts w:ascii="Arial" w:hAnsi="Arial"/>
          <w:lang w:val="en-GB"/>
        </w:rPr>
        <w:t xml:space="preserve">). On average, CUEe was higher in forests than in grasslands, but </w:t>
      </w:r>
      <w:r w:rsidR="00E379A2" w:rsidRPr="00364D88">
        <w:rPr>
          <w:rFonts w:ascii="Arial" w:hAnsi="Arial"/>
          <w:lang w:val="en-GB"/>
        </w:rPr>
        <w:t xml:space="preserve">neither were </w:t>
      </w:r>
      <w:r w:rsidRPr="00364D88">
        <w:rPr>
          <w:rFonts w:ascii="Arial" w:hAnsi="Arial"/>
          <w:lang w:val="en-GB"/>
        </w:rPr>
        <w:t>statistica</w:t>
      </w:r>
      <w:r w:rsidR="00183888" w:rsidRPr="00364D88">
        <w:rPr>
          <w:rFonts w:ascii="Arial" w:hAnsi="Arial"/>
          <w:lang w:val="en-GB"/>
        </w:rPr>
        <w:t xml:space="preserve">lly </w:t>
      </w:r>
      <w:r w:rsidR="00E379A2" w:rsidRPr="00364D88">
        <w:rPr>
          <w:rFonts w:ascii="Arial" w:hAnsi="Arial"/>
          <w:lang w:val="en-GB"/>
        </w:rPr>
        <w:t xml:space="preserve">different </w:t>
      </w:r>
      <w:r w:rsidR="00183888" w:rsidRPr="00364D88">
        <w:rPr>
          <w:rFonts w:ascii="Arial" w:hAnsi="Arial"/>
          <w:lang w:val="en-GB"/>
        </w:rPr>
        <w:t>from shrublands</w:t>
      </w:r>
      <w:r w:rsidR="00E379A2" w:rsidRPr="00364D88">
        <w:rPr>
          <w:rFonts w:ascii="Arial" w:hAnsi="Arial"/>
          <w:lang w:val="en-GB"/>
        </w:rPr>
        <w:t xml:space="preserve"> and savannas</w:t>
      </w:r>
      <w:r w:rsidRPr="00364D88">
        <w:rPr>
          <w:rFonts w:ascii="Arial" w:hAnsi="Arial"/>
          <w:lang w:val="en-GB"/>
        </w:rPr>
        <w:t xml:space="preserve">. </w:t>
      </w:r>
      <w:r w:rsidR="00AE588A" w:rsidRPr="00364D88">
        <w:rPr>
          <w:rFonts w:ascii="Arial" w:hAnsi="Arial"/>
          <w:lang w:val="en-GB"/>
        </w:rPr>
        <w:t xml:space="preserve">Higher CUEe was consistently found in sites with higher MAP </w:t>
      </w:r>
      <w:r w:rsidR="00C40C8E" w:rsidRPr="00364D88">
        <w:rPr>
          <w:rFonts w:ascii="Arial" w:hAnsi="Arial"/>
          <w:lang w:val="en-GB"/>
        </w:rPr>
        <w:t>but low MAT and viceversa, especially across forests. S</w:t>
      </w:r>
      <w:r w:rsidR="00AE588A" w:rsidRPr="00364D88">
        <w:rPr>
          <w:rFonts w:ascii="Arial" w:hAnsi="Arial"/>
          <w:lang w:val="en-GB"/>
        </w:rPr>
        <w:t xml:space="preserve">pecies diversity was negatively related to CUEe in non-forest ecosystems. Foliar N </w:t>
      </w:r>
      <w:r w:rsidR="00C40C8E" w:rsidRPr="00364D88">
        <w:rPr>
          <w:rFonts w:ascii="Arial" w:hAnsi="Arial"/>
          <w:lang w:val="en-GB"/>
        </w:rPr>
        <w:t>was mainly positively correlated to higher</w:t>
      </w:r>
      <w:r w:rsidR="00AE588A" w:rsidRPr="00364D88">
        <w:rPr>
          <w:rFonts w:ascii="Arial" w:hAnsi="Arial"/>
          <w:lang w:val="en-GB"/>
        </w:rPr>
        <w:t xml:space="preserve"> CUEe, </w:t>
      </w:r>
      <w:r w:rsidR="00C40C8E" w:rsidRPr="00364D88">
        <w:rPr>
          <w:rFonts w:ascii="Arial" w:hAnsi="Arial"/>
          <w:lang w:val="en-GB"/>
        </w:rPr>
        <w:t>but showed a strong negative correlation across non-forest ecosystems</w:t>
      </w:r>
      <w:r w:rsidR="00AE588A" w:rsidRPr="00364D88">
        <w:rPr>
          <w:rFonts w:ascii="Arial" w:hAnsi="Arial"/>
          <w:lang w:val="en-GB"/>
        </w:rPr>
        <w:t>.</w:t>
      </w:r>
    </w:p>
    <w:p w14:paraId="307C5BE5" w14:textId="537CC0F8" w:rsidR="006261E2" w:rsidRPr="00364D88" w:rsidRDefault="006261E2" w:rsidP="006261E2">
      <w:pPr>
        <w:spacing w:line="360" w:lineRule="auto"/>
        <w:jc w:val="both"/>
        <w:outlineLvl w:val="0"/>
        <w:rPr>
          <w:rFonts w:ascii="Arial" w:hAnsi="Arial"/>
          <w:b/>
          <w:lang w:val="en-GB"/>
        </w:rPr>
      </w:pPr>
      <w:r w:rsidRPr="00364D88">
        <w:rPr>
          <w:rFonts w:ascii="Arial" w:hAnsi="Arial"/>
          <w:b/>
          <w:lang w:val="en-GB"/>
        </w:rPr>
        <w:t>Discussion</w:t>
      </w:r>
    </w:p>
    <w:p w14:paraId="14CED1EE" w14:textId="53A8F48C" w:rsidR="00FF7F99" w:rsidRPr="00364D88" w:rsidRDefault="000B45A8" w:rsidP="00FF7F99">
      <w:pPr>
        <w:spacing w:line="360" w:lineRule="auto"/>
        <w:jc w:val="both"/>
        <w:outlineLvl w:val="0"/>
        <w:rPr>
          <w:rFonts w:ascii="Arial" w:hAnsi="Arial"/>
          <w:i/>
          <w:lang w:val="en-GB"/>
        </w:rPr>
      </w:pPr>
      <w:r w:rsidRPr="00364D88">
        <w:rPr>
          <w:rFonts w:ascii="Arial" w:hAnsi="Arial"/>
          <w:i/>
          <w:lang w:val="en-GB"/>
        </w:rPr>
        <w:t>Mechanisms behind the effect</w:t>
      </w:r>
      <w:r w:rsidR="009762B3" w:rsidRPr="00364D88">
        <w:rPr>
          <w:rFonts w:ascii="Arial" w:hAnsi="Arial"/>
          <w:i/>
          <w:lang w:val="en-GB"/>
        </w:rPr>
        <w:t>s</w:t>
      </w:r>
      <w:r w:rsidRPr="00364D88">
        <w:rPr>
          <w:rFonts w:ascii="Arial" w:hAnsi="Arial"/>
          <w:i/>
          <w:lang w:val="en-GB"/>
        </w:rPr>
        <w:t xml:space="preserve"> of </w:t>
      </w:r>
      <w:r w:rsidR="00D45FE0" w:rsidRPr="00364D88">
        <w:rPr>
          <w:rFonts w:ascii="Arial" w:hAnsi="Arial"/>
          <w:i/>
          <w:lang w:val="en-GB"/>
        </w:rPr>
        <w:t xml:space="preserve">foliar </w:t>
      </w:r>
      <w:r w:rsidR="003E1EE8" w:rsidRPr="00364D88">
        <w:rPr>
          <w:rFonts w:ascii="Arial" w:hAnsi="Arial"/>
          <w:i/>
          <w:lang w:val="en-GB"/>
        </w:rPr>
        <w:t>elemental com</w:t>
      </w:r>
      <w:r w:rsidR="009762B3" w:rsidRPr="00364D88">
        <w:rPr>
          <w:rFonts w:ascii="Arial" w:hAnsi="Arial"/>
          <w:i/>
          <w:lang w:val="en-GB"/>
        </w:rPr>
        <w:t xml:space="preserve">position </w:t>
      </w:r>
      <w:r w:rsidRPr="00364D88">
        <w:rPr>
          <w:rFonts w:ascii="Arial" w:hAnsi="Arial"/>
          <w:i/>
          <w:lang w:val="en-GB"/>
        </w:rPr>
        <w:t xml:space="preserve">on </w:t>
      </w:r>
      <w:r w:rsidR="009762B3" w:rsidRPr="00364D88">
        <w:rPr>
          <w:rFonts w:ascii="Arial" w:hAnsi="Arial"/>
          <w:i/>
          <w:lang w:val="en-GB"/>
        </w:rPr>
        <w:t xml:space="preserve">ecosystem </w:t>
      </w:r>
      <w:r w:rsidRPr="00364D88">
        <w:rPr>
          <w:rFonts w:ascii="Arial" w:hAnsi="Arial"/>
          <w:i/>
          <w:lang w:val="en-GB"/>
        </w:rPr>
        <w:t>C balance</w:t>
      </w:r>
    </w:p>
    <w:p w14:paraId="75A0C9A7" w14:textId="0204683F" w:rsidR="00EB2171" w:rsidRPr="00364D88" w:rsidRDefault="000A7CE0" w:rsidP="001F487A">
      <w:pPr>
        <w:spacing w:line="360" w:lineRule="auto"/>
        <w:jc w:val="both"/>
        <w:outlineLvl w:val="0"/>
        <w:rPr>
          <w:rFonts w:ascii="Arial" w:hAnsi="Arial" w:cs="Arial"/>
          <w:lang w:val="en-GB"/>
        </w:rPr>
      </w:pPr>
      <w:r w:rsidRPr="00364D88">
        <w:rPr>
          <w:rFonts w:ascii="Arial" w:hAnsi="Arial" w:cs="Arial"/>
          <w:lang w:val="en-GB"/>
        </w:rPr>
        <w:t>As hypothesised, and consistent with findings in the literature</w:t>
      </w:r>
      <w:r w:rsidR="009E486E" w:rsidRPr="00364D88">
        <w:rPr>
          <w:rFonts w:ascii="Arial" w:hAnsi="Arial" w:cs="Arial"/>
          <w:lang w:val="en-GB"/>
        </w:rPr>
        <w:t xml:space="preserve"> </w:t>
      </w:r>
      <w:r w:rsidRPr="00364D88">
        <w:rPr>
          <w:rFonts w:ascii="Arial" w:hAnsi="Arial" w:cs="Arial"/>
          <w:lang w:val="en-GB"/>
        </w:rPr>
        <w:fldChar w:fldCharType="begin" w:fldLock="1"/>
      </w:r>
      <w:r w:rsidR="00114B12" w:rsidRPr="00364D88">
        <w:rPr>
          <w:rFonts w:ascii="Arial" w:hAnsi="Arial" w:cs="Arial"/>
          <w:lang w:val="en-GB"/>
        </w:rPr>
        <w:instrText xml:space="preserve">ADDIN CSL_CITATION {"citationItems":[{"id":"ITEM-1","itemData":{"DOI":"10.1038/nature02403","ISSN":"1476-4687","PMID":"15103368","abstract":"Bringing together leaf trait data spanning 2,548 species and 175 sites we describe, for the first time at global scale, a universal spectrum of leaf economics consisting of key chemical, structural and physiological properties. The spectrum runs from quick to slow return on investments of nutrients and dry mass in leaves, and operates largely independently of growth form, plant functional type or biome. Categories along the spectrum would, in general, describe leaf economic variation at the global scale better than plant functional types, because functional types overlap substantially in their leaf traits. Overall, modulation of leaf traits and trait relationships by climate is surprisingly modest, although some striking and significant patterns can be seen. Reliable quantification of the leaf economics spectrum and its interaction with climate will prove valuable for modelling nutrient fluxes and vegetation boundaries under changing land-use and climate.","author":[{"dropping-particle":"","family":"Wright","given":"Ian J","non-dropping-particle":"","parse-names":false,"suffix":""},{"dropping-particle":"","family":"Reich","given":"Peter B","non-dropping-particle":"","parse-names":false,"suffix":""},{"dropping-particle":"","family":"Westoby","given":"Mark","non-dropping-particle":"","parse-names":false,"suffix":""},{"dropping-particle":"","family":"Ackerly","given":"David D","non-dropping-particle":"","parse-names":false,"suffix":""},{"dropping-particle":"","family":"Baruch","given":"Zdravko","non-dropping-particle":"","parse-names":false,"suffix":""},{"dropping-particle":"","family":"Bongers","given":"Frans","non-dropping-particle":"","parse-names":false,"suffix":""},{"dropping-particle":"","family":"Cavender-Bares","given":"Jeannine","non-dropping-particle":"","parse-names":false,"suffix":""},{"dropping-particle":"","family":"Chapin","given":"Terry","non-dropping-particle":"","parse-names":false,"suffix":""},{"dropping-particle":"","family":"Cornelissen","given":"Johannes H C","non-dropping-particle":"","parse-names":false,"suffix":""},{"dropping-particle":"","family":"Diemer","given":"Matthias","non-dropping-particle":"","parse-names":false,"suffix":""},{"dropping-particle":"","family":"Flexas","given":"Jaume","non-dropping-particle":"","parse-names":false,"suffix":""},{"dropping-particle":"","family":"Garnier","given":"Eric","non-dropping-particle":"","parse-names":false,"suffix":""},{"dropping-particle":"","family":"Groom","given":"Philip K","non-dropping-particle":"","parse-names":false,"suffix":""},{"dropping-particle":"","family":"Gulias","given":"Javier","non-dropping-particle":"","parse-names":false,"suffix":""},{"dropping-particle":"","family":"Hikosaka","given":"Kouki","non-dropping-particle":"","parse-names":false,"suffix":""},{"dropping-particle":"","family":"Lamont","given":"Byron B","non-dropping-particle":"","parse-names":false,"suffix":""},{"dropping-particle":"","family":"Lee","given":"Tali","non-dropping-particle":"","parse-names":false,"suffix":""},{"dropping-particle":"","family":"Lee","given":"William","non-dropping-particle":"","parse-names":false,"suffix":""},{"dropping-particle":"","family":"Lusk","given":"Christopher","non-dropping-particle":"","parse-names":false,"suffix":""},{"dropping-particle":"","family":"Midgley","given":"Jeremy J","non-dropping-particle":"","parse-names":false,"suffix":""},{"dropping-particle":"","family":"Navas","given":"Marie-Laure","non-dropping-particle":"","parse-names":false,"suffix":""},{"dropping-particle":"","family":"Niinemets","given":"Ulo","non-dropping-particle":"","parse-names":false,"suffix":""},{"dropping-particle":"","family":"Oleksyn","given":"Jacek","non-dropping-particle":"","parse-names":false,"suffix":""},{"dropping-particle":"","family":"Osada","given":"Noriyuki","non-dropping-particle":"","parse-names":false,"suffix":""},{"dropping-particle":"","family":"Poorter","given":"Hendrik","non-dropping-particle":"","parse-names":false,"suffix":""},{"dropping-particle":"","family":"Poot","given":"Pieter","non-dropping-particle":"","parse-names":false,"suffix":""},{"dropping-particle":"","family":"Prior","given":"Lynda","non-dropping-particle":"","parse-names":false,"suffix":""},{"dropping-particle":"","family":"Pyankov","given":"Vladimir I","non-dropping-particle":"","parse-names":false,"suffix":""},{"dropping-particle":"","family":"Roumet","given":"Catherine","non-dropping-particle":"","parse-names":false,"suffix":""},{"dropping-particle":"","family":"Thomas","given":"Sean C","non-dropping-particle":"","parse-names":false,"suffix":""},{"dropping-particle":"","family":"Tjoelker","given":"Mark G","non-dropping-particle":"","parse-names":false,"suffix":""},{"dropping-particle":"","family":"Veneklaas","given":"Erik J","non-dropping-particle":"","parse-names":false,"suffix":""},{"dropping-particle":"","family":"Villar","given":"Rafael","non-dropping-particle":"","parse-names":false,"suffix":""}],"container-title":"Nature","id":"ITEM-1","issue":"6985","issued":{"date-parts":[["2004","5","22"]]},"page":"821-7","title":"The worldwide leaf economics spectrum.","type":"article-journal","volume":"428"},"uris":["http://www.mendeley.com/documents/?uuid=d774f778-e171-47bf-ad16-535f34936c50"]},{"id":"ITEM-2","itemData":{"DOI":"10.1111/j.1365-3040.2010.02119.x","ISBN":"0140-7791","ISSN":"01407791","PMID":"20102540","abstract":"Photosynthetic leaf traits were determined for savanna and forest ecosystems in West Africa, spanning a large range in precipitation. Standardized major axis fits revealed important differences between our data and reported global relationships. Especially for sites in the drier areas, plants showed higher photosynthetic rates for a given N or P when compared with relationships from the global data set. The best multiple regression for the pooled data set estimated V(cmax) and J(max) from N(DW) and S. However, the best regression for different vegetation types varied, suggesting that the scaling of photosynthesis with leaf traits changed with vegetation types. A new model is presented representing independent constraints by N and P on photosynthesis, which can be evaluated with or without interactions with S. It assumes that limitation of photosynthesis will result from the least abundant nutrient, thereby being less sensitive to the allocation of the non-limiting nutrient to non-photosynthetic pools. The model predicts an optimum proportionality for N and P, which is distinct for V(cmax) and J(max) and inversely proportional to S. Initial tests showed the model to predict V(cmax) and J(max) successfully for other tropical forests characterized by a range of different foliar N and P concentrations.","author":[{"dropping-particle":"","family":"Domingues","given":"Tomas Ferreira","non-dropping-particle":"","parse-names":false,"suffix":""},{"dropping-particle":"","family":"Meir","given":"Patrick","non-dropping-particle":"","parse-names":false,"suffix":""},{"dropping-particle":"","family":"Feldpausch","given":"Ted R.","non-dropping-particle":"","parse-names":false,"suffix":""},{"dropping-particle":"","family":"Saiz","given":"Gustavo","non-dropping-particle":"","parse-names":false,"suffix":""},{"dropping-particle":"","family":"Veenendaal","given":"Elmar M.","non-dropping-particle":"","parse-names":false,"suffix":""},{"dropping-particle":"","family":"Schrodt","given":"Franziska","non-dropping-particle":"","parse-names":false,"suffix":""},{"dropping-particle":"","family":"Bird","given":"Michael","non-dropping-particle":"","parse-names":false,"suffix":""},{"dropping-particle":"","family":"Djagbletey","given":"Gloria","non-dropping-particle":"","parse-names":false,"suffix":""},{"dropping-particle":"","family":"Hien","given":"Fidele","non-dropping-particle":"","parse-names":false,"suffix":""},{"dropping-particle":"","family":"Compaore","given":"Halidou","non-dropping-particle":"","parse-names":false,"suffix":""},{"dropping-particle":"","family":"Diallo","given":"Adama","non-dropping-particle":"","parse-names":false,"suffix":""},{"dropping-particle":"","family":"Grace","given":"John","non-dropping-particle":"","parse-names":false,"suffix":""},{"dropping-particle":"","family":"Lloyd","given":"Jon","non-dropping-particle":"","parse-names":false,"suffix":""}],"container-title":"Plant, Cell and Environment","id":"ITEM-2","issue":"6","issued":{"date-parts":[["2010"]]},"page":"959-980","title":"Co-limitation of photosynthetic capacity by nitrogen and phosphorus in West Africa woodlands","type":"article-journal","volume":"33"},"uris":["http://www.mendeley.com/documents/?uuid=0e4c908f-63ad-4632-b14e-e65f1dfbc72e"]},{"id":"ITEM-3","itemData":{"DOI":"10.1007/BF00376856","ISSN":"0029-8549","author":[{"dropping-particle":"","family":"Field","given":"C.","non-dropping-particle":"","parse-names":false,"suffix":""},{"dropping-particle":"","family":"Merino","given":"J.","non-dropping-particle":"","parse-names":false,"suffix":""},{"dropping-particle":"","family":"Mooney","given":"H. A.","non-dropping-particle":"","parse-names":false,"suffix":""}],"container-title":"Oecologia","id":"ITEM-3","issue":"3","issued":{"date-parts":[["1983","12"]]},"page":"384-389","title":"Compromises between water-use efficiency and nitrogen-use efficiency in five species of California evergreens","type":"article-journal","volume":"60"},"uris":["http://www.mendeley.com/documents/?uuid=0460fae6-dd15-4054-845e-09d94d9184e3"]},{"id":"ITEM-4","itemData":{"DOI":"10.1007/s00442-009-1291-3","ISSN":"00298549","abstract":"The ecophysiological linkage of leaf phosphorus (P) to photosynthetic capacity (A max) and to the A max-nitrogen relation remains poorly understood. To address this issue we compiled published and unpublished field data for mass-based A max, nitrogen (N) and P (n = 517 observations) from 314 species at 42 sites in 14 countries. Data were from four biomes: arctic, cold temperate, subtropical (including Mediterranean), and tropical. We asked whether plants with low P levels have low A max, a shallower slope of the A max-N relationship, and whether these patterns have a geographic signature. On average, leaf P was substantially lower in the two warmer than in the two colder biomes, with the reverse true for N:P ratios. The evidence indicates that the response of A max to leaf N is constrained by low leaf P. Using a full factorial model for all data, A max was related to leaf N, but not to leaf P on its own, with a significant leaf N × leaf P interaction indicating that the response of A max to N increased with increasing leaf P. This was also found in analyses using one value per species per site, or by comparing only angiosperms or only woody plants. Additionally, the slope of the A max-N relationship was higher in the colder arctic and temperate than warmer tropical and subtropical biomes. Sorting data into low, medium, and high leaf P groupings also showed that the A max-N slope increases with leaf P. These analyses support claims that in P-limited ecosystems the A max-N relationship may be constrained by low P, and are consistent with laboratory studies that show P-deficient plants have limited ribulose-1,5-bisphosphate regeneration, a likely mechanism for the P influence upon the A max-N relation. © 2009 Springer-Verlag.","author":[{"dropping-particle":"","family":"Reich","given":"Peter B.","non-dropping-particle":"","parse-names":false,"suffix":""},{"dropping-particle":"","family":"Oleksyn","given":"Jacek","non-dropping-particle":"","parse-names":false,"suffix":""},{"dropping-particle":"","family":"Wright","given":"Ian J.","non-dropping-particle":"","parse-names":false,"suffix":""}],"container-title":"Oecologia","id":"ITEM-4","issue":"2","issued":{"date-parts":[["2009"]]},"page":"207-212","title":"Leaf phosphorus influences the photosynthesis-nitrogen relation: A cross-biome analysis of 314 species","type":"article-journal","volume":"160"},"uris":["http://www.mendeley.com/documents/?uuid=30b3492a-8b09-4e41-9887-c457aa2bd8de"]},{"id":"ITEM-5","itemData":{"DOI":"10.1002/gbc.20026","ISSN":"08866236","abstract":"Global terrestrial carbon (C) sequestration has increased over the last few decades. The drivers of carbon sequestration, the geographical spread and magnitude of this sink are however hotly debated. Photosynthesis determines the total C uptake of terrestrial ecosystems and is a major flux of the global C balance. We contribute to the discussion on enhanced C sequestration by analyzing the influence of nitrogen (N) deposition on photosynthetic capacity (Amax) of forest canopies. Eddy covariance measurements of net exchange of carbon provide estimates of gross primary production, from which Amax is derived with a novel approach. Canopy Amax is combined with modeled N deposition, environmental variables and stand characteristics to study the relative effects on Amax for a unique global data set of 80 forest FLUXNET sites. Canopy Amax relates positively to N deposition for evergreen needleleaf forests below an observed critical load of </w:instrText>
      </w:r>
      <w:r w:rsidR="00114B12" w:rsidRPr="00364D88">
        <w:rPr>
          <w:rFonts w:ascii="Cambria Math" w:hAnsi="Cambria Math" w:cs="Cambria Math"/>
          <w:lang w:val="en-GB"/>
        </w:rPr>
        <w:instrText>∼</w:instrText>
      </w:r>
      <w:r w:rsidR="00114B12" w:rsidRPr="00364D88">
        <w:rPr>
          <w:rFonts w:ascii="Arial" w:hAnsi="Arial" w:cs="Arial"/>
          <w:lang w:val="en-GB"/>
        </w:rPr>
        <w:instrText xml:space="preserve"> 8 kg N ha-1 yr-1, with a slope of 2.0 ± 0.4 (S.E.) μmol CO2 m-2 s-1 per 1 kg N ha-1 yr-1. Above this threshold canopy A max levels off, exhibiting a saturating response in line with the N saturation hypothesis. Climate effects on canopy Amax cannot be separated from the effect of N deposition due to considerable covariation. For deciduous broadleaf forests and forests in the temperate (-continental) climate zones, the analysis shows the N deposition effect to be either small or absent. Leaf area index and foliar N concentration are positively but weakly related to Amax. We conclude that flux tower measurements of C fluxes provide valuable data to study physiological processes at the canopy scale. Future efforts need to be directed toward standardizing measures N cycling and pools within C monitoring networks to gain a better understanding of C and N interactions, and to disentangle the role of climate and N deposition in forest ecosystems. ©2013. American Geophysical Union. All Rights Reserved.","author":[{"dropping-particle":"","family":"Fleischer","given":"K.","non-dropping-particle":"","parse-names":false,"suffix":""},{"dropping-particle":"","family":"Rebel","given":"K. T.","non-dropping-particle":"","parse-names":false,"suffix":""},{"dropping-particle":"","family":"Molen","given":"M. K.","non-dropping-particle":"Van Der","parse-names":false,"suffix":""},{"dropping-particle":"","family":"Erisman","given":"J. W.","non-dropping-particle":"","parse-names":false,"suffix":""},{"dropping-particle":"","family":"Wassen","given":"M. J.","non-dropping-particle":"","parse-names":false,"suffix":""},{"dropping-particle":"","family":"Loon","given":"E. E.","non-dropping-particle":"Van","parse-names":false,"suffix":""},{"dropping-particle":"","family":"Montagnani","given":"L.","non-dropping-particle":"","parse-names":false,"suffix":""},{"dropping-particle":"","family":"Gough","given":"C. M.","non-dropping-particle":"","parse-names":false,"suffix":""},{"dropping-particle":"","family":"Herbst","given":"M.","non-dropping-particle":"","parse-names":false,"suffix":""},{"dropping-particle":"","family":"Janssens","given":"I. A.","non-dropping-particle":"","parse-names":false,"suffix":""},{"dropping-particle":"","family":"Gianelle","given":"D.","non-dropping-particle":"","parse-names":false,"suffix":""},{"dropping-particle":"","family":"Dolman","given":"A. J.","non-dropping-particle":"","parse-names":false,"suffix":""}],"container-title":"Global Biogeochemical Cycles","id":"ITEM-5","issue":"1","issued":{"date-parts":[["2013"]]},"page":"187-199","title":"The contribution of nitrogen deposition to the photosynthetic capacity of forests","type":"article-journal","volume":"27"},"uris":["http://www.mendeley.com/documents/?uuid=2c3e0fa5-2899-4326-b915-c08ff926e516"]}],"mendeley":{"formattedCitation":"(Field &lt;i&gt;et al.&lt;/i&gt;, 1983; Wright &lt;i&gt;et al.&lt;/i&gt;, 2004; Reich &lt;i&gt;et al.&lt;/i&gt;, 2009; Domingues &lt;i&gt;et al.&lt;/i&gt;, 2010; Fleischer &lt;i&gt;et al.&lt;/i&gt;, 2013)","plainTextFormattedCitation":"(Field et al., 1983; Wright et al., 2004; Reich et al., 2009; Domingues et al., 2010; Fleischer et al., 2013)","previouslyFormattedCitation":"(Field &lt;i&gt;et al.&lt;/i&gt;, 1983; Wright &lt;i&gt;et al.&lt;/i&gt;, 2004; Reich &lt;i&gt;et al.&lt;/i&gt;, 2009; Domingues &lt;i&gt;et al.&lt;/i&gt;, 2010; Fleischer &lt;i&gt;et al.&lt;/i&gt;, 2013)"},"properties":{"noteIndex":0},"schema":"https://github.com/citation-style-language/schema/raw/master/csl-citation.json"}</w:instrText>
      </w:r>
      <w:r w:rsidRPr="00364D88">
        <w:rPr>
          <w:rFonts w:ascii="Arial" w:hAnsi="Arial" w:cs="Arial"/>
          <w:lang w:val="en-GB"/>
        </w:rPr>
        <w:fldChar w:fldCharType="separate"/>
      </w:r>
      <w:r w:rsidR="009E486E" w:rsidRPr="00364D88">
        <w:rPr>
          <w:rFonts w:ascii="Arial" w:hAnsi="Arial" w:cs="Arial"/>
          <w:noProof/>
          <w:lang w:val="en-GB"/>
        </w:rPr>
        <w:t xml:space="preserve">(Field </w:t>
      </w:r>
      <w:r w:rsidR="009E486E" w:rsidRPr="00364D88">
        <w:rPr>
          <w:rFonts w:ascii="Arial" w:hAnsi="Arial" w:cs="Arial"/>
          <w:i/>
          <w:noProof/>
          <w:lang w:val="en-GB"/>
        </w:rPr>
        <w:t>et al.</w:t>
      </w:r>
      <w:r w:rsidR="009E486E" w:rsidRPr="00364D88">
        <w:rPr>
          <w:rFonts w:ascii="Arial" w:hAnsi="Arial" w:cs="Arial"/>
          <w:noProof/>
          <w:lang w:val="en-GB"/>
        </w:rPr>
        <w:t xml:space="preserve">, 1983; Wright </w:t>
      </w:r>
      <w:r w:rsidR="009E486E" w:rsidRPr="00364D88">
        <w:rPr>
          <w:rFonts w:ascii="Arial" w:hAnsi="Arial" w:cs="Arial"/>
          <w:i/>
          <w:noProof/>
          <w:lang w:val="en-GB"/>
        </w:rPr>
        <w:t>et al.</w:t>
      </w:r>
      <w:r w:rsidR="009E486E" w:rsidRPr="00364D88">
        <w:rPr>
          <w:rFonts w:ascii="Arial" w:hAnsi="Arial" w:cs="Arial"/>
          <w:noProof/>
          <w:lang w:val="en-GB"/>
        </w:rPr>
        <w:t xml:space="preserve">, 2004; Reich </w:t>
      </w:r>
      <w:r w:rsidR="009E486E" w:rsidRPr="00364D88">
        <w:rPr>
          <w:rFonts w:ascii="Arial" w:hAnsi="Arial" w:cs="Arial"/>
          <w:i/>
          <w:noProof/>
          <w:lang w:val="en-GB"/>
        </w:rPr>
        <w:t>et al.</w:t>
      </w:r>
      <w:r w:rsidR="009E486E" w:rsidRPr="00364D88">
        <w:rPr>
          <w:rFonts w:ascii="Arial" w:hAnsi="Arial" w:cs="Arial"/>
          <w:noProof/>
          <w:lang w:val="en-GB"/>
        </w:rPr>
        <w:t xml:space="preserve">, 2009; Domingues </w:t>
      </w:r>
      <w:r w:rsidR="009E486E" w:rsidRPr="00364D88">
        <w:rPr>
          <w:rFonts w:ascii="Arial" w:hAnsi="Arial" w:cs="Arial"/>
          <w:i/>
          <w:noProof/>
          <w:lang w:val="en-GB"/>
        </w:rPr>
        <w:t>et al.</w:t>
      </w:r>
      <w:r w:rsidR="009E486E" w:rsidRPr="00364D88">
        <w:rPr>
          <w:rFonts w:ascii="Arial" w:hAnsi="Arial" w:cs="Arial"/>
          <w:noProof/>
          <w:lang w:val="en-GB"/>
        </w:rPr>
        <w:t xml:space="preserve">, 2010; Fleischer </w:t>
      </w:r>
      <w:r w:rsidR="009E486E" w:rsidRPr="00364D88">
        <w:rPr>
          <w:rFonts w:ascii="Arial" w:hAnsi="Arial" w:cs="Arial"/>
          <w:i/>
          <w:noProof/>
          <w:lang w:val="en-GB"/>
        </w:rPr>
        <w:t>et al.</w:t>
      </w:r>
      <w:r w:rsidR="009E486E" w:rsidRPr="00364D88">
        <w:rPr>
          <w:rFonts w:ascii="Arial" w:hAnsi="Arial" w:cs="Arial"/>
          <w:noProof/>
          <w:lang w:val="en-GB"/>
        </w:rPr>
        <w:t>, 2013)</w:t>
      </w:r>
      <w:r w:rsidRPr="00364D88">
        <w:rPr>
          <w:rFonts w:ascii="Arial" w:hAnsi="Arial" w:cs="Arial"/>
          <w:lang w:val="en-GB"/>
        </w:rPr>
        <w:fldChar w:fldCharType="end"/>
      </w:r>
      <w:r w:rsidRPr="00364D88">
        <w:rPr>
          <w:rFonts w:ascii="Arial" w:hAnsi="Arial" w:cs="Arial"/>
          <w:lang w:val="en-GB"/>
        </w:rPr>
        <w:t xml:space="preserve"> o</w:t>
      </w:r>
      <w:r w:rsidR="003E1EE8" w:rsidRPr="00364D88">
        <w:rPr>
          <w:rFonts w:ascii="Arial" w:hAnsi="Arial" w:cs="Arial"/>
          <w:lang w:val="en-GB"/>
        </w:rPr>
        <w:t xml:space="preserve">ur results </w:t>
      </w:r>
      <w:r w:rsidRPr="00364D88">
        <w:rPr>
          <w:rFonts w:ascii="Arial" w:hAnsi="Arial" w:cs="Arial"/>
          <w:lang w:val="en-GB"/>
        </w:rPr>
        <w:t>show that</w:t>
      </w:r>
      <w:r w:rsidR="003E1EE8" w:rsidRPr="00364D88">
        <w:rPr>
          <w:rFonts w:ascii="Arial" w:hAnsi="Arial" w:cs="Arial"/>
          <w:lang w:val="en-GB"/>
        </w:rPr>
        <w:t xml:space="preserve"> high concentrations of </w:t>
      </w:r>
      <w:r w:rsidR="00C40C8E" w:rsidRPr="00364D88">
        <w:rPr>
          <w:rFonts w:ascii="Arial" w:hAnsi="Arial" w:cs="Arial"/>
          <w:lang w:val="en-GB"/>
        </w:rPr>
        <w:t xml:space="preserve">foliar </w:t>
      </w:r>
      <w:r w:rsidR="003E1EE8" w:rsidRPr="00364D88">
        <w:rPr>
          <w:rFonts w:ascii="Arial" w:hAnsi="Arial" w:cs="Arial"/>
          <w:lang w:val="en-GB"/>
        </w:rPr>
        <w:t xml:space="preserve">N and P </w:t>
      </w:r>
      <w:r w:rsidRPr="00364D88">
        <w:rPr>
          <w:rFonts w:ascii="Arial" w:hAnsi="Arial" w:cs="Arial"/>
          <w:lang w:val="en-GB"/>
        </w:rPr>
        <w:t>are</w:t>
      </w:r>
      <w:r w:rsidR="003E1EE8" w:rsidRPr="00364D88">
        <w:rPr>
          <w:rFonts w:ascii="Arial" w:hAnsi="Arial" w:cs="Arial"/>
          <w:lang w:val="en-GB"/>
        </w:rPr>
        <w:t xml:space="preserve"> </w:t>
      </w:r>
      <w:r w:rsidRPr="00364D88">
        <w:rPr>
          <w:rFonts w:ascii="Arial" w:hAnsi="Arial" w:cs="Arial"/>
          <w:lang w:val="en-GB"/>
        </w:rPr>
        <w:t>associated with</w:t>
      </w:r>
      <w:r w:rsidR="003E1EE8" w:rsidRPr="00364D88">
        <w:rPr>
          <w:rFonts w:ascii="Arial" w:hAnsi="Arial" w:cs="Arial"/>
          <w:lang w:val="en-GB"/>
        </w:rPr>
        <w:t xml:space="preserve"> larger C fluxes (</w:t>
      </w:r>
      <w:r w:rsidRPr="00364D88">
        <w:rPr>
          <w:rFonts w:ascii="Arial" w:hAnsi="Arial" w:cs="Arial"/>
          <w:lang w:val="en-GB"/>
        </w:rPr>
        <w:t xml:space="preserve">both </w:t>
      </w:r>
      <w:r w:rsidR="003E1EE8" w:rsidRPr="00364D88">
        <w:rPr>
          <w:rFonts w:ascii="Arial" w:hAnsi="Arial" w:cs="Arial"/>
          <w:lang w:val="en-GB"/>
        </w:rPr>
        <w:t>GPP</w:t>
      </w:r>
      <w:r w:rsidR="00A03338" w:rsidRPr="00364D88">
        <w:rPr>
          <w:rFonts w:ascii="Arial" w:hAnsi="Arial" w:cs="Arial"/>
          <w:lang w:val="en-GB"/>
        </w:rPr>
        <w:t xml:space="preserve"> and Re</w:t>
      </w:r>
      <w:r w:rsidR="003E1EE8" w:rsidRPr="00364D88">
        <w:rPr>
          <w:rFonts w:ascii="Arial" w:hAnsi="Arial" w:cs="Arial"/>
          <w:lang w:val="en-GB"/>
        </w:rPr>
        <w:t>)</w:t>
      </w:r>
      <w:r w:rsidRPr="00364D88">
        <w:rPr>
          <w:rFonts w:ascii="Arial" w:hAnsi="Arial" w:cs="Arial"/>
          <w:lang w:val="en-GB"/>
        </w:rPr>
        <w:t>,</w:t>
      </w:r>
      <w:r w:rsidR="003E1EE8" w:rsidRPr="00364D88">
        <w:rPr>
          <w:rFonts w:ascii="Arial" w:hAnsi="Arial" w:cs="Arial"/>
          <w:lang w:val="en-GB"/>
        </w:rPr>
        <w:t xml:space="preserve"> but only when both elements were found in high concentrations (</w:t>
      </w:r>
      <w:r w:rsidR="003E1EE8" w:rsidRPr="00364D88">
        <w:rPr>
          <w:rFonts w:ascii="Arial" w:hAnsi="Arial" w:cs="Arial"/>
          <w:b/>
          <w:lang w:val="en-GB"/>
        </w:rPr>
        <w:t>Fig</w:t>
      </w:r>
      <w:r w:rsidR="00C823F7">
        <w:rPr>
          <w:rFonts w:ascii="Arial" w:hAnsi="Arial" w:cs="Arial"/>
          <w:b/>
          <w:lang w:val="en-GB"/>
        </w:rPr>
        <w:t>.</w:t>
      </w:r>
      <w:r w:rsidR="003E1EE8" w:rsidRPr="00364D88">
        <w:rPr>
          <w:rFonts w:ascii="Arial" w:hAnsi="Arial" w:cs="Arial"/>
          <w:b/>
          <w:lang w:val="en-GB"/>
        </w:rPr>
        <w:t xml:space="preserve"> </w:t>
      </w:r>
      <w:r w:rsidR="00480D19" w:rsidRPr="00364D88">
        <w:rPr>
          <w:rFonts w:ascii="Arial" w:hAnsi="Arial" w:cs="Arial"/>
          <w:b/>
          <w:lang w:val="en-GB"/>
        </w:rPr>
        <w:t>3</w:t>
      </w:r>
      <w:r w:rsidR="003E1EE8" w:rsidRPr="00364D88">
        <w:rPr>
          <w:rFonts w:ascii="Arial" w:hAnsi="Arial" w:cs="Arial"/>
          <w:lang w:val="en-GB"/>
        </w:rPr>
        <w:t>).</w:t>
      </w:r>
      <w:r w:rsidR="001F6B70" w:rsidRPr="00364D88">
        <w:rPr>
          <w:rFonts w:ascii="Arial" w:hAnsi="Arial" w:cs="Arial"/>
          <w:lang w:val="en-GB"/>
        </w:rPr>
        <w:t xml:space="preserve"> This result may emerge because of the inability of plants to increase their growth when one nutrient is limiting </w:t>
      </w:r>
      <w:r w:rsidR="001F6B70" w:rsidRPr="00364D88">
        <w:rPr>
          <w:rFonts w:ascii="Arial" w:hAnsi="Arial" w:cs="Arial"/>
          <w:lang w:val="en-GB"/>
        </w:rPr>
        <w:fldChar w:fldCharType="begin" w:fldLock="1"/>
      </w:r>
      <w:r w:rsidR="001F6B70" w:rsidRPr="00364D88">
        <w:rPr>
          <w:rFonts w:ascii="Arial" w:hAnsi="Arial" w:cs="Arial"/>
          <w:lang w:val="en-GB"/>
        </w:rPr>
        <w:instrText>ADDIN CSL_CITATION {"citationItems":[{"id":"ITEM-1","itemData":{"DOI":"10.1007/s11104-018-03927-5","ISSN":"15735036","abstract":"Background and aims: Unparalleled inputs of anthropogenic nitrogen (N) and phosphorus (P) cause a strong N-P imbalance in terrestrial ecosystems. However, the effects of N-P imbalance on plant biomass production remains unclear. Methods: Given that tissue N:P ratio may serve as an indicator of plant N or P limitations, we compiled a dataset reporting aboveground biomass (AGB) and tissue N:P ratio simultaneously from worldwide N addition experiments and explored the relationship between the responses of AGB and tissue N:P ratio to N enrichment. Results: The N-induced changes in AGB exhibited an asymptotic relationship (i.e., Michaelis-Menten function) with changes in tissue N:P ratio, indicating a progressive P limitation with increasing N. Our results further revealed that plant N and P status was related to the changes in soil inorganic N and P concentrations. Soil N increased while soil P remained unchanged with increasing N rate, thus resulting in an unbalanced soil N and P as N continues to increase. Conclusions: This study is the first to report the influences of human-induced N-P imbalance on plant biomass production at the global scale. The biomass-N:P ratio relationship needs to be considered for reliable predictions of the future global carbon dynamics under global change.","author":[{"dropping-particle":"","family":"Peng","given":"Yunfeng","non-dropping-particle":"","parse-names":false,"suffix":""},{"dropping-particle":"","family":"Peng","given":"Zhengping","non-dropping-particle":"","parse-names":false,"suffix":""},{"dropping-particle":"","family":"Zeng","given":"Xieting","non-dropping-particle":"","parse-names":false,"suffix":""},{"dropping-particle":"","family":"Houx","given":"James H.","non-dropping-particle":"","parse-names":false,"suffix":""}],"container-title":"Plant and Soil","id":"ITEM-1","issue":"1-2","issued":{"date-parts":[["2019"]]},"page":"245-252","publisher":"Plant and Soil","title":"Effects of nitrogen-phosphorus imbalance on plant biomass production: a global perspective","type":"article-journal","volume":"436"},"uris":["http://www.mendeley.com/documents/?uuid=ae6e860b-3f2c-4486-a695-95ce1ebcef99"]}],"mendeley":{"formattedCitation":"(Peng &lt;i&gt;et al.&lt;/i&gt;, 2019)","plainTextFormattedCitation":"(Peng et al., 2019)","previouslyFormattedCitation":"(Peng et al. 2019)"},"properties":{"noteIndex":0},"schema":"https://github.com/citation-style-language/schema/raw/master/csl-citation.json"}</w:instrText>
      </w:r>
      <w:r w:rsidR="001F6B70" w:rsidRPr="00364D88">
        <w:rPr>
          <w:rFonts w:ascii="Arial" w:hAnsi="Arial" w:cs="Arial"/>
          <w:lang w:val="en-GB"/>
        </w:rPr>
        <w:fldChar w:fldCharType="separate"/>
      </w:r>
      <w:r w:rsidR="001F6B70" w:rsidRPr="00364D88">
        <w:rPr>
          <w:rFonts w:ascii="Arial" w:hAnsi="Arial" w:cs="Arial"/>
          <w:noProof/>
          <w:lang w:val="en-GB"/>
        </w:rPr>
        <w:t xml:space="preserve">(Peng </w:t>
      </w:r>
      <w:r w:rsidR="001F6B70" w:rsidRPr="00364D88">
        <w:rPr>
          <w:rFonts w:ascii="Arial" w:hAnsi="Arial" w:cs="Arial"/>
          <w:i/>
          <w:noProof/>
          <w:lang w:val="en-GB"/>
        </w:rPr>
        <w:t>et al.</w:t>
      </w:r>
      <w:r w:rsidR="001F6B70" w:rsidRPr="00364D88">
        <w:rPr>
          <w:rFonts w:ascii="Arial" w:hAnsi="Arial" w:cs="Arial"/>
          <w:noProof/>
          <w:lang w:val="en-GB"/>
        </w:rPr>
        <w:t>, 2019)</w:t>
      </w:r>
      <w:r w:rsidR="001F6B70" w:rsidRPr="00364D88">
        <w:rPr>
          <w:rFonts w:ascii="Arial" w:hAnsi="Arial" w:cs="Arial"/>
          <w:lang w:val="en-GB"/>
        </w:rPr>
        <w:fldChar w:fldCharType="end"/>
      </w:r>
      <w:r w:rsidR="001F6B70" w:rsidRPr="00364D88">
        <w:rPr>
          <w:rFonts w:ascii="Arial" w:hAnsi="Arial" w:cs="Arial"/>
          <w:lang w:val="en-GB"/>
        </w:rPr>
        <w:t>. Growth is, therefore, often boosted by a synergistic effect of both N and P.</w:t>
      </w:r>
      <w:r w:rsidR="003E1EE8" w:rsidRPr="00364D88">
        <w:rPr>
          <w:rFonts w:ascii="Arial" w:hAnsi="Arial" w:cs="Arial"/>
          <w:lang w:val="en-GB"/>
        </w:rPr>
        <w:t xml:space="preserve"> </w:t>
      </w:r>
      <w:r w:rsidRPr="00364D88">
        <w:rPr>
          <w:rFonts w:ascii="Arial" w:hAnsi="Arial" w:cs="Arial"/>
          <w:lang w:val="en-GB"/>
        </w:rPr>
        <w:t>However, the effect is stronger on Re than GPP, and as a result</w:t>
      </w:r>
      <w:r w:rsidR="00296FE2" w:rsidRPr="00364D88">
        <w:rPr>
          <w:rFonts w:ascii="Arial" w:hAnsi="Arial" w:cs="Arial"/>
          <w:lang w:val="en-GB"/>
        </w:rPr>
        <w:t xml:space="preserve"> net</w:t>
      </w:r>
      <w:r w:rsidR="00480D19" w:rsidRPr="00364D88">
        <w:rPr>
          <w:rFonts w:ascii="Arial" w:hAnsi="Arial" w:cs="Arial"/>
          <w:lang w:val="en-GB"/>
        </w:rPr>
        <w:t xml:space="preserve"> </w:t>
      </w:r>
      <w:r w:rsidR="00B27907" w:rsidRPr="00364D88">
        <w:rPr>
          <w:rFonts w:ascii="Arial" w:hAnsi="Arial" w:cs="Arial"/>
          <w:lang w:val="en-GB"/>
        </w:rPr>
        <w:t>C</w:t>
      </w:r>
      <w:r w:rsidR="00480D19" w:rsidRPr="00364D88">
        <w:rPr>
          <w:rFonts w:ascii="Arial" w:hAnsi="Arial" w:cs="Arial"/>
          <w:lang w:val="en-GB"/>
        </w:rPr>
        <w:t xml:space="preserve"> </w:t>
      </w:r>
      <w:r w:rsidR="00296FE2" w:rsidRPr="00364D88">
        <w:rPr>
          <w:rFonts w:ascii="Arial" w:hAnsi="Arial" w:cs="Arial"/>
          <w:lang w:val="en-GB"/>
        </w:rPr>
        <w:t>uptake</w:t>
      </w:r>
      <w:r w:rsidR="00480D19" w:rsidRPr="00364D88">
        <w:rPr>
          <w:rFonts w:ascii="Arial" w:hAnsi="Arial" w:cs="Arial"/>
          <w:lang w:val="en-GB"/>
        </w:rPr>
        <w:t xml:space="preserve"> (NEP) presented the opposite behaviour</w:t>
      </w:r>
      <w:r w:rsidRPr="00364D88">
        <w:rPr>
          <w:rFonts w:ascii="Arial" w:hAnsi="Arial" w:cs="Arial"/>
          <w:lang w:val="en-GB"/>
        </w:rPr>
        <w:t>. This</w:t>
      </w:r>
      <w:r w:rsidR="00480D19" w:rsidRPr="00364D88">
        <w:rPr>
          <w:rFonts w:ascii="Arial" w:hAnsi="Arial" w:cs="Arial"/>
          <w:lang w:val="en-GB"/>
        </w:rPr>
        <w:t xml:space="preserve"> is unexpected considering the previously reported positive effect of nutrients on C sinks</w:t>
      </w:r>
      <w:r w:rsidR="009E486E" w:rsidRPr="00364D88">
        <w:rPr>
          <w:rFonts w:ascii="Arial" w:hAnsi="Arial" w:cs="Arial"/>
          <w:lang w:val="en-GB"/>
        </w:rPr>
        <w:t xml:space="preserve"> </w:t>
      </w:r>
      <w:r w:rsidR="00480D19" w:rsidRPr="00364D88">
        <w:rPr>
          <w:rFonts w:ascii="Arial" w:hAnsi="Arial" w:cs="Arial"/>
          <w:lang w:val="en-GB"/>
        </w:rPr>
        <w:fldChar w:fldCharType="begin" w:fldLock="1"/>
      </w:r>
      <w:r w:rsidR="004C0ACC" w:rsidRPr="00364D88">
        <w:rPr>
          <w:rFonts w:ascii="Arial" w:hAnsi="Arial" w:cs="Arial"/>
          <w:lang w:val="en-GB"/>
        </w:rPr>
        <w:instrText>ADDIN CSL_CITATION {"citationItems":[{"id":"ITEM-1","itemData":{"DOI":"doi:10.1038/nclimate2177","ISSN":"1758-678X","abstract":"Forests strongly affect climate through the exchange of large amounts of atmospheric CO2 (ref. 1). The main drivers of spatial variability in net ecosystem production (NEP) on a global scale are, however, poorly known. As increasing nutrient availability increases the production of biomass per unit of photosynthesis2 and reduces heterotrophic3 respiration in forests, we expected nutrients to determine carbon sequestration in forests. Our synthesis study of 92 forests in different climate zones revealed that nutrient availability indeed plays a crucial role in determining NEP and ecosystem carbon-use efficiency (CUEe; that is, the ratio of NEP to gross primary production (GPP)). Forests with high GPP exhibited high NEP only in nutrient-rich forests (CUEe = 33 ± 4%; mean ± s.e.m.). In nutrient-poor forests, a much larger proportion of GPP was released through ecosystem respiration, resulting in lower CUEe (6 ± 4%). Our finding that nutrient availability exerts a stronger control on NEP than on carbon input (GPP) conflicts with assumptions of nearly all global coupled carbon cycle–climate models, which assume that carbon inputs through photosynthesis drive biomass production and carbon sequestration. An improved global understanding of nutrient availability would therefore greatly improve carbon cycle modelling and should become a critical focus for future research.","author":[{"dropping-particle":"","family":"Fernández-Martínez","given":"Marcos","non-dropping-particle":"","parse-names":false,"suffix":""},{"dropping-particle":"","family":"Vicca","given":"S.","non-dropping-particle":"","parse-names":false,"suffix":""},{"dropping-particle":"","family":"Janssens","given":"I. A.","non-dropping-particle":"","parse-names":false,"suffix":""},{"dropping-particle":"","family":"Sardans","given":"J.","non-dropping-particle":"","parse-names":false,"suffix":""},{"dropping-particle":"","family":"Luyssaert","given":"S.","non-dropping-particle":"","parse-names":false,"suffix":""},{"dropping-particle":"","family":"Campioli","given":"M.","non-dropping-particle":"","parse-names":false,"suffix":""},{"dropping-particle":"","family":"Chapin III","given":"F. S.","non-dropping-particle":"","parse-names":false,"suffix":""},{"dropping-particle":"","family":"Ciais","given":"P.","non-dropping-particle":"","parse-names":false,"suffix":""},{"dropping-particle":"","family":"Malhi","given":"Y.","non-dropping-particle":"","parse-names":false,"suffix":""},{"dropping-particle":"","family":"Obersteiner","given":"M.","non-dropping-particle":"","parse-names":false,"suffix":""},{"dropping-particle":"","family":"Papale","given":"D.","non-dropping-particle":"","parse-names":false,"suffix":""},{"dropping-particle":"","family":"Piao","given":"S. L.","non-dropping-particle":"","parse-names":false,"suffix":""},{"dropping-particle":"","family":"Reichstein","given":"M.","non-dropping-particle":"","parse-names":false,"suffix":""},{"dropping-particle":"","family":"Rodà","given":"F.","non-dropping-particle":"","parse-names":false,"suffix":""},{"dropping-particle":"","family":"Peñuelas","given":"J.","non-dropping-particle":"","parse-names":false,"suffix":""}],"container-title":"Nature Climate Change","id":"ITEM-1","issue":"6","issued":{"date-parts":[["2014","4","6"]]},"page":"471–476","publisher":"Nature Publishing Group","title":"Nutrient availability as the key regulator of global forest carbon balance","title-short":"Nature Clim. Change","type":"article-journal","volume":"4"},"uris":["http://www.mendeley.com/documents/?uuid=f2f133a0-5090-42a6-bac1-54f1aadcf678"]}],"mendeley":{"formattedCitation":"(Fernández-Martínez &lt;i&gt;et al.&lt;/i&gt;, 2014a)","plainTextFormattedCitation":"(Fernández-Martínez et al., 2014a)","previouslyFormattedCitation":"(Fernández-Martínez &lt;i&gt;et al.&lt;/i&gt;, 2014a)"},"properties":{"noteIndex":0},"schema":"https://github.com/citation-style-language/schema/raw/master/csl-citation.json"}</w:instrText>
      </w:r>
      <w:r w:rsidR="00480D19" w:rsidRPr="00364D88">
        <w:rPr>
          <w:rFonts w:ascii="Arial" w:hAnsi="Arial" w:cs="Arial"/>
          <w:lang w:val="en-GB"/>
        </w:rPr>
        <w:fldChar w:fldCharType="separate"/>
      </w:r>
      <w:r w:rsidR="00103339" w:rsidRPr="00364D88">
        <w:rPr>
          <w:rFonts w:ascii="Arial" w:hAnsi="Arial" w:cs="Arial"/>
          <w:noProof/>
          <w:lang w:val="en-GB"/>
        </w:rPr>
        <w:t xml:space="preserve">(Fernández-Martínez </w:t>
      </w:r>
      <w:r w:rsidR="00103339" w:rsidRPr="00364D88">
        <w:rPr>
          <w:rFonts w:ascii="Arial" w:hAnsi="Arial" w:cs="Arial"/>
          <w:i/>
          <w:noProof/>
          <w:lang w:val="en-GB"/>
        </w:rPr>
        <w:t>et al.</w:t>
      </w:r>
      <w:r w:rsidR="00103339" w:rsidRPr="00364D88">
        <w:rPr>
          <w:rFonts w:ascii="Arial" w:hAnsi="Arial" w:cs="Arial"/>
          <w:noProof/>
          <w:lang w:val="en-GB"/>
        </w:rPr>
        <w:t>, 2014a)</w:t>
      </w:r>
      <w:r w:rsidR="00480D19" w:rsidRPr="00364D88">
        <w:rPr>
          <w:rFonts w:ascii="Arial" w:hAnsi="Arial" w:cs="Arial"/>
          <w:lang w:val="en-GB"/>
        </w:rPr>
        <w:fldChar w:fldCharType="end"/>
      </w:r>
      <w:r w:rsidR="00480D19" w:rsidRPr="00364D88">
        <w:rPr>
          <w:rFonts w:ascii="Arial" w:hAnsi="Arial" w:cs="Arial"/>
          <w:lang w:val="en-GB"/>
        </w:rPr>
        <w:t>.</w:t>
      </w:r>
      <w:r w:rsidR="00363A1F" w:rsidRPr="00364D88">
        <w:rPr>
          <w:rFonts w:ascii="Arial" w:hAnsi="Arial" w:cs="Arial"/>
          <w:lang w:val="en-GB"/>
        </w:rPr>
        <w:t xml:space="preserve"> Differences in these results, however, may emerge from the different approaches used: foliar nutrients in the present study and site fertility (mainly soil) in</w:t>
      </w:r>
      <w:r w:rsidR="00093B0C" w:rsidRPr="00364D88">
        <w:rPr>
          <w:rFonts w:ascii="Arial" w:hAnsi="Arial" w:cs="Arial"/>
          <w:lang w:val="en-GB"/>
        </w:rPr>
        <w:t xml:space="preserve"> the previous one</w:t>
      </w:r>
      <w:r w:rsidR="009E486E" w:rsidRPr="00364D88">
        <w:rPr>
          <w:rFonts w:ascii="Arial" w:hAnsi="Arial" w:cs="Arial"/>
          <w:lang w:val="en-GB"/>
        </w:rPr>
        <w:t xml:space="preserve"> </w:t>
      </w:r>
      <w:r w:rsidR="00363A1F" w:rsidRPr="00364D88">
        <w:rPr>
          <w:rFonts w:ascii="Arial" w:hAnsi="Arial" w:cs="Arial"/>
          <w:lang w:val="en-GB"/>
        </w:rPr>
        <w:fldChar w:fldCharType="begin" w:fldLock="1"/>
      </w:r>
      <w:r w:rsidR="004C0ACC" w:rsidRPr="00364D88">
        <w:rPr>
          <w:rFonts w:ascii="Arial" w:hAnsi="Arial" w:cs="Arial"/>
          <w:lang w:val="en-GB"/>
        </w:rPr>
        <w:instrText>ADDIN CSL_CITATION {"citationItems":[{"id":"ITEM-1","itemData":{"DOI":"doi:10.1038/nclimate2177","ISSN":"1758-678X","abstract":"Forests strongly affect climate through the exchange of large amounts of atmospheric CO2 (ref. 1). The main drivers of spatial variability in net ecosystem production (NEP) on a global scale are, however, poorly known. As increasing nutrient availability increases the production of biomass per unit of photosynthesis2 and reduces heterotrophic3 respiration in forests, we expected nutrients to determine carbon sequestration in forests. Our synthesis study of 92 forests in different climate zones revealed that nutrient availability indeed plays a crucial role in determining NEP and ecosystem carbon-use efficiency (CUEe; that is, the ratio of NEP to gross primary production (GPP)). Forests with high GPP exhibited high NEP only in nutrient-rich forests (CUEe = 33 ± 4%; mean ± s.e.m.). In nutrient-poor forests, a much larger proportion of GPP was released through ecosystem respiration, resulting in lower CUEe (6 ± 4%). Our finding that nutrient availability exerts a stronger control on NEP than on carbon input (GPP) conflicts with assumptions of nearly all global coupled carbon cycle–climate models, which assume that carbon inputs through photosynthesis drive biomass production and carbon sequestration. An improved global understanding of nutrient availability would therefore greatly improve carbon cycle modelling and should become a critical focus for future research.","author":[{"dropping-particle":"","family":"Fernández-Martínez","given":"Marcos","non-dropping-particle":"","parse-names":false,"suffix":""},{"dropping-particle":"","family":"Vicca","given":"S.","non-dropping-particle":"","parse-names":false,"suffix":""},{"dropping-particle":"","family":"Janssens","given":"I. A.","non-dropping-particle":"","parse-names":false,"suffix":""},{"dropping-particle":"","family":"Sardans","given":"J.","non-dropping-particle":"","parse-names":false,"suffix":""},{"dropping-particle":"","family":"Luyssaert","given":"S.","non-dropping-particle":"","parse-names":false,"suffix":""},{"dropping-particle":"","family":"Campioli","given":"M.","non-dropping-particle":"","parse-names":false,"suffix":""},{"dropping-particle":"","family":"Chapin III","given":"F. S.","non-dropping-particle":"","parse-names":false,"suffix":""},{"dropping-particle":"","family":"Ciais","given":"P.","non-dropping-particle":"","parse-names":false,"suffix":""},{"dropping-particle":"","family":"Malhi","given":"Y.","non-dropping-particle":"","parse-names":false,"suffix":""},{"dropping-particle":"","family":"Obersteiner","given":"M.","non-dropping-particle":"","parse-names":false,"suffix":""},{"dropping-particle":"","family":"Papale","given":"D.","non-dropping-particle":"","parse-names":false,"suffix":""},{"dropping-particle":"","family":"Piao","given":"S. L.","non-dropping-particle":"","parse-names":false,"suffix":""},{"dropping-particle":"","family":"Reichstein","given":"M.","non-dropping-particle":"","parse-names":false,"suffix":""},{"dropping-particle":"","family":"Rodà","given":"F.","non-dropping-particle":"","parse-names":false,"suffix":""},{"dropping-particle":"","family":"Peñuelas","given":"J.","non-dropping-particle":"","parse-names":false,"suffix":""}],"container-title":"Nature Climate Change","id":"ITEM-1","issue":"6","issued":{"date-parts":[["2014","4","6"]]},"page":"471–476","publisher":"Nature Publishing Group","title":"Nutrient availability as the key regulator of global forest carbon balance","title-short":"Nature Clim. Change","type":"article-journal","volume":"4"},"uris":["http://www.mendeley.com/documents/?uuid=f2f133a0-5090-42a6-bac1-54f1aadcf678"]}],"mendeley":{"formattedCitation":"(Fernández-Martínez &lt;i&gt;et al.&lt;/i&gt;, 2014a)","plainTextFormattedCitation":"(Fernández-Martínez et al., 2014a)","previouslyFormattedCitation":"(Fernández-Martínez &lt;i&gt;et al.&lt;/i&gt;, 2014a)"},"properties":{"noteIndex":0},"schema":"https://github.com/citation-style-language/schema/raw/master/csl-citation.json"}</w:instrText>
      </w:r>
      <w:r w:rsidR="00363A1F" w:rsidRPr="00364D88">
        <w:rPr>
          <w:rFonts w:ascii="Arial" w:hAnsi="Arial" w:cs="Arial"/>
          <w:lang w:val="en-GB"/>
        </w:rPr>
        <w:fldChar w:fldCharType="separate"/>
      </w:r>
      <w:r w:rsidR="00103339" w:rsidRPr="00364D88">
        <w:rPr>
          <w:rFonts w:ascii="Arial" w:hAnsi="Arial" w:cs="Arial"/>
          <w:noProof/>
          <w:lang w:val="en-GB"/>
        </w:rPr>
        <w:t xml:space="preserve">(Fernández-Martínez </w:t>
      </w:r>
      <w:r w:rsidR="00103339" w:rsidRPr="00364D88">
        <w:rPr>
          <w:rFonts w:ascii="Arial" w:hAnsi="Arial" w:cs="Arial"/>
          <w:i/>
          <w:noProof/>
          <w:lang w:val="en-GB"/>
        </w:rPr>
        <w:t>et al.</w:t>
      </w:r>
      <w:r w:rsidR="00103339" w:rsidRPr="00364D88">
        <w:rPr>
          <w:rFonts w:ascii="Arial" w:hAnsi="Arial" w:cs="Arial"/>
          <w:noProof/>
          <w:lang w:val="en-GB"/>
        </w:rPr>
        <w:t>, 2014a)</w:t>
      </w:r>
      <w:r w:rsidR="00363A1F" w:rsidRPr="00364D88">
        <w:rPr>
          <w:rFonts w:ascii="Arial" w:hAnsi="Arial" w:cs="Arial"/>
          <w:lang w:val="en-GB"/>
        </w:rPr>
        <w:fldChar w:fldCharType="end"/>
      </w:r>
      <w:r w:rsidR="00363A1F" w:rsidRPr="00364D88">
        <w:rPr>
          <w:rFonts w:ascii="Arial" w:hAnsi="Arial" w:cs="Arial"/>
          <w:lang w:val="en-GB"/>
        </w:rPr>
        <w:t xml:space="preserve">. </w:t>
      </w:r>
      <w:r w:rsidR="00B4277A" w:rsidRPr="00364D88">
        <w:rPr>
          <w:rFonts w:ascii="Arial" w:hAnsi="Arial" w:cs="Arial"/>
          <w:lang w:val="en-GB"/>
        </w:rPr>
        <w:t>Adaptations to take up and retain nutrients shown by different plant species often mask the relationships between site fertility and foliar elemental concentrations</w:t>
      </w:r>
      <w:r w:rsidR="009E486E" w:rsidRPr="00364D88">
        <w:rPr>
          <w:rFonts w:ascii="Arial" w:hAnsi="Arial" w:cs="Arial"/>
          <w:lang w:val="en-GB"/>
        </w:rPr>
        <w:t xml:space="preserve"> </w:t>
      </w:r>
      <w:r w:rsidR="00363A1F"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10.1111/gcb.14802","ISSN":"1354-1013","author":[{"dropping-particle":"","family":"Sundert","given":"Kevin","non-dropping-particle":"Van","parse-names":false,"suffix":""},{"dropping-particle":"","family":"Radujković","given":"Dajana","non-dropping-particle":"","parse-names":false,"suffix":""},{"dropping-particle":"","family":"Cools","given":"Nathalie","non-dropping-particle":"","parse-names":false,"suffix":""},{"dropping-particle":"","family":"Vos","given":"Bruno","non-dropping-particle":"De","parse-names":false,"suffix":""},{"dropping-particle":"","family":"Etzold","given":"Sophia","non-dropping-particle":"","parse-names":false,"suffix":""},{"dropping-particle":"","family":"Fernández</w:instrText>
      </w:r>
      <w:r w:rsidR="00114B12" w:rsidRPr="00364D88">
        <w:rPr>
          <w:rFonts w:ascii="Cambria Math" w:hAnsi="Cambria Math" w:cs="Cambria Math"/>
          <w:lang w:val="en-GB"/>
        </w:rPr>
        <w:instrText>‐</w:instrText>
      </w:r>
      <w:r w:rsidR="00114B12" w:rsidRPr="00364D88">
        <w:rPr>
          <w:rFonts w:ascii="Arial" w:hAnsi="Arial" w:cs="Arial"/>
          <w:lang w:val="en-GB"/>
        </w:rPr>
        <w:instrText>Martínez","given":"Marcos","non-dropping-particle":"","parse-names":false,"suffix":""},{"dropping-particle":"","family":"Janssens","given":"Ivan","non-dropping-particle":"","parse-names":false,"suffix":""},{"dropping-particle":"","family":"Merilä","given":"Päivi","non-dropping-particle":"","parse-names":false,"suffix":""},{"dropping-particle":"","family":"Peñuelas","given":"Josep","non-dropping-particle":"","parse-names":false,"suffix":""},{"dropping-particle":"","family":"Sardans","given":"Jordi","non-dropping-particle":"","parse-names":false,"suffix":""},{"dropping-particle":"","family":"Stendahl","given":"Johan","non-dropping-particle":"","parse-names":false,"suffix":""},{"dropping-particle":"","family":"Terrer","given":"César","non-dropping-particle":"","parse-names":false,"suffix":""},{"dropping-particle":"","family":"Vicca","given":"Sara","non-dropping-particle":"","parse-names":false,"suffix":""}],"container-title":"Global Change Biology","id":"ITEM-1","issued":{"date-parts":[["2019"]]},"page":"gcb.14802","title":"Towards comparable assessment of the soil nutrient status across scales – review and development of nutrient metrics","type":"article-journal"},"uris":["http://www.mendeley.com/documents/?uuid=009a1cac-46f0-40fc-89f2-d52fb9580218"]}],"mendeley":{"formattedCitation":"(Van Sundert &lt;i&gt;et al.&lt;/i&gt;, 2019)","plainTextFormattedCitation":"(Van Sundert et al., 2019)","previouslyFormattedCitation":"(Van Sundert &lt;i&gt;et al.&lt;/i&gt;, 2019)"},"properties":{"noteIndex":0},"schema":"https://github.com/citation-style-language/schema/raw/master/csl-citation.json"}</w:instrText>
      </w:r>
      <w:r w:rsidR="00363A1F" w:rsidRPr="00364D88">
        <w:rPr>
          <w:rFonts w:ascii="Arial" w:hAnsi="Arial" w:cs="Arial"/>
          <w:lang w:val="en-GB"/>
        </w:rPr>
        <w:fldChar w:fldCharType="separate"/>
      </w:r>
      <w:r w:rsidR="009E486E" w:rsidRPr="00364D88">
        <w:rPr>
          <w:rFonts w:ascii="Arial" w:hAnsi="Arial" w:cs="Arial"/>
          <w:noProof/>
          <w:lang w:val="en-GB"/>
        </w:rPr>
        <w:t xml:space="preserve">(Van Sundert </w:t>
      </w:r>
      <w:r w:rsidR="009E486E" w:rsidRPr="00364D88">
        <w:rPr>
          <w:rFonts w:ascii="Arial" w:hAnsi="Arial" w:cs="Arial"/>
          <w:i/>
          <w:noProof/>
          <w:lang w:val="en-GB"/>
        </w:rPr>
        <w:t>et al.</w:t>
      </w:r>
      <w:r w:rsidR="009E486E" w:rsidRPr="00364D88">
        <w:rPr>
          <w:rFonts w:ascii="Arial" w:hAnsi="Arial" w:cs="Arial"/>
          <w:noProof/>
          <w:lang w:val="en-GB"/>
        </w:rPr>
        <w:t>, 2019)</w:t>
      </w:r>
      <w:r w:rsidR="00363A1F" w:rsidRPr="00364D88">
        <w:rPr>
          <w:rFonts w:ascii="Arial" w:hAnsi="Arial" w:cs="Arial"/>
          <w:lang w:val="en-GB"/>
        </w:rPr>
        <w:fldChar w:fldCharType="end"/>
      </w:r>
      <w:r w:rsidR="00363A1F" w:rsidRPr="00364D88">
        <w:rPr>
          <w:rFonts w:ascii="Arial" w:hAnsi="Arial" w:cs="Arial"/>
          <w:lang w:val="en-GB"/>
        </w:rPr>
        <w:t xml:space="preserve">. In this sense, we did not find a direct statistical relationship between foliar N and P and site fertility </w:t>
      </w:r>
      <w:r w:rsidR="00AB0DB3" w:rsidRPr="00364D88">
        <w:rPr>
          <w:rFonts w:ascii="Arial" w:hAnsi="Arial" w:cs="Arial"/>
          <w:lang w:val="en-GB"/>
        </w:rPr>
        <w:t xml:space="preserve">used </w:t>
      </w:r>
      <w:r w:rsidR="00363A1F" w:rsidRPr="00364D88">
        <w:rPr>
          <w:rFonts w:ascii="Arial" w:hAnsi="Arial" w:cs="Arial"/>
          <w:lang w:val="en-GB"/>
        </w:rPr>
        <w:t>in</w:t>
      </w:r>
      <w:r w:rsidR="00093B0C" w:rsidRPr="00364D88">
        <w:rPr>
          <w:rFonts w:ascii="Arial" w:hAnsi="Arial" w:cs="Arial"/>
          <w:lang w:val="en-GB"/>
        </w:rPr>
        <w:t xml:space="preserve"> previous studies</w:t>
      </w:r>
      <w:r w:rsidR="009E486E" w:rsidRPr="00364D88">
        <w:rPr>
          <w:rFonts w:ascii="Arial" w:hAnsi="Arial" w:cs="Arial"/>
          <w:lang w:val="en-GB"/>
        </w:rPr>
        <w:t xml:space="preserve"> </w:t>
      </w:r>
      <w:r w:rsidR="00363A1F" w:rsidRPr="00364D88">
        <w:rPr>
          <w:rFonts w:ascii="Arial" w:hAnsi="Arial" w:cs="Arial"/>
          <w:lang w:val="en-GB"/>
        </w:rPr>
        <w:fldChar w:fldCharType="begin" w:fldLock="1"/>
      </w:r>
      <w:r w:rsidR="004C0ACC" w:rsidRPr="00364D88">
        <w:rPr>
          <w:rFonts w:ascii="Arial" w:hAnsi="Arial" w:cs="Arial"/>
          <w:lang w:val="en-GB"/>
        </w:rPr>
        <w:instrText>ADDIN CSL_CITATION {"citationItems":[{"id":"ITEM-1","itemData":{"DOI":"doi:10.1038/nclimate2177","ISSN":"1758-678X","abstract":"Forests strongly affect climate through the exchange of large amounts of atmospheric CO2 (ref. 1). The main drivers of spatial variability in net ecosystem production (NEP) on a global scale are, however, poorly known. As increasing nutrient availability increases the production of biomass per unit of photosynthesis2 and reduces heterotrophic3 respiration in forests, we expected nutrients to determine carbon sequestration in forests. Our synthesis study of 92 forests in different climate zones revealed that nutrient availability indeed plays a crucial role in determining NEP and ecosystem carbon-use efficiency (CUEe; that is, the ratio of NEP to gross primary production (GPP)). Forests with high GPP exhibited high NEP only in nutrient-rich forests (CUEe = 33 ± 4%; mean ± s.e.m.). In nutrient-poor forests, a much larger proportion of GPP was released through ecosystem respiration, resulting in lower CUEe (6 ± 4%). Our finding that nutrient availability exerts a stronger control on NEP than on carbon input (GPP) conflicts with assumptions of nearly all global coupled carbon cycle–climate models, which assume that carbon inputs through photosynthesis drive biomass production and carbon sequestration. An improved global understanding of nutrient availability would therefore greatly improve carbon cycle modelling and should become a critical focus for future research.","author":[{"dropping-particle":"","family":"Fernández-Martínez","given":"Marcos","non-dropping-particle":"","parse-names":false,"suffix":""},{"dropping-particle":"","family":"Vicca","given":"S.","non-dropping-particle":"","parse-names":false,"suffix":""},{"dropping-particle":"","family":"Janssens","given":"I. A.","non-dropping-particle":"","parse-names":false,"suffix":""},{"dropping-particle":"","family":"Sardans","given":"J.","non-dropping-particle":"","parse-names":false,"suffix":""},{"dropping-particle":"","family":"Luyssaert","given":"S.","non-dropping-particle":"","parse-names":false,"suffix":""},{"dropping-particle":"","family":"Campioli","given":"M.","non-dropping-particle":"","parse-names":false,"suffix":""},{"dropping-particle":"","family":"Chapin III","given":"F. S.","non-dropping-particle":"","parse-names":false,"suffix":""},{"dropping-particle":"","family":"Ciais","given":"P.","non-dropping-particle":"","parse-names":false,"suffix":""},{"dropping-particle":"","family":"Malhi","given":"Y.","non-dropping-particle":"","parse-names":false,"suffix":""},{"dropping-particle":"","family":"Obersteiner","given":"M.","non-dropping-particle":"","parse-names":false,"suffix":""},{"dropping-particle":"","family":"Papale","given":"D.","non-dropping-particle":"","parse-names":false,"suffix":""},{"dropping-particle":"","family":"Piao","given":"S. L.","non-dropping-particle":"","parse-names":false,"suffix":""},{"dropping-particle":"","family":"Reichstein","given":"M.","non-dropping-particle":"","parse-names":false,"suffix":""},{"dropping-particle":"","family":"Rodà","given":"F.","non-dropping-particle":"","parse-names":false,"suffix":""},{"dropping-particle":"","family":"Peñuelas","given":"J.","non-dropping-particle":"","parse-names":false,"suffix":""}],"container-title":"Nature Climate Change","id":"ITEM-1","issue":"6","issued":{"date-parts":[["2014","4","6"]]},"page":"471–476","publisher":"Nature Publishing Group","title":"Nutrient availability as the key regulator of global forest carbon balance","title-short":"Nature Clim. Change","type":"article-journal","volume":"4"},"uris":["http://www.mendeley.com/documents/?uuid=f2f133a0-5090-42a6-bac1-54f1aadcf678"]},{"id":"ITEM-2","itemData":{"author":[{"dropping-particle":"","family":"Fernández-Martínez","given":"Marcos","non-dropping-particle":"","parse-names":false,"suffix":""},{"dropping-particle":"","family":"Vicca","given":"Sara","non-dropping-particle":"","parse-names":false,"suffix":""},{"dropping-particle":"","family":"Janssens","given":"Ivan. A.","non-dropping-particle":"","parse-names":false,"suffix":""},{"dropping-particle":"","family":"Campioli","given":"Matteo","non-dropping-particle":"","parse-names":false,"suffix":""},{"dropping-particle":"","family":"Peñuelas","given":"Josep","non-dropping-particle":"","parse-names":false,"suffix":""}],"container-title":"Trees, structure and function","id":"ITEM-2","issued":{"date-parts":[["2016"]]},"page":"775-783","title":"Nutrient availability and climate as the main determinants of the ratio of biomass to NPP in woody and non-woody forest compartments","type":"article-journal","volume":"30"},"uris":["http://www.mendeley.com/documents/?uuid=3bf0325c-3a51-410d-be7f-94aff9288d7b"]}],"mendeley":{"formattedCitation":"(Fernández-Martínez &lt;i&gt;et al.&lt;/i&gt;, 2014a, 2016)","plainTextFormattedCitation":"(Fernández-Martínez et al., 2014a, 2016)","previouslyFormattedCitation":"(Fernández-Martínez &lt;i&gt;et al.&lt;/i&gt;, 2014a, 2016)"},"properties":{"noteIndex":0},"schema":"https://github.com/citation-style-language/schema/raw/master/csl-citation.json"}</w:instrText>
      </w:r>
      <w:r w:rsidR="00363A1F" w:rsidRPr="00364D88">
        <w:rPr>
          <w:rFonts w:ascii="Arial" w:hAnsi="Arial" w:cs="Arial"/>
          <w:lang w:val="en-GB"/>
        </w:rPr>
        <w:fldChar w:fldCharType="separate"/>
      </w:r>
      <w:r w:rsidR="00103339" w:rsidRPr="00364D88">
        <w:rPr>
          <w:rFonts w:ascii="Arial" w:hAnsi="Arial" w:cs="Arial"/>
          <w:noProof/>
          <w:lang w:val="en-GB"/>
        </w:rPr>
        <w:t xml:space="preserve">(Fernández-Martínez </w:t>
      </w:r>
      <w:r w:rsidR="00103339" w:rsidRPr="00364D88">
        <w:rPr>
          <w:rFonts w:ascii="Arial" w:hAnsi="Arial" w:cs="Arial"/>
          <w:i/>
          <w:noProof/>
          <w:lang w:val="en-GB"/>
        </w:rPr>
        <w:t>et al.</w:t>
      </w:r>
      <w:r w:rsidR="00103339" w:rsidRPr="00364D88">
        <w:rPr>
          <w:rFonts w:ascii="Arial" w:hAnsi="Arial" w:cs="Arial"/>
          <w:noProof/>
          <w:lang w:val="en-GB"/>
        </w:rPr>
        <w:t>, 2014a, 2016)</w:t>
      </w:r>
      <w:r w:rsidR="00363A1F" w:rsidRPr="00364D88">
        <w:rPr>
          <w:rFonts w:ascii="Arial" w:hAnsi="Arial" w:cs="Arial"/>
          <w:lang w:val="en-GB"/>
        </w:rPr>
        <w:fldChar w:fldCharType="end"/>
      </w:r>
      <w:r w:rsidR="00363A1F" w:rsidRPr="00364D88">
        <w:rPr>
          <w:rFonts w:ascii="Arial" w:hAnsi="Arial" w:cs="Arial"/>
          <w:lang w:val="en-GB"/>
        </w:rPr>
        <w:t xml:space="preserve"> across the 33 shared forest sites included in both studies.</w:t>
      </w:r>
      <w:r w:rsidR="00480D19" w:rsidRPr="00364D88">
        <w:rPr>
          <w:rFonts w:ascii="Arial" w:hAnsi="Arial" w:cs="Arial"/>
          <w:lang w:val="en-GB"/>
        </w:rPr>
        <w:t xml:space="preserve"> </w:t>
      </w:r>
      <w:r w:rsidR="00BB46F5" w:rsidRPr="00364D88">
        <w:rPr>
          <w:rFonts w:ascii="Arial" w:hAnsi="Arial" w:cs="Arial"/>
          <w:lang w:val="en-GB"/>
        </w:rPr>
        <w:t>On the other hand, the observed decrease in GPP with increasing foliar P in sites with low foliar N may appear because of increasing limitation of N with respect to P. Hence, our results suggest that GPP constraints due to nutrient imbalances may be stronger for N limitation than for P</w:t>
      </w:r>
      <w:r w:rsidR="004C0ACC" w:rsidRPr="00364D88">
        <w:rPr>
          <w:rFonts w:ascii="Arial" w:hAnsi="Arial" w:cs="Arial"/>
          <w:lang w:val="en-GB"/>
        </w:rPr>
        <w:t xml:space="preserve">.  </w:t>
      </w:r>
    </w:p>
    <w:p w14:paraId="12D31A9A" w14:textId="4E448740" w:rsidR="00480D19" w:rsidRPr="00364D88" w:rsidRDefault="000A7CE0" w:rsidP="001F487A">
      <w:pPr>
        <w:spacing w:line="360" w:lineRule="auto"/>
        <w:jc w:val="both"/>
        <w:outlineLvl w:val="0"/>
        <w:rPr>
          <w:rFonts w:ascii="Arial" w:hAnsi="Arial" w:cs="Arial"/>
          <w:lang w:val="en-GB"/>
        </w:rPr>
      </w:pPr>
      <w:r w:rsidRPr="00364D88">
        <w:rPr>
          <w:rFonts w:ascii="Arial" w:hAnsi="Arial" w:cs="Arial"/>
          <w:lang w:val="en-GB"/>
        </w:rPr>
        <w:lastRenderedPageBreak/>
        <w:t>I</w:t>
      </w:r>
      <w:r w:rsidR="00480D19" w:rsidRPr="00364D88">
        <w:rPr>
          <w:rFonts w:ascii="Arial" w:hAnsi="Arial" w:cs="Arial"/>
          <w:lang w:val="en-GB"/>
        </w:rPr>
        <w:t xml:space="preserve">ncreased decomposition rates (heterotrophic respiration) </w:t>
      </w:r>
      <w:r w:rsidRPr="00364D88">
        <w:rPr>
          <w:rFonts w:ascii="Arial" w:hAnsi="Arial" w:cs="Arial"/>
          <w:lang w:val="en-GB"/>
        </w:rPr>
        <w:t xml:space="preserve">may be driven by </w:t>
      </w:r>
      <w:r w:rsidR="00480D19" w:rsidRPr="00364D88">
        <w:rPr>
          <w:rFonts w:ascii="Arial" w:hAnsi="Arial" w:cs="Arial"/>
          <w:lang w:val="en-GB"/>
        </w:rPr>
        <w:t>low</w:t>
      </w:r>
      <w:r w:rsidR="00B0727D" w:rsidRPr="00364D88">
        <w:rPr>
          <w:rFonts w:ascii="Arial" w:hAnsi="Arial" w:cs="Arial"/>
          <w:lang w:val="en-GB"/>
        </w:rPr>
        <w:t>er</w:t>
      </w:r>
      <w:r w:rsidR="00480D19" w:rsidRPr="00364D88">
        <w:rPr>
          <w:rFonts w:ascii="Arial" w:hAnsi="Arial" w:cs="Arial"/>
          <w:lang w:val="en-GB"/>
        </w:rPr>
        <w:t xml:space="preserve"> leaf nutrient resorption </w:t>
      </w:r>
      <w:r w:rsidR="00FD4714" w:rsidRPr="00364D88">
        <w:rPr>
          <w:rFonts w:ascii="Arial" w:hAnsi="Arial" w:cs="Arial"/>
          <w:lang w:val="en-GB"/>
        </w:rPr>
        <w:t xml:space="preserve">from nutrient-rich communities </w:t>
      </w:r>
      <w:r w:rsidR="00480D19" w:rsidRPr="00364D88">
        <w:rPr>
          <w:rFonts w:ascii="Arial" w:hAnsi="Arial" w:cs="Arial"/>
          <w:lang w:val="en-GB"/>
        </w:rPr>
        <w:t xml:space="preserve">and, therefore, </w:t>
      </w:r>
      <w:r w:rsidR="00B0727D" w:rsidRPr="00364D88">
        <w:rPr>
          <w:rFonts w:ascii="Arial" w:hAnsi="Arial" w:cs="Arial"/>
          <w:lang w:val="en-GB"/>
        </w:rPr>
        <w:t xml:space="preserve">organic matter of better </w:t>
      </w:r>
      <w:r w:rsidR="00480D19" w:rsidRPr="00364D88">
        <w:rPr>
          <w:rFonts w:ascii="Arial" w:hAnsi="Arial" w:cs="Arial"/>
          <w:lang w:val="en-GB"/>
        </w:rPr>
        <w:t>quality</w:t>
      </w:r>
      <w:r w:rsidR="009E486E" w:rsidRPr="00364D88">
        <w:rPr>
          <w:rFonts w:ascii="Arial" w:hAnsi="Arial" w:cs="Arial"/>
          <w:lang w:val="en-GB"/>
        </w:rPr>
        <w:t xml:space="preserve"> </w:t>
      </w:r>
      <w:r w:rsidR="00B0727D"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{"citationItems":[{"id":"ITEM-1","itemData":{"DOI":"10.1007/BF00566960","ISSN":"00298549","abstract":"The strength and generality of the relationship between decomposition rates and detritus carbon, nitrogen, and phosphorus concentrations was assessed by comparing published reports of decomposition rates of detritus of photosynthetic organisms, from unicellular algae to trees. The results obtained demonstrated the existence of a general positive, linear relationship between plant decomposition rates and nitrogen and phosphorus concentrations. Differences in the carbon, nitrogen, and phosphorus concentrations of plant detritus accounted for 89% of the variance in plant decomposition rates of detritus orginating from photosynthetic organisms ranging from unicellular microalgae to trees. The results also demonstrate that moist plant material decomposes substantially faster than dry material with similar nutrient concentrations. Consideration of lignin, instead of carbon, concentrations did not improve the relationships obtained. These results reflect the coupling of phosphorus and nitrogen in the basic biochemical processes of both plants and their microbial decomposers, and stress the importance of this coupling for carbon and nutrient flow in ecosystems. © 1993 Springer-Verlag.","author":[{"dropping-particle":"","family":"Enríquez","given":"S.","non-dropping-particle":"","parse-names":false,"suffix":""},{"dropping-particle":"","family":"Duarte","given":"C. M.","non-dropping-particle":"","parse-names":false,"suffix":""},{"dropping-particle":"","family":"Sand-Jensen","given":"K.","non-dropping-particle":"","parse-names":false,"suffix":""}],"container-title":"Oecologia","id":"ITEM-1","issue":"4","issued":{"date-parts":[["1993"]]},"page":"457-471","title":"Patterns in decomposition rates among photosynthetic organisms: the importance of detritus C:N:P content","type":"article-journal","volume":"94"},"uris":["http://www.mendeley.com/documents/?uuid=0f75c734-0e6b-4e74-92a5-d64f7386e0c5"]},{"id":"ITEM-2","itemData":{"DOI":"10.1111/j.1365-2435.2007.01325.x","ISSN":"02698463","abstract":"1. Deposition of nutrients due to anthropogenic activities has the potential to change nutrient availability in nutrient-limited ecosystems with consequences for plant and ecosystem processes. 2. Species-specific and ecosystem responses to the addition of nutrients were studied in a field experiment conducted in a Savanna (Cerrado sensu stricto) on dystrophic soil in central Brazil. Three fertilization treatments (N, P and N plus P additions) and unfertilized control were replicated in four 15 x 15 m plots per treatment. 3. Five of the dominant woody species were studied. Specific leaf area (SLA) was not affected by the treatments, but species responded differently in terms of foliar nutrient concentration, resorption efficiency and proficiency to the increased soil N and P availability. 4. Responses of N and P resorption suggested different levels of regulation for these two limiting elements, with a decrease in N and P resorption proficiency depending on the treatment. In general, under N fertilization, senesced leaves presented higher N concentration, whereas combined fertilization with N and P resulted in senesced leaves richer in P. The concomitant variation in P resorption efficiency and proficiency indicates a stronger regulation between them compared to N. 5. Results indicated a highly efficient and complete P resorption, while N concentrations in senesced leaves indicated intermediate or incomplete resorption efficiencies, supporting the idea that Cerrado plants might be more limited by P than by N. 6. At the ecosystem level, higher N concentration in the leaf litter was measured at the end of the dry season in the +NP-fertilized plots, resulting in a significantly faster decomposition rate in relation to the control treatment. Responses of litterfall and decomposition rates indicated that the system was generally more responsive to the combined addition of N and P than to fertilization with N or P alone over the relatively short time span of this study. © 2007 The Authors.","author":[{"dropping-particle":"","family":"Kozovits","given":"A. R.","non-dropping-particle":"","parse-names":false,"suffix":""},{"dropping-particle":"","family":"Bustamante","given":"M. M.C.","non-dropping-particle":"","parse-names":false,"suffix":""},{"dropping-particle":"","family":"Garofalo","given":"C. R.","non-dropping-particle":"","parse-names":false,"suffix":""},{"dropping-particle":"","family":"Bucci","given":"S.","non-dropping-particle":"","parse-names":false,"suffix":""},{"dropping-particle":"","family":"Franco","given":"A. C.","non-dropping-particle":"","parse-names":false,"suffix":""},{"dropping-particle":"","family":"Goldstein","given":"G.","non-dropping-particle":"","parse-names":false,"suffix":""},{"dropping-particle":"","family":"Meinzer","given":"F. C.","non-dropping-particle":"","parse-names":false,"suffix":""}],"container-title":"Functional Ecology","id":"ITEM-2","issue":"6","issued":{"date-parts":[["2007"]]},"page":"1034-1043","title":"Nutrient resorption and patterns of litter production and decomposition in a Neotropical Savanna","type":"article-journal","volume":"21"},"uris":["http://www.mendeley.com/documents/?uuid=77a3504c-9025-4bce-a392-6c7e02597cc7"]}],"mendeley":{"formattedCitation":"(Enríquez &lt;i&gt;et al.&lt;/i&gt;, 1993; Kozovits &lt;i&gt;et al.&lt;/i&gt;, 2007)","plainTextFormattedCitation":"(Enríquez et al., 1993; Kozovits et al., 2007)","previouslyFormattedCitation":"(Enríquez &lt;i&gt;et al.&lt;/i&gt;, 1993; Kozovits &lt;i&gt;et al.&lt;/i&gt;, 2007)"},"properties":{"noteIndex":0},"schema":"https://github.com/citation-style-language/schema/raw/master/csl-citation.json"}</w:instrText>
      </w:r>
      <w:r w:rsidR="00B0727D" w:rsidRPr="00364D88">
        <w:rPr>
          <w:rFonts w:ascii="Arial" w:hAnsi="Arial" w:cs="Arial"/>
          <w:lang w:val="en-GB"/>
        </w:rPr>
        <w:fldChar w:fldCharType="separate"/>
      </w:r>
      <w:r w:rsidR="009E486E" w:rsidRPr="00364D88">
        <w:rPr>
          <w:rFonts w:ascii="Arial" w:hAnsi="Arial" w:cs="Arial"/>
          <w:noProof/>
          <w:lang w:val="en-GB"/>
        </w:rPr>
        <w:t xml:space="preserve">(Enríquez </w:t>
      </w:r>
      <w:r w:rsidR="009E486E" w:rsidRPr="00364D88">
        <w:rPr>
          <w:rFonts w:ascii="Arial" w:hAnsi="Arial" w:cs="Arial"/>
          <w:i/>
          <w:noProof/>
          <w:lang w:val="en-GB"/>
        </w:rPr>
        <w:t>et al.</w:t>
      </w:r>
      <w:r w:rsidR="009E486E" w:rsidRPr="00364D88">
        <w:rPr>
          <w:rFonts w:ascii="Arial" w:hAnsi="Arial" w:cs="Arial"/>
          <w:noProof/>
          <w:lang w:val="en-GB"/>
        </w:rPr>
        <w:t xml:space="preserve">, 1993; Kozovits </w:t>
      </w:r>
      <w:r w:rsidR="009E486E" w:rsidRPr="00364D88">
        <w:rPr>
          <w:rFonts w:ascii="Arial" w:hAnsi="Arial" w:cs="Arial"/>
          <w:i/>
          <w:noProof/>
          <w:lang w:val="en-GB"/>
        </w:rPr>
        <w:t>et al.</w:t>
      </w:r>
      <w:r w:rsidR="009E486E" w:rsidRPr="00364D88">
        <w:rPr>
          <w:rFonts w:ascii="Arial" w:hAnsi="Arial" w:cs="Arial"/>
          <w:noProof/>
          <w:lang w:val="en-GB"/>
        </w:rPr>
        <w:t>, 2007)</w:t>
      </w:r>
      <w:r w:rsidR="00B0727D" w:rsidRPr="00364D88">
        <w:rPr>
          <w:rFonts w:ascii="Arial" w:hAnsi="Arial" w:cs="Arial"/>
          <w:lang w:val="en-GB"/>
        </w:rPr>
        <w:fldChar w:fldCharType="end"/>
      </w:r>
      <w:r w:rsidR="00480D19" w:rsidRPr="00364D88">
        <w:rPr>
          <w:rFonts w:ascii="Arial" w:hAnsi="Arial" w:cs="Arial"/>
          <w:lang w:val="en-GB"/>
        </w:rPr>
        <w:t xml:space="preserve">. </w:t>
      </w:r>
      <w:r w:rsidR="00AB455C" w:rsidRPr="00364D88">
        <w:rPr>
          <w:rFonts w:ascii="Arial" w:hAnsi="Arial" w:cs="Arial"/>
          <w:lang w:val="en-GB"/>
        </w:rPr>
        <w:t xml:space="preserve">The hypothesis that nutrient imbalances (C:N:P) and </w:t>
      </w:r>
      <w:r w:rsidR="00A079B6" w:rsidRPr="00364D88">
        <w:rPr>
          <w:rFonts w:ascii="Arial" w:hAnsi="Arial" w:cs="Arial"/>
          <w:lang w:val="en-GB"/>
        </w:rPr>
        <w:t xml:space="preserve">retarded </w:t>
      </w:r>
      <w:r w:rsidR="00AB455C" w:rsidRPr="00364D88">
        <w:rPr>
          <w:rFonts w:ascii="Arial" w:hAnsi="Arial" w:cs="Arial"/>
          <w:lang w:val="en-GB"/>
        </w:rPr>
        <w:t xml:space="preserve">decomposition may increase C sink capacity has actually also been suggested as one of the potential explanations </w:t>
      </w:r>
      <w:r w:rsidR="00A079B6" w:rsidRPr="00364D88">
        <w:rPr>
          <w:rFonts w:ascii="Arial" w:hAnsi="Arial" w:cs="Arial"/>
          <w:lang w:val="en-GB"/>
        </w:rPr>
        <w:t xml:space="preserve">for </w:t>
      </w:r>
      <w:r w:rsidR="00AB455C" w:rsidRPr="00364D88">
        <w:rPr>
          <w:rFonts w:ascii="Arial" w:hAnsi="Arial" w:cs="Arial"/>
          <w:lang w:val="en-GB"/>
        </w:rPr>
        <w:t xml:space="preserve">the </w:t>
      </w:r>
      <w:r w:rsidR="00093B0C" w:rsidRPr="00364D88">
        <w:rPr>
          <w:rFonts w:ascii="Arial" w:hAnsi="Arial" w:cs="Arial"/>
          <w:lang w:val="en-GB"/>
        </w:rPr>
        <w:t>recent increases in NEP in Asia</w:t>
      </w:r>
      <w:r w:rsidR="009E486E" w:rsidRPr="00364D88">
        <w:rPr>
          <w:rFonts w:ascii="Arial" w:hAnsi="Arial" w:cs="Arial"/>
          <w:lang w:val="en-GB"/>
        </w:rPr>
        <w:t xml:space="preserve"> </w:t>
      </w:r>
      <w:r w:rsidR="00AC14ED"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10.1038/s41558-018-0367-7","ISSN":"1758-678X","author":[{"dropping-particle":"","family":"Fernández-Martínez","given":"M.","non-dropping-particle":"","parse-names":false,"suffix":""},{"dropping-particle":"","family":"Sardans","given":"J.","non-dropping-particle":"","parse-names":false,"suffix":""},{"dropping-particle":"","family":"Chevallier","given":"F.","non-dropping-particle":"","parse-names":false,"suffix":""},{"dropping-particle":"","family":"Ciais","given":"P.","non-dropping-particle":"","parse-names":false,"suffix":""},{"dropping-particle":"","family":"Obersteiner","given":"M.","non-dropping-particle":"","parse-names":false,"suffix":""},{"dropping-particle":"","family":"Vicca","given":"S.","non-dropping-particle":"","parse-names":false,"suffix":""},{"dropping-particle":"","family":"Canadell","given":"J. G.","non-dropping-particle":"","parse-names":false,"suffix":""},{"dropping-particle":"","family":"Bastos","given":"A.","non-dropping-particle":"","parse-names":false,"suffix":""},{"dropping-particle":"","family":"Friedlingstein","given":"P.","non-dropping-particle":"","parse-names":false,"suffix":""},{"dropping-particle":"","family":"Sitch","given":"S.","non-dropping-particle":"","parse-names":false,"suffix":""},{"dropping-particle":"","family":"Piao","given":"S. L.","non-dropping-particle":"","parse-names":false,"suffix":""},{"dropping-particle":"","family":"Janssens","given":"I. A.","non-dropping-particle":"","parse-names":false,"suffix":""},{"dropping-particle":"","family":"Peñuelas","given":"J.","non-dropping-particle":"","parse-names":false,"suffix":""}],"container-title":"Nature Climate Change","id":"ITEM-1","issued":{"date-parts":[["2019"]]},"page":"73–79","title":"Global trends in carbon sinks and their relationships with CO2 and temperature","type":"article-journal","volume":"9"},"uris":["http://www.mendeley.com/documents/?uuid=117b7c6c-43db-4c05-b8e2-a45fe95172d5"]}],"mendeley":{"formattedCitation":"(Fernández-Martínez &lt;i&gt;et al.&lt;/i&gt;, 2019)","plainTextFormattedCitation":"(Fernández-Martínez et al., 2019)","previouslyFormattedCitation":"(Fernández-Martínez &lt;i&gt;et al.&lt;/i&gt;, 2019)"},"properties":{"noteIndex":0},"schema":"https://github.com/citation-style-language/schema/raw/master/csl-citation.json"}</w:instrText>
      </w:r>
      <w:r w:rsidR="00AC14ED" w:rsidRPr="00364D88">
        <w:rPr>
          <w:rFonts w:ascii="Arial" w:hAnsi="Arial" w:cs="Arial"/>
          <w:lang w:val="en-GB"/>
        </w:rPr>
        <w:fldChar w:fldCharType="separate"/>
      </w:r>
      <w:r w:rsidR="009E486E" w:rsidRPr="00364D88">
        <w:rPr>
          <w:rFonts w:ascii="Arial" w:hAnsi="Arial" w:cs="Arial"/>
          <w:noProof/>
          <w:lang w:val="en-GB"/>
        </w:rPr>
        <w:t xml:space="preserve">(Fernández-Martínez </w:t>
      </w:r>
      <w:r w:rsidR="009E486E" w:rsidRPr="00364D88">
        <w:rPr>
          <w:rFonts w:ascii="Arial" w:hAnsi="Arial" w:cs="Arial"/>
          <w:i/>
          <w:noProof/>
          <w:lang w:val="en-GB"/>
        </w:rPr>
        <w:t>et al.</w:t>
      </w:r>
      <w:r w:rsidR="009E486E" w:rsidRPr="00364D88">
        <w:rPr>
          <w:rFonts w:ascii="Arial" w:hAnsi="Arial" w:cs="Arial"/>
          <w:noProof/>
          <w:lang w:val="en-GB"/>
        </w:rPr>
        <w:t>, 2019)</w:t>
      </w:r>
      <w:r w:rsidR="00AC14ED" w:rsidRPr="00364D88">
        <w:rPr>
          <w:rFonts w:ascii="Arial" w:hAnsi="Arial" w:cs="Arial"/>
          <w:lang w:val="en-GB"/>
        </w:rPr>
        <w:fldChar w:fldCharType="end"/>
      </w:r>
      <w:r w:rsidR="00AC14ED" w:rsidRPr="00364D88">
        <w:rPr>
          <w:rFonts w:ascii="Arial" w:hAnsi="Arial" w:cs="Arial"/>
          <w:lang w:val="en-GB"/>
        </w:rPr>
        <w:t xml:space="preserve"> given</w:t>
      </w:r>
      <w:r w:rsidR="00A079B6" w:rsidRPr="00364D88">
        <w:rPr>
          <w:rFonts w:ascii="Arial" w:hAnsi="Arial" w:cs="Arial"/>
          <w:lang w:val="en-GB"/>
        </w:rPr>
        <w:t xml:space="preserve"> </w:t>
      </w:r>
      <w:r w:rsidR="00AB455C" w:rsidRPr="00364D88">
        <w:rPr>
          <w:rFonts w:ascii="Arial" w:hAnsi="Arial" w:cs="Arial"/>
          <w:lang w:val="en-GB"/>
        </w:rPr>
        <w:t xml:space="preserve">the </w:t>
      </w:r>
      <w:r w:rsidR="00AC14ED" w:rsidRPr="00364D88">
        <w:rPr>
          <w:rFonts w:ascii="Arial" w:hAnsi="Arial" w:cs="Arial"/>
          <w:lang w:val="en-GB"/>
        </w:rPr>
        <w:t xml:space="preserve">higher </w:t>
      </w:r>
      <w:r w:rsidR="00AB455C" w:rsidRPr="00364D88">
        <w:rPr>
          <w:rFonts w:ascii="Arial" w:hAnsi="Arial" w:cs="Arial"/>
          <w:lang w:val="en-GB"/>
        </w:rPr>
        <w:t xml:space="preserve">positive effect of </w:t>
      </w:r>
      <w:r w:rsidR="00A079B6" w:rsidRPr="00364D88">
        <w:rPr>
          <w:rFonts w:ascii="Arial" w:hAnsi="Arial" w:cs="Arial"/>
          <w:lang w:val="en-GB"/>
        </w:rPr>
        <w:t xml:space="preserve">the declining </w:t>
      </w:r>
      <w:r w:rsidR="00B5521D" w:rsidRPr="00364D88">
        <w:rPr>
          <w:rFonts w:ascii="Arial" w:hAnsi="Arial" w:cs="Arial"/>
          <w:lang w:val="en-GB"/>
        </w:rPr>
        <w:t>sulphur (</w:t>
      </w:r>
      <w:r w:rsidR="00AB455C" w:rsidRPr="00364D88">
        <w:rPr>
          <w:rFonts w:ascii="Arial" w:hAnsi="Arial" w:cs="Arial"/>
          <w:lang w:val="en-GB"/>
        </w:rPr>
        <w:t>S</w:t>
      </w:r>
      <w:r w:rsidR="00B5521D" w:rsidRPr="00364D88">
        <w:rPr>
          <w:rFonts w:ascii="Arial" w:hAnsi="Arial" w:cs="Arial"/>
          <w:lang w:val="en-GB"/>
        </w:rPr>
        <w:t>)</w:t>
      </w:r>
      <w:r w:rsidR="00AB455C" w:rsidRPr="00364D88">
        <w:rPr>
          <w:rFonts w:ascii="Arial" w:hAnsi="Arial" w:cs="Arial"/>
          <w:lang w:val="en-GB"/>
        </w:rPr>
        <w:t xml:space="preserve"> deposition on </w:t>
      </w:r>
      <w:r w:rsidR="00AC14ED" w:rsidRPr="00364D88">
        <w:rPr>
          <w:rFonts w:ascii="Arial" w:hAnsi="Arial" w:cs="Arial"/>
          <w:lang w:val="en-GB"/>
        </w:rPr>
        <w:t>Re than GPP</w:t>
      </w:r>
      <w:r w:rsidR="00AB455C" w:rsidRPr="00364D88">
        <w:rPr>
          <w:rFonts w:ascii="Arial" w:hAnsi="Arial" w:cs="Arial"/>
          <w:lang w:val="en-GB"/>
        </w:rPr>
        <w:t xml:space="preserve"> </w:t>
      </w:r>
      <w:r w:rsidR="00AC14ED" w:rsidRPr="00364D88">
        <w:rPr>
          <w:rFonts w:ascii="Arial" w:hAnsi="Arial" w:cs="Arial"/>
          <w:lang w:val="en-GB"/>
        </w:rPr>
        <w:t>found in forests</w:t>
      </w:r>
      <w:r w:rsidR="009E486E" w:rsidRPr="00364D88">
        <w:rPr>
          <w:rFonts w:ascii="Arial" w:hAnsi="Arial" w:cs="Arial"/>
          <w:lang w:val="en-GB"/>
        </w:rPr>
        <w:t xml:space="preserve"> </w:t>
      </w:r>
      <w:r w:rsidR="00AB455C"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{"citationItems":[{"id":"ITEM-1","itemData":{"DOI":"10.1007/s13398-014-0173-7.2","ISBN":"1726-4189","ISSN":"0717-6163","PMID":"15003161","abstract":"Concentrations of atmospheric carbon dioxide (CO2) have continued to increase whereas atmospheric deposition of sulphur and nitrogen has declined in Europe and the USA during recent decades. Using time series of flux observations from 23 forests distributed throughout Europe and the USA, and generalised mixed models, we found that forest-level net ecosystem production and gross primary production have increased by 1% annually from 1995 to 2011. Statistical models indicated that increasing atmospheric CO2 was the most important factor driving the increasing strength of carbon sinks in these forests. We also found that the reduction of sulphur deposition in Europe and the USA lead to higher recovery in ecosystem respiration than in gross primary production, thus limiting the increase of carbon sequestration. By contrast, trends in climate and nitrogen deposition did not significantly contribute to changing carbon fluxes during the studied period. Our findings support the hypothesis of a general CO2-fertilization effect on vegetation growth and suggest that, so far unknown, sulphur deposition plays a significant role in the carbon balance of forests in industrialized regions. Our results show the need to include the effects of changing atmospheric composition, beyond CO2, to assess future dynamics of carbon-climate feedbacks not currently considered in earth system/climate modelling.","author":[{"dropping-particle":"","family":"Fernández-Martínez","given":"Marcos","non-dropping-particle":"","parse-names":false,"suffix":""},{"dropping-particle":"","family":"Vicca","given":"Sara","non-dropping-particle":"","parse-names":false,"suffix":""},{"dropping-particle":"","family":"Janssens","given":"Ivan. A.","non-dropping-particle":"","parse-names":false,"suffix":""},{"dropping-particle":"","family":"Ciais","given":"Philippe","non-dropping-particle":"","parse-names":false,"suffix":""},{"dropping-particle":"","family":"Obersteiner","given":"Michael","non-dropping-particle":"","parse-names":false,"suffix":""},{"dropping-particle":"","family":"Bartrons","given":"Mireia","non-dropping-particle":"","parse-names":false,"suffix":""},{"dropping-particle":"","family":"Sardans","given":"Jordi","non-dropping-particle":"","parse-names":false,"suffix":""},{"dropping-particle":"","family":"Verger","given":"Aleixandre","non-dropping-particle":"","parse-names":false,"suffix":""},{"dropping-particle":"","family":"Canadell","given":"Josep G.","non-dropping-particle":"","parse-names":false,"suffix":""},{"dropping-particle":"","family":"Chevallier","given":"Frédéric","non-dropping-particle":"","parse-names":false,"suffix":""},{"dropping-particle":"","family":"Wang","given":"Xuhui","non-dropping-particle":"","parse-names":false,"suffix":""},{"dropping-particle":"","family":"Bernhofer","given":"Christian","non-dropping-particle":"","parse-names":false,"suffix":""},{"dropping-particle":"","family":"Curtis","given":"Peter S.","non-dropping-particle":"","parse-names":false,"suffix":""},{"dropping-particle":"","family":"Gianelle","given":"Damiano","non-dropping-particle":"","parse-names":false,"suffix":""}],"container-title":"Scientific Reports","id":"ITEM-1","issue":"July","issued":{"date-parts":[["2017"]]},"page":"1-13","title":"Atmospheric deposition, CO2, and change in the land carbon sink","type":"article-journal","volume":"7:9632"},"uris":["http://www.mendeley.com/documents/?uuid=b7950bae-967d-46a8-8d39-a87ee535e37e"]}],"mendeley":{"formattedCitation":"(Fernández-Martínez &lt;i&gt;et al.&lt;/i&gt;, 2017)","plainTextFormattedCitation":"(Fernández-Martínez et al., 2017)","previouslyFormattedCitation":"(Fernández-Martínez &lt;i&gt;et al.&lt;/i&gt;, 2017)"},"properties":{"noteIndex":0},"schema":"https://github.com/citation-style-language/schema/raw/master/csl-citation.json"}</w:instrText>
      </w:r>
      <w:r w:rsidR="00AB455C" w:rsidRPr="00364D88">
        <w:rPr>
          <w:rFonts w:ascii="Arial" w:hAnsi="Arial" w:cs="Arial"/>
          <w:lang w:val="en-GB"/>
        </w:rPr>
        <w:fldChar w:fldCharType="separate"/>
      </w:r>
      <w:r w:rsidR="009E486E" w:rsidRPr="00364D88">
        <w:rPr>
          <w:rFonts w:ascii="Arial" w:hAnsi="Arial" w:cs="Arial"/>
          <w:noProof/>
          <w:lang w:val="en-GB"/>
        </w:rPr>
        <w:t xml:space="preserve">(Fernández-Martínez </w:t>
      </w:r>
      <w:r w:rsidR="009E486E" w:rsidRPr="00364D88">
        <w:rPr>
          <w:rFonts w:ascii="Arial" w:hAnsi="Arial" w:cs="Arial"/>
          <w:i/>
          <w:noProof/>
          <w:lang w:val="en-GB"/>
        </w:rPr>
        <w:t>et al.</w:t>
      </w:r>
      <w:r w:rsidR="009E486E" w:rsidRPr="00364D88">
        <w:rPr>
          <w:rFonts w:ascii="Arial" w:hAnsi="Arial" w:cs="Arial"/>
          <w:noProof/>
          <w:lang w:val="en-GB"/>
        </w:rPr>
        <w:t>, 2017)</w:t>
      </w:r>
      <w:r w:rsidR="00AB455C" w:rsidRPr="00364D88">
        <w:rPr>
          <w:rFonts w:ascii="Arial" w:hAnsi="Arial" w:cs="Arial"/>
          <w:lang w:val="en-GB"/>
        </w:rPr>
        <w:fldChar w:fldCharType="end"/>
      </w:r>
      <w:r w:rsidR="00AB455C" w:rsidRPr="00364D88">
        <w:rPr>
          <w:rFonts w:ascii="Arial" w:hAnsi="Arial" w:cs="Arial"/>
          <w:lang w:val="en-GB"/>
        </w:rPr>
        <w:t xml:space="preserve">. </w:t>
      </w:r>
      <w:r w:rsidR="00D81BE8" w:rsidRPr="00364D88">
        <w:rPr>
          <w:rFonts w:ascii="Arial" w:hAnsi="Arial" w:cs="Arial"/>
          <w:lang w:val="en-GB"/>
        </w:rPr>
        <w:t>However, our results indicated that</w:t>
      </w:r>
      <w:r w:rsidR="009D0751" w:rsidRPr="00364D88">
        <w:rPr>
          <w:rFonts w:ascii="Arial" w:hAnsi="Arial" w:cs="Arial"/>
          <w:lang w:val="en-GB"/>
        </w:rPr>
        <w:t xml:space="preserve"> </w:t>
      </w:r>
      <w:r w:rsidR="00D81BE8" w:rsidRPr="00364D88">
        <w:rPr>
          <w:rFonts w:ascii="Arial" w:hAnsi="Arial" w:cs="Arial"/>
          <w:lang w:val="en-GB"/>
        </w:rPr>
        <w:t>foliar nutrients played a very limited role explaining CUEe, presenting a negative relationship between foliar N and CUEe across shru</w:t>
      </w:r>
      <w:r w:rsidR="004E502E" w:rsidRPr="00364D88">
        <w:rPr>
          <w:rFonts w:ascii="Arial" w:hAnsi="Arial" w:cs="Arial"/>
          <w:lang w:val="en-GB"/>
        </w:rPr>
        <w:t xml:space="preserve">blands, savannas and grasslands once MAP and species diversity were taken into account </w:t>
      </w:r>
      <w:r w:rsidR="00D81BE8" w:rsidRPr="00364D88">
        <w:rPr>
          <w:rFonts w:ascii="Arial" w:hAnsi="Arial" w:cs="Arial"/>
          <w:b/>
          <w:lang w:val="en-GB"/>
        </w:rPr>
        <w:t>(Fig</w:t>
      </w:r>
      <w:r w:rsidR="00C823F7">
        <w:rPr>
          <w:rFonts w:ascii="Arial" w:hAnsi="Arial" w:cs="Arial"/>
          <w:b/>
          <w:lang w:val="en-GB"/>
        </w:rPr>
        <w:t>.</w:t>
      </w:r>
      <w:r w:rsidR="00D81BE8" w:rsidRPr="00364D88">
        <w:rPr>
          <w:rFonts w:ascii="Arial" w:hAnsi="Arial" w:cs="Arial"/>
          <w:b/>
          <w:lang w:val="en-GB"/>
        </w:rPr>
        <w:t xml:space="preserve"> 4)</w:t>
      </w:r>
      <w:r w:rsidR="00D81BE8" w:rsidRPr="00364D88">
        <w:rPr>
          <w:rFonts w:ascii="Arial" w:hAnsi="Arial" w:cs="Arial"/>
          <w:lang w:val="en-GB"/>
        </w:rPr>
        <w:t xml:space="preserve">. </w:t>
      </w:r>
      <w:r w:rsidR="008A65E5" w:rsidRPr="00364D88">
        <w:rPr>
          <w:rFonts w:ascii="Arial" w:hAnsi="Arial" w:cs="Arial"/>
          <w:lang w:val="en-GB"/>
        </w:rPr>
        <w:t>T</w:t>
      </w:r>
      <w:r w:rsidR="00D81BE8" w:rsidRPr="00364D88">
        <w:rPr>
          <w:rFonts w:ascii="Arial" w:hAnsi="Arial" w:cs="Arial"/>
          <w:lang w:val="en-GB"/>
        </w:rPr>
        <w:t xml:space="preserve">hese results are </w:t>
      </w:r>
      <w:r w:rsidR="000F7348" w:rsidRPr="00364D88">
        <w:rPr>
          <w:rFonts w:ascii="Arial" w:hAnsi="Arial" w:cs="Arial"/>
          <w:lang w:val="en-GB"/>
        </w:rPr>
        <w:t>counterintuitive considering the positive effect that foliar N generally has on GPP</w:t>
      </w:r>
      <w:r w:rsidR="009E486E" w:rsidRPr="00364D88">
        <w:rPr>
          <w:rFonts w:ascii="Arial" w:hAnsi="Arial" w:cs="Arial"/>
          <w:lang w:val="en-GB"/>
        </w:rPr>
        <w:t xml:space="preserve"> </w:t>
      </w:r>
      <w:r w:rsidR="000F7348" w:rsidRPr="00364D88">
        <w:rPr>
          <w:rFonts w:ascii="Arial" w:hAnsi="Arial" w:cs="Arial"/>
          <w:lang w:val="en-GB"/>
        </w:rPr>
        <w:fldChar w:fldCharType="begin" w:fldLock="1"/>
      </w:r>
      <w:r w:rsidR="00114B12" w:rsidRPr="00364D88">
        <w:rPr>
          <w:rFonts w:ascii="Arial" w:hAnsi="Arial" w:cs="Arial"/>
          <w:lang w:val="en-GB"/>
        </w:rPr>
        <w:instrText xml:space="preserve">ADDIN CSL_CITATION {"citationItems":[{"id":"ITEM-1","itemData":{"DOI":"10.1002/gbc.20026","ISSN":"08866236","abstract":"Global terrestrial carbon (C) sequestration has increased over the last few decades. The drivers of carbon sequestration, the geographical spread and magnitude of this sink are however hotly debated. Photosynthesis determines the total C uptake of terrestrial ecosystems and is a major flux of the global C balance. We contribute to the discussion on enhanced C sequestration by analyzing the influence of nitrogen (N) deposition on photosynthetic capacity (Amax) of forest canopies. Eddy covariance measurements of net exchange of carbon provide estimates of gross primary production, from which Amax is derived with a novel approach. Canopy Amax is combined with modeled N deposition, environmental variables and stand characteristics to study the relative effects on Amax for a unique global data set of 80 forest FLUXNET sites. Canopy Amax relates positively to N deposition for evergreen needleleaf forests below an observed critical load of </w:instrText>
      </w:r>
      <w:r w:rsidR="00114B12" w:rsidRPr="00364D88">
        <w:rPr>
          <w:rFonts w:ascii="Cambria Math" w:hAnsi="Cambria Math" w:cs="Cambria Math"/>
          <w:lang w:val="en-GB"/>
        </w:rPr>
        <w:instrText>∼</w:instrText>
      </w:r>
      <w:r w:rsidR="00114B12" w:rsidRPr="00364D88">
        <w:rPr>
          <w:rFonts w:ascii="Arial" w:hAnsi="Arial" w:cs="Arial"/>
          <w:lang w:val="en-GB"/>
        </w:rPr>
        <w:instrText xml:space="preserve"> 8 kg N ha-1 yr-1, with a slope of 2.0 ± 0.4 (S.E.) μmol CO2 m-2 s-1 per 1 kg N ha-1 yr-1. Above this threshold canopy A max levels off, exhibiting a saturating response in line with the N saturation hypothesis. Climate effects on canopy Amax cannot be separated from the effect of N deposition due to considerable covariation. For deciduous broadleaf forests and forests in the temperate (-continental) climate zones, the analysis shows the N deposition effect to be either small or absent. Leaf area index and foliar N concentration are positively but weakly related to Amax. We conclude that flux tower measurements of C fluxes provide valuable data to study physiological processes at the canopy scale. Future efforts need to be directed toward standardizing measures N cycling and pools within C monitoring networks to gain a better understanding of C and N interactions, and to disentangle the role of climate and N deposition in forest ecosystems. ©2013. American Geophysical Union. All Rights Reserved.","author":[{"dropping-particle":"","family":"Fleischer","given":"K.","non-dropping-particle":"","parse-names":false,"suffix":""},{"dropping-particle":"","family":"Rebel","given":"K. T.","non-dropping-particle":"","parse-names":false,"suffix":""},{"dropping-particle":"","family":"Molen","given":"M. K.","non-dropping-particle":"Van Der","parse-names":false,"suffix":""},{"dropping-particle":"","family":"Erisman","given":"J. W.","non-dropping-particle":"","parse-names":false,"suffix":""},{"dropping-particle":"","family":"Wassen","given":"M. J.","non-dropping-particle":"","parse-names":false,"suffix":""},{"dropping-particle":"","family":"Loon","given":"E. E.","non-dropping-particle":"Van","parse-names":false,"suffix":""},{"dropping-particle":"","family":"Montagnani","given":"L.","non-dropping-particle":"","parse-names":false,"suffix":""},{"dropping-particle":"","family":"Gough","given":"C. M.","non-dropping-particle":"","parse-names":false,"suffix":""},{"dropping-particle":"","family":"Herbst","given":"M.","non-dropping-particle":"","parse-names":false,"suffix":""},{"dropping-particle":"","family":"Janssens","given":"I. A.","non-dropping-particle":"","parse-names":false,"suffix":""},{"dropping-particle":"","family":"Gianelle","given":"D.","non-dropping-particle":"","parse-names":false,"suffix":""},{"dropping-particle":"","family":"Dolman","given":"A. J.","non-dropping-particle":"","parse-names":false,"suffix":""}],"container-title":"Global Biogeochemical Cycles","id":"ITEM-1","issue":"1","issued":{"date-parts":[["2013"]]},"page":"187-199","title":"The contribution of nitrogen deposition to the photosynthetic capacity of forests","type":"article-journal","volume":"27"},"uris":["http://www.mendeley.com/documents/?uuid=2c3e0fa5-2899-4326-b915-c08ff926e516"]}],"mendeley":{"formattedCitation":"(Fleischer &lt;i&gt;et al.&lt;/i&gt;, 2013)","plainTextFormattedCitation":"(Fleischer et al., 2013)","previouslyFormattedCitation":"(Fleischer &lt;i&gt;et al.&lt;/i&gt;, 2013)"},"properties":{"noteIndex":0},"schema":"https://github.com/citation-style-language/schema/raw/master/csl-citation.json"}</w:instrText>
      </w:r>
      <w:r w:rsidR="000F7348" w:rsidRPr="00364D88">
        <w:rPr>
          <w:rFonts w:ascii="Arial" w:hAnsi="Arial" w:cs="Arial"/>
          <w:lang w:val="en-GB"/>
        </w:rPr>
        <w:fldChar w:fldCharType="separate"/>
      </w:r>
      <w:r w:rsidR="009E486E" w:rsidRPr="00364D88">
        <w:rPr>
          <w:rFonts w:ascii="Arial" w:hAnsi="Arial" w:cs="Arial"/>
          <w:noProof/>
          <w:lang w:val="en-GB"/>
        </w:rPr>
        <w:t xml:space="preserve">(Fleischer </w:t>
      </w:r>
      <w:r w:rsidR="009E486E" w:rsidRPr="00364D88">
        <w:rPr>
          <w:rFonts w:ascii="Arial" w:hAnsi="Arial" w:cs="Arial"/>
          <w:i/>
          <w:noProof/>
          <w:lang w:val="en-GB"/>
        </w:rPr>
        <w:t>et al.</w:t>
      </w:r>
      <w:r w:rsidR="009E486E" w:rsidRPr="00364D88">
        <w:rPr>
          <w:rFonts w:ascii="Arial" w:hAnsi="Arial" w:cs="Arial"/>
          <w:noProof/>
          <w:lang w:val="en-GB"/>
        </w:rPr>
        <w:t>, 2013)</w:t>
      </w:r>
      <w:r w:rsidR="000F7348" w:rsidRPr="00364D88">
        <w:rPr>
          <w:rFonts w:ascii="Arial" w:hAnsi="Arial" w:cs="Arial"/>
          <w:lang w:val="en-GB"/>
        </w:rPr>
        <w:fldChar w:fldCharType="end"/>
      </w:r>
      <w:r w:rsidR="000F7348" w:rsidRPr="00364D88">
        <w:rPr>
          <w:rFonts w:ascii="Arial" w:hAnsi="Arial" w:cs="Arial"/>
          <w:lang w:val="en-GB"/>
        </w:rPr>
        <w:t xml:space="preserve"> for which they could only be explained because of a</w:t>
      </w:r>
      <w:r w:rsidR="00770035" w:rsidRPr="00364D88">
        <w:rPr>
          <w:rFonts w:ascii="Arial" w:hAnsi="Arial" w:cs="Arial"/>
          <w:lang w:val="en-GB"/>
        </w:rPr>
        <w:t xml:space="preserve"> proportionally higher </w:t>
      </w:r>
      <w:r w:rsidR="000F7348" w:rsidRPr="00364D88">
        <w:rPr>
          <w:rFonts w:ascii="Arial" w:hAnsi="Arial" w:cs="Arial"/>
          <w:lang w:val="en-GB"/>
        </w:rPr>
        <w:t xml:space="preserve">increase in Re </w:t>
      </w:r>
      <w:r w:rsidR="00770035" w:rsidRPr="00364D88">
        <w:rPr>
          <w:rFonts w:ascii="Arial" w:hAnsi="Arial" w:cs="Arial"/>
          <w:lang w:val="en-GB"/>
        </w:rPr>
        <w:t xml:space="preserve">than in GPP </w:t>
      </w:r>
      <w:r w:rsidR="000F7348" w:rsidRPr="00364D88">
        <w:rPr>
          <w:rFonts w:ascii="Arial" w:hAnsi="Arial" w:cs="Arial"/>
          <w:lang w:val="en-GB"/>
        </w:rPr>
        <w:t>due to high</w:t>
      </w:r>
      <w:r w:rsidR="00093B0C" w:rsidRPr="00364D88">
        <w:rPr>
          <w:rFonts w:ascii="Arial" w:hAnsi="Arial" w:cs="Arial"/>
          <w:lang w:val="en-GB"/>
        </w:rPr>
        <w:t>er N availability in the litter</w:t>
      </w:r>
      <w:r w:rsidR="009E486E" w:rsidRPr="00364D88">
        <w:rPr>
          <w:rFonts w:ascii="Arial" w:hAnsi="Arial" w:cs="Arial"/>
          <w:lang w:val="en-GB"/>
        </w:rPr>
        <w:t xml:space="preserve"> </w:t>
      </w:r>
      <w:r w:rsidR="000F7348"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{"citationItems":[{"id":"ITEM-1","itemData":{"DOI":"10.1007/s004420000615","ISSN":"0029-8549","PMID":"24577644","abstract":"The results of published and unpublished experiments investigating the impacts of elevated [CO2] on the chemistry of leaf litter and decomposition of plant tissues are summarized. The data do not support the hypothesis that changes in leaf litter chemistry often associated with growing plants under elevated [CO2] have an impact on decomposition processes. A meta-analysis of data from naturally senesced leaves in field experiments showed that the nitrogen (N) concentration in leaf litter was 7.1% lower in elevated [CO2] compared to that in ambient [CO2]. This statistically significant difference was: (1) usually not significant in individual experiments, (2) much less than that often observed in green leaves, and (3) less in leaves with an N concentration indicative of complete N resorption. Under ideal conditions, the efficiency with which N is resorbed during leaf senescence was found not to be altered by CO2 enrichment, but other environmental influences on resorption inevitably increase the variability in litter N concentration. Nevertheless, the small but consistent decline in leaf litter N concentration in many experiments, coupled with a 6.5% increase in lignin concentration, would be predicted to result in a slower decomposition rate in CO2-enriched litter. However, across the assembled data base, neither mass loss nor respiration rates from litter produced in elevated [CO2] showed any consistent pattern or differences from litter grown in ambient [CO2]. The effects of [CO2] on litter chemistry or decomposition were usually smallest under experimental conditions similar to natural field conditions, including open-field exposure, plants free-rooted in the ground, and complete senescence. It is concluded that any changes in decomposition rates resulting from exposure of plants to elevated [CO2] are small when compared to other potential impacts of elevated [CO2] on carbon and N cycling. Reasons for experimental differences are considered, and recommendations for the design and execution of decomposition experiments using materials from CO2-enrichment experiments are outlined.","author":[{"dropping-particle":"","family":"Norby","given":"R J","non-dropping-particle":"","parse-names":false,"suffix":""},{"dropping-particle":"","family":"Cotrufo","given":"M F","non-dropping-particle":"","parse-names":false,"suffix":""},{"dropping-particle":"","family":"Ineson","given":"P","non-dropping-particle":"","parse-names":false,"suffix":""},{"dropping-particle":"","family":"O'Neill","given":"E G","non-dropping-particle":"","parse-names":false,"suffix":""},{"dropping-particle":"","family":"Canadell","given":"J G","non-dropping-particle":"","parse-names":false,"suffix":""}],"container-title":"Oecologia","id":"ITEM-1","issue":"2","issued":{"date-parts":[["2001","4"]]},"page":"153-65","title":"Elevated CO2, litter chemistry, and decomposition: a synthesis.","type":"article-journal","volume":"127"},"uris":["http://www.mendeley.com/documents/?uuid=2af0cb45-c028-44be-bb09-8db271b39ffe"]}],"mendeley":{"formattedCitation":"(Norby &lt;i&gt;et al.&lt;/i&gt;, 2001)","plainTextFormattedCitation":"(Norby et al., 2001)","previouslyFormattedCitation":"(Norby &lt;i&gt;et al.&lt;/i&gt;, 2001)"},"properties":{"noteIndex":0},"schema":"https://github.com/citation-style-language/schema/raw/master/csl-citation.json"}</w:instrText>
      </w:r>
      <w:r w:rsidR="000F7348" w:rsidRPr="00364D88">
        <w:rPr>
          <w:rFonts w:ascii="Arial" w:hAnsi="Arial" w:cs="Arial"/>
          <w:lang w:val="en-GB"/>
        </w:rPr>
        <w:fldChar w:fldCharType="separate"/>
      </w:r>
      <w:r w:rsidR="009E486E" w:rsidRPr="00364D88">
        <w:rPr>
          <w:rFonts w:ascii="Arial" w:hAnsi="Arial" w:cs="Arial"/>
          <w:noProof/>
          <w:lang w:val="en-GB"/>
        </w:rPr>
        <w:t xml:space="preserve">(Norby </w:t>
      </w:r>
      <w:r w:rsidR="009E486E" w:rsidRPr="00364D88">
        <w:rPr>
          <w:rFonts w:ascii="Arial" w:hAnsi="Arial" w:cs="Arial"/>
          <w:i/>
          <w:noProof/>
          <w:lang w:val="en-GB"/>
        </w:rPr>
        <w:t>et al.</w:t>
      </w:r>
      <w:r w:rsidR="009E486E" w:rsidRPr="00364D88">
        <w:rPr>
          <w:rFonts w:ascii="Arial" w:hAnsi="Arial" w:cs="Arial"/>
          <w:noProof/>
          <w:lang w:val="en-GB"/>
        </w:rPr>
        <w:t>, 2001)</w:t>
      </w:r>
      <w:r w:rsidR="000F7348" w:rsidRPr="00364D88">
        <w:rPr>
          <w:rFonts w:ascii="Arial" w:hAnsi="Arial" w:cs="Arial"/>
          <w:lang w:val="en-GB"/>
        </w:rPr>
        <w:fldChar w:fldCharType="end"/>
      </w:r>
      <w:r w:rsidR="004E502E" w:rsidRPr="00364D88">
        <w:rPr>
          <w:rFonts w:ascii="Arial" w:hAnsi="Arial" w:cs="Arial"/>
          <w:lang w:val="en-GB"/>
        </w:rPr>
        <w:t>, albeit that was not found in our analyses (</w:t>
      </w:r>
      <w:r w:rsidR="004E502E" w:rsidRPr="00364D88">
        <w:rPr>
          <w:rFonts w:ascii="Arial" w:hAnsi="Arial" w:cs="Arial"/>
          <w:b/>
          <w:lang w:val="en-GB"/>
        </w:rPr>
        <w:t>Fig</w:t>
      </w:r>
      <w:r w:rsidR="00C823F7">
        <w:rPr>
          <w:rFonts w:ascii="Arial" w:hAnsi="Arial" w:cs="Arial"/>
          <w:b/>
          <w:lang w:val="en-GB"/>
        </w:rPr>
        <w:t>.</w:t>
      </w:r>
      <w:r w:rsidR="004E502E" w:rsidRPr="00364D88">
        <w:rPr>
          <w:rFonts w:ascii="Arial" w:hAnsi="Arial" w:cs="Arial"/>
          <w:b/>
          <w:lang w:val="en-GB"/>
        </w:rPr>
        <w:t xml:space="preserve"> S3</w:t>
      </w:r>
      <w:r w:rsidR="004E502E" w:rsidRPr="00364D88">
        <w:rPr>
          <w:rFonts w:ascii="Arial" w:hAnsi="Arial" w:cs="Arial"/>
          <w:lang w:val="en-GB"/>
        </w:rPr>
        <w:t>)</w:t>
      </w:r>
      <w:r w:rsidR="00BA0FB2" w:rsidRPr="00364D88">
        <w:rPr>
          <w:rFonts w:ascii="Arial" w:hAnsi="Arial" w:cs="Arial"/>
          <w:lang w:val="en-US"/>
        </w:rPr>
        <w:t xml:space="preserve">. </w:t>
      </w:r>
      <w:r w:rsidR="00D81BE8" w:rsidRPr="00364D88">
        <w:rPr>
          <w:rFonts w:ascii="Arial" w:hAnsi="Arial" w:cs="Arial"/>
          <w:lang w:val="en-GB"/>
        </w:rPr>
        <w:t>Across forests, however, we found weak evidence suggesting that increasing foliar N translates into higher CUEe.</w:t>
      </w:r>
      <w:r w:rsidR="00BA0FB2" w:rsidRPr="00364D88">
        <w:rPr>
          <w:rFonts w:ascii="Arial" w:hAnsi="Arial" w:cs="Arial"/>
          <w:lang w:val="en-GB"/>
        </w:rPr>
        <w:t xml:space="preserve"> </w:t>
      </w:r>
      <w:r w:rsidR="00AE2917" w:rsidRPr="00364D88">
        <w:rPr>
          <w:rFonts w:ascii="Arial" w:hAnsi="Arial" w:cs="Arial"/>
          <w:lang w:val="en-GB"/>
        </w:rPr>
        <w:t xml:space="preserve">Further research is therefore </w:t>
      </w:r>
      <w:r w:rsidR="00FD4714" w:rsidRPr="00364D88">
        <w:rPr>
          <w:rFonts w:ascii="Arial" w:hAnsi="Arial" w:cs="Arial"/>
          <w:lang w:val="en-GB"/>
        </w:rPr>
        <w:t>needed</w:t>
      </w:r>
      <w:r w:rsidR="00AE2917" w:rsidRPr="00364D88">
        <w:rPr>
          <w:rFonts w:ascii="Arial" w:hAnsi="Arial" w:cs="Arial"/>
          <w:lang w:val="en-GB"/>
        </w:rPr>
        <w:t xml:space="preserve"> to </w:t>
      </w:r>
      <w:r w:rsidR="00A27B4F" w:rsidRPr="00364D88">
        <w:rPr>
          <w:rFonts w:ascii="Arial" w:hAnsi="Arial" w:cs="Arial"/>
          <w:lang w:val="en-GB"/>
        </w:rPr>
        <w:t xml:space="preserve">corroborate these findings and </w:t>
      </w:r>
      <w:r w:rsidR="00AE2917" w:rsidRPr="00364D88">
        <w:rPr>
          <w:rFonts w:ascii="Arial" w:hAnsi="Arial" w:cs="Arial"/>
          <w:lang w:val="en-GB"/>
        </w:rPr>
        <w:t xml:space="preserve">identify the mechanisms driving </w:t>
      </w:r>
      <w:r w:rsidR="00A27B4F" w:rsidRPr="00364D88">
        <w:rPr>
          <w:rFonts w:ascii="Arial" w:hAnsi="Arial" w:cs="Arial"/>
          <w:lang w:val="en-GB"/>
        </w:rPr>
        <w:t>them</w:t>
      </w:r>
      <w:r w:rsidR="00AE2917" w:rsidRPr="00364D88">
        <w:rPr>
          <w:rFonts w:ascii="Arial" w:hAnsi="Arial" w:cs="Arial"/>
          <w:lang w:val="en-GB"/>
        </w:rPr>
        <w:t xml:space="preserve">. </w:t>
      </w:r>
    </w:p>
    <w:p w14:paraId="390A03AA" w14:textId="6E15ED3E" w:rsidR="00465DF5" w:rsidRPr="00364D88" w:rsidRDefault="00465DF5" w:rsidP="00FD4714">
      <w:pPr>
        <w:spacing w:line="360" w:lineRule="auto"/>
        <w:jc w:val="both"/>
        <w:outlineLvl w:val="0"/>
        <w:rPr>
          <w:rFonts w:ascii="Arial" w:hAnsi="Arial" w:cs="Arial"/>
          <w:lang w:val="en-GB"/>
        </w:rPr>
      </w:pPr>
      <w:r w:rsidRPr="00364D88">
        <w:rPr>
          <w:rFonts w:ascii="Arial" w:hAnsi="Arial" w:cs="Arial"/>
          <w:lang w:val="en-GB"/>
        </w:rPr>
        <w:t>Despite the fact that temporal variability in C fluxes are negatively related to C fluxes themselves (</w:t>
      </w:r>
      <w:r w:rsidR="00C823F7">
        <w:rPr>
          <w:rFonts w:ascii="Arial" w:hAnsi="Arial" w:cs="Arial"/>
          <w:b/>
          <w:lang w:val="en-GB"/>
        </w:rPr>
        <w:t>Fig.</w:t>
      </w:r>
      <w:r w:rsidRPr="00364D88">
        <w:rPr>
          <w:rFonts w:ascii="Arial" w:hAnsi="Arial" w:cs="Arial"/>
          <w:b/>
          <w:lang w:val="en-GB"/>
        </w:rPr>
        <w:t xml:space="preserve"> 2</w:t>
      </w:r>
      <w:r w:rsidRPr="00364D88">
        <w:rPr>
          <w:rFonts w:ascii="Arial" w:hAnsi="Arial" w:cs="Arial"/>
          <w:lang w:val="en-GB"/>
        </w:rPr>
        <w:t xml:space="preserve">) and </w:t>
      </w:r>
      <w:r w:rsidR="00FE2184" w:rsidRPr="00364D88">
        <w:rPr>
          <w:rFonts w:ascii="Arial" w:hAnsi="Arial" w:cs="Arial"/>
          <w:lang w:val="en-GB"/>
        </w:rPr>
        <w:t xml:space="preserve">the latter </w:t>
      </w:r>
      <w:r w:rsidRPr="00364D88">
        <w:rPr>
          <w:rFonts w:ascii="Arial" w:hAnsi="Arial" w:cs="Arial"/>
          <w:lang w:val="en-GB"/>
        </w:rPr>
        <w:t xml:space="preserve">tend to be larger when </w:t>
      </w:r>
      <w:r w:rsidR="009D0751" w:rsidRPr="00364D88">
        <w:rPr>
          <w:rFonts w:ascii="Arial" w:hAnsi="Arial" w:cs="Arial"/>
          <w:lang w:val="en-GB"/>
        </w:rPr>
        <w:t>both foliar N and P</w:t>
      </w:r>
      <w:r w:rsidRPr="00364D88">
        <w:rPr>
          <w:rFonts w:ascii="Arial" w:hAnsi="Arial" w:cs="Arial"/>
          <w:lang w:val="en-GB"/>
        </w:rPr>
        <w:t xml:space="preserve"> are high, our initial hypothesis stating that higher foliar nutrients would be related to more stable C fluxes </w:t>
      </w:r>
      <w:r w:rsidR="00FD4714" w:rsidRPr="00364D88">
        <w:rPr>
          <w:rFonts w:ascii="Arial" w:hAnsi="Arial" w:cs="Arial"/>
          <w:lang w:val="en-GB"/>
        </w:rPr>
        <w:t>was</w:t>
      </w:r>
      <w:r w:rsidRPr="00364D88">
        <w:rPr>
          <w:rFonts w:ascii="Arial" w:hAnsi="Arial" w:cs="Arial"/>
          <w:lang w:val="en-GB"/>
        </w:rPr>
        <w:t xml:space="preserve"> not confirmed by our results. </w:t>
      </w:r>
      <w:r w:rsidR="009D0751" w:rsidRPr="00364D88">
        <w:rPr>
          <w:rFonts w:ascii="Arial" w:hAnsi="Arial" w:cs="Arial"/>
          <w:lang w:val="en-GB"/>
        </w:rPr>
        <w:t>Contrary to our expectations, when controlling for the magnitude of the C flux, we</w:t>
      </w:r>
      <w:r w:rsidRPr="00364D88">
        <w:rPr>
          <w:rFonts w:ascii="Arial" w:hAnsi="Arial" w:cs="Arial"/>
          <w:lang w:val="en-GB"/>
        </w:rPr>
        <w:t xml:space="preserve"> found evidence </w:t>
      </w:r>
      <w:r w:rsidR="00FE2184" w:rsidRPr="00364D88">
        <w:rPr>
          <w:rFonts w:ascii="Arial" w:hAnsi="Arial" w:cs="Arial"/>
          <w:lang w:val="en-GB"/>
        </w:rPr>
        <w:t xml:space="preserve">for </w:t>
      </w:r>
      <w:r w:rsidRPr="00364D88">
        <w:rPr>
          <w:rFonts w:ascii="Arial" w:hAnsi="Arial" w:cs="Arial"/>
          <w:lang w:val="en-GB"/>
        </w:rPr>
        <w:t>a positive effect of foliar N and P on interannual variability of C fluxes (</w:t>
      </w:r>
      <w:r w:rsidR="00C823F7">
        <w:rPr>
          <w:rFonts w:ascii="Arial" w:hAnsi="Arial" w:cs="Arial"/>
          <w:b/>
          <w:lang w:val="en-GB"/>
        </w:rPr>
        <w:t>Fig.</w:t>
      </w:r>
      <w:r w:rsidRPr="00364D88">
        <w:rPr>
          <w:rFonts w:ascii="Arial" w:hAnsi="Arial" w:cs="Arial"/>
          <w:b/>
          <w:lang w:val="en-GB"/>
        </w:rPr>
        <w:t xml:space="preserve"> </w:t>
      </w:r>
      <w:r w:rsidR="00C40C8E" w:rsidRPr="00364D88">
        <w:rPr>
          <w:rFonts w:ascii="Arial" w:hAnsi="Arial" w:cs="Arial"/>
          <w:b/>
          <w:lang w:val="en-GB"/>
        </w:rPr>
        <w:t>1, Fig</w:t>
      </w:r>
      <w:r w:rsidR="00C823F7">
        <w:rPr>
          <w:rFonts w:ascii="Arial" w:hAnsi="Arial" w:cs="Arial"/>
          <w:b/>
          <w:lang w:val="en-GB"/>
        </w:rPr>
        <w:t>.</w:t>
      </w:r>
      <w:r w:rsidR="00C40C8E" w:rsidRPr="00364D88">
        <w:rPr>
          <w:rFonts w:ascii="Arial" w:hAnsi="Arial" w:cs="Arial"/>
          <w:b/>
          <w:lang w:val="en-GB"/>
        </w:rPr>
        <w:t xml:space="preserve"> S2, </w:t>
      </w:r>
      <w:r w:rsidR="006B425D" w:rsidRPr="00364D88">
        <w:rPr>
          <w:rFonts w:ascii="Arial" w:hAnsi="Arial" w:cs="Arial"/>
          <w:b/>
          <w:lang w:val="en-GB"/>
        </w:rPr>
        <w:t>Fig</w:t>
      </w:r>
      <w:r w:rsidR="00C823F7">
        <w:rPr>
          <w:rFonts w:ascii="Arial" w:hAnsi="Arial" w:cs="Arial"/>
          <w:b/>
          <w:lang w:val="en-GB"/>
        </w:rPr>
        <w:t>.</w:t>
      </w:r>
      <w:r w:rsidR="006B425D" w:rsidRPr="00364D88">
        <w:rPr>
          <w:rFonts w:ascii="Arial" w:hAnsi="Arial" w:cs="Arial"/>
          <w:b/>
          <w:lang w:val="en-GB"/>
        </w:rPr>
        <w:t xml:space="preserve"> S3</w:t>
      </w:r>
      <w:r w:rsidRPr="00364D88">
        <w:rPr>
          <w:rFonts w:ascii="Arial" w:hAnsi="Arial" w:cs="Arial"/>
          <w:lang w:val="en-GB"/>
        </w:rPr>
        <w:t xml:space="preserve">). </w:t>
      </w:r>
      <w:r w:rsidR="001A028C" w:rsidRPr="00364D88">
        <w:rPr>
          <w:rFonts w:ascii="Arial" w:hAnsi="Arial" w:cs="Arial"/>
          <w:lang w:val="en-GB"/>
        </w:rPr>
        <w:t xml:space="preserve">These positive relationships could emerge as a result of a stronger </w:t>
      </w:r>
      <w:r w:rsidR="00CC4464" w:rsidRPr="00364D88">
        <w:rPr>
          <w:rFonts w:ascii="Arial" w:hAnsi="Arial" w:cs="Arial"/>
          <w:lang w:val="en-GB"/>
        </w:rPr>
        <w:t>link between C fluxes and environmental variability in sites with higher foli</w:t>
      </w:r>
      <w:r w:rsidR="00C9415F" w:rsidRPr="00364D88">
        <w:rPr>
          <w:rFonts w:ascii="Arial" w:hAnsi="Arial" w:cs="Arial"/>
          <w:lang w:val="en-GB"/>
        </w:rPr>
        <w:t>ar nutrient</w:t>
      </w:r>
      <w:r w:rsidR="006566EB" w:rsidRPr="00364D88">
        <w:rPr>
          <w:rFonts w:ascii="Arial" w:hAnsi="Arial" w:cs="Arial"/>
          <w:lang w:val="en-GB"/>
        </w:rPr>
        <w:t xml:space="preserve"> concentrations</w:t>
      </w:r>
      <w:r w:rsidR="00C9415F" w:rsidRPr="00364D88">
        <w:rPr>
          <w:rFonts w:ascii="Arial" w:hAnsi="Arial" w:cs="Arial"/>
          <w:lang w:val="en-GB"/>
        </w:rPr>
        <w:t>.</w:t>
      </w:r>
      <w:r w:rsidR="009D0751" w:rsidRPr="00364D88">
        <w:rPr>
          <w:rFonts w:ascii="Arial" w:hAnsi="Arial" w:cs="Arial"/>
          <w:lang w:val="en-GB"/>
        </w:rPr>
        <w:t xml:space="preserve"> </w:t>
      </w:r>
      <w:r w:rsidR="00C9415F" w:rsidRPr="00364D88">
        <w:rPr>
          <w:rFonts w:ascii="Arial" w:hAnsi="Arial" w:cs="Arial"/>
          <w:lang w:val="en-GB"/>
        </w:rPr>
        <w:t xml:space="preserve">Fluctuating </w:t>
      </w:r>
      <w:r w:rsidR="009D0751" w:rsidRPr="00364D88">
        <w:rPr>
          <w:rFonts w:ascii="Arial" w:hAnsi="Arial" w:cs="Arial"/>
          <w:lang w:val="en-GB"/>
        </w:rPr>
        <w:t xml:space="preserve">environmental conditions </w:t>
      </w:r>
      <w:r w:rsidR="00C9415F" w:rsidRPr="00364D88">
        <w:rPr>
          <w:rFonts w:ascii="Arial" w:hAnsi="Arial" w:cs="Arial"/>
          <w:lang w:val="en-GB"/>
        </w:rPr>
        <w:t xml:space="preserve">(i.e., temperature, water availability) </w:t>
      </w:r>
      <w:r w:rsidR="009D0751" w:rsidRPr="00364D88">
        <w:rPr>
          <w:rFonts w:ascii="Arial" w:hAnsi="Arial" w:cs="Arial"/>
          <w:lang w:val="en-GB"/>
        </w:rPr>
        <w:t xml:space="preserve">could </w:t>
      </w:r>
      <w:r w:rsidR="00C9415F" w:rsidRPr="00364D88">
        <w:rPr>
          <w:rFonts w:ascii="Arial" w:hAnsi="Arial" w:cs="Arial"/>
          <w:lang w:val="en-GB"/>
        </w:rPr>
        <w:t>then be one of the few metabolic constraints, allowing larger peaks of photosynthesis and decomposition</w:t>
      </w:r>
      <w:r w:rsidR="009D0751" w:rsidRPr="00364D88">
        <w:rPr>
          <w:rFonts w:ascii="Arial" w:hAnsi="Arial" w:cs="Arial"/>
          <w:lang w:val="en-GB"/>
        </w:rPr>
        <w:t xml:space="preserve"> </w:t>
      </w:r>
      <w:r w:rsidR="00C9415F" w:rsidRPr="00364D88">
        <w:rPr>
          <w:rFonts w:ascii="Arial" w:hAnsi="Arial" w:cs="Arial"/>
          <w:lang w:val="en-GB"/>
        </w:rPr>
        <w:t xml:space="preserve">when nutrient requirements are satisfied, </w:t>
      </w:r>
      <w:r w:rsidR="00FD4714" w:rsidRPr="00364D88">
        <w:rPr>
          <w:rFonts w:ascii="Arial" w:hAnsi="Arial" w:cs="Arial"/>
          <w:lang w:val="en-GB"/>
        </w:rPr>
        <w:t>but we have no evidence in support of this mechanism.</w:t>
      </w:r>
    </w:p>
    <w:p w14:paraId="175EA75C" w14:textId="1CA28240" w:rsidR="00D45FE0" w:rsidRPr="00364D88" w:rsidRDefault="00D45FE0" w:rsidP="00D45FE0">
      <w:pPr>
        <w:spacing w:line="360" w:lineRule="auto"/>
        <w:jc w:val="both"/>
        <w:outlineLvl w:val="0"/>
        <w:rPr>
          <w:rFonts w:ascii="Arial" w:hAnsi="Arial"/>
          <w:i/>
          <w:lang w:val="en-GB"/>
        </w:rPr>
      </w:pPr>
      <w:r w:rsidRPr="00364D88">
        <w:rPr>
          <w:rFonts w:ascii="Arial" w:hAnsi="Arial"/>
          <w:i/>
          <w:lang w:val="en-GB"/>
        </w:rPr>
        <w:t xml:space="preserve">The </w:t>
      </w:r>
      <w:r w:rsidR="00223D49" w:rsidRPr="00364D88">
        <w:rPr>
          <w:rFonts w:ascii="Arial" w:hAnsi="Arial"/>
          <w:i/>
          <w:lang w:val="en-GB"/>
        </w:rPr>
        <w:t>influence</w:t>
      </w:r>
      <w:r w:rsidRPr="00364D88">
        <w:rPr>
          <w:rFonts w:ascii="Arial" w:hAnsi="Arial"/>
          <w:i/>
          <w:lang w:val="en-GB"/>
        </w:rPr>
        <w:t xml:space="preserve"> of </w:t>
      </w:r>
      <w:r w:rsidR="00223D49" w:rsidRPr="00364D88">
        <w:rPr>
          <w:rFonts w:ascii="Arial" w:hAnsi="Arial"/>
          <w:i/>
          <w:lang w:val="en-GB"/>
        </w:rPr>
        <w:t xml:space="preserve">plant </w:t>
      </w:r>
      <w:r w:rsidRPr="00364D88">
        <w:rPr>
          <w:rFonts w:ascii="Arial" w:hAnsi="Arial"/>
          <w:i/>
          <w:lang w:val="en-GB"/>
        </w:rPr>
        <w:t>diversity on ecosystem C balance</w:t>
      </w:r>
    </w:p>
    <w:p w14:paraId="655ECAD1" w14:textId="4640E446" w:rsidR="0065443A" w:rsidRPr="00364D88" w:rsidRDefault="00D45FE0" w:rsidP="0065443A">
      <w:pPr>
        <w:spacing w:line="360" w:lineRule="auto"/>
        <w:jc w:val="both"/>
        <w:outlineLvl w:val="0"/>
        <w:rPr>
          <w:rFonts w:ascii="Arial" w:hAnsi="Arial" w:cs="Arial"/>
          <w:lang w:val="en-GB"/>
        </w:rPr>
      </w:pPr>
      <w:r w:rsidRPr="00364D88">
        <w:rPr>
          <w:rFonts w:ascii="Arial" w:hAnsi="Arial" w:cs="Arial"/>
          <w:lang w:val="en-GB"/>
        </w:rPr>
        <w:t>Our results provide</w:t>
      </w:r>
      <w:r w:rsidR="005C783E" w:rsidRPr="00364D88">
        <w:rPr>
          <w:rFonts w:ascii="Arial" w:hAnsi="Arial" w:cs="Arial"/>
          <w:lang w:val="en-GB"/>
        </w:rPr>
        <w:t>d</w:t>
      </w:r>
      <w:r w:rsidR="00C90480" w:rsidRPr="00364D88">
        <w:rPr>
          <w:rFonts w:ascii="Arial" w:hAnsi="Arial" w:cs="Arial"/>
          <w:lang w:val="en-GB"/>
        </w:rPr>
        <w:t xml:space="preserve"> </w:t>
      </w:r>
      <w:r w:rsidRPr="00364D88">
        <w:rPr>
          <w:rFonts w:ascii="Arial" w:hAnsi="Arial" w:cs="Arial"/>
          <w:lang w:val="en-GB"/>
        </w:rPr>
        <w:t xml:space="preserve">weak evidence </w:t>
      </w:r>
      <w:r w:rsidR="00C90480" w:rsidRPr="00364D88">
        <w:rPr>
          <w:rFonts w:ascii="Arial" w:hAnsi="Arial" w:cs="Arial"/>
          <w:lang w:val="en-GB"/>
        </w:rPr>
        <w:t xml:space="preserve">that </w:t>
      </w:r>
      <w:r w:rsidRPr="00364D88">
        <w:rPr>
          <w:rFonts w:ascii="Arial" w:hAnsi="Arial" w:cs="Arial"/>
          <w:lang w:val="en-GB"/>
        </w:rPr>
        <w:t xml:space="preserve">higher </w:t>
      </w:r>
      <w:r w:rsidR="00AD2973" w:rsidRPr="00364D88">
        <w:rPr>
          <w:rFonts w:ascii="Arial" w:hAnsi="Arial" w:cs="Arial"/>
          <w:lang w:val="en-GB"/>
        </w:rPr>
        <w:t xml:space="preserve">plant </w:t>
      </w:r>
      <w:r w:rsidRPr="00364D88">
        <w:rPr>
          <w:rFonts w:ascii="Arial" w:hAnsi="Arial" w:cs="Arial"/>
          <w:lang w:val="en-GB"/>
        </w:rPr>
        <w:t>species diversity</w:t>
      </w:r>
      <w:r w:rsidR="00C90480" w:rsidRPr="00364D88">
        <w:rPr>
          <w:rFonts w:ascii="Arial" w:hAnsi="Arial" w:cs="Arial"/>
          <w:lang w:val="en-GB"/>
        </w:rPr>
        <w:t xml:space="preserve"> </w:t>
      </w:r>
      <w:r w:rsidRPr="00364D88">
        <w:rPr>
          <w:rFonts w:ascii="Arial" w:hAnsi="Arial" w:cs="Arial"/>
          <w:lang w:val="en-GB"/>
        </w:rPr>
        <w:t xml:space="preserve">is </w:t>
      </w:r>
      <w:r w:rsidR="00AD2973" w:rsidRPr="00364D88">
        <w:rPr>
          <w:rFonts w:ascii="Arial" w:hAnsi="Arial" w:cs="Arial"/>
          <w:lang w:val="en-GB"/>
        </w:rPr>
        <w:t>associated with</w:t>
      </w:r>
      <w:r w:rsidRPr="00364D88">
        <w:rPr>
          <w:rFonts w:ascii="Arial" w:hAnsi="Arial" w:cs="Arial"/>
          <w:lang w:val="en-GB"/>
        </w:rPr>
        <w:t xml:space="preserve"> higher GPP and Re</w:t>
      </w:r>
      <w:r w:rsidR="002C03D3" w:rsidRPr="00364D88">
        <w:rPr>
          <w:rFonts w:ascii="Arial" w:hAnsi="Arial" w:cs="Arial"/>
          <w:lang w:val="en-GB"/>
        </w:rPr>
        <w:t xml:space="preserve"> </w:t>
      </w:r>
      <w:r w:rsidR="002C03D3" w:rsidRPr="00364D88">
        <w:rPr>
          <w:rFonts w:ascii="Arial" w:hAnsi="Arial" w:cs="Arial"/>
          <w:b/>
          <w:lang w:val="en-GB"/>
        </w:rPr>
        <w:t>(Fig</w:t>
      </w:r>
      <w:r w:rsidR="00C823F7">
        <w:rPr>
          <w:rFonts w:ascii="Arial" w:hAnsi="Arial" w:cs="Arial"/>
          <w:b/>
          <w:lang w:val="en-GB"/>
        </w:rPr>
        <w:t>.</w:t>
      </w:r>
      <w:r w:rsidR="002C03D3" w:rsidRPr="00364D88">
        <w:rPr>
          <w:rFonts w:ascii="Arial" w:hAnsi="Arial" w:cs="Arial"/>
          <w:b/>
          <w:lang w:val="en-GB"/>
        </w:rPr>
        <w:t xml:space="preserve"> 1)</w:t>
      </w:r>
      <w:r w:rsidRPr="00364D88">
        <w:rPr>
          <w:rFonts w:ascii="Arial" w:hAnsi="Arial" w:cs="Arial"/>
          <w:lang w:val="en-GB"/>
        </w:rPr>
        <w:t xml:space="preserve">. </w:t>
      </w:r>
      <w:r w:rsidR="00AD2973" w:rsidRPr="00364D88">
        <w:rPr>
          <w:rFonts w:ascii="Arial" w:hAnsi="Arial" w:cs="Arial"/>
          <w:lang w:val="en-GB"/>
        </w:rPr>
        <w:t>Thus</w:t>
      </w:r>
      <w:r w:rsidR="005C699A" w:rsidRPr="00364D88">
        <w:rPr>
          <w:rFonts w:ascii="Arial" w:hAnsi="Arial" w:cs="Arial"/>
          <w:lang w:val="en-GB"/>
        </w:rPr>
        <w:t>,</w:t>
      </w:r>
      <w:r w:rsidR="00C90480" w:rsidRPr="00364D88">
        <w:rPr>
          <w:rFonts w:ascii="Arial" w:hAnsi="Arial" w:cs="Arial"/>
          <w:lang w:val="en-GB"/>
        </w:rPr>
        <w:t xml:space="preserve"> our </w:t>
      </w:r>
      <w:r w:rsidR="003E1EE8" w:rsidRPr="00364D88">
        <w:rPr>
          <w:rFonts w:ascii="Arial" w:hAnsi="Arial" w:cs="Arial"/>
          <w:lang w:val="en-GB"/>
        </w:rPr>
        <w:t xml:space="preserve">initial </w:t>
      </w:r>
      <w:r w:rsidR="00C90480" w:rsidRPr="00364D88">
        <w:rPr>
          <w:rFonts w:ascii="Arial" w:hAnsi="Arial" w:cs="Arial"/>
          <w:lang w:val="en-GB"/>
        </w:rPr>
        <w:t xml:space="preserve">hypothesis stating that larger and less variable C fluxes </w:t>
      </w:r>
      <w:r w:rsidR="009E3AB9" w:rsidRPr="00364D88">
        <w:rPr>
          <w:rFonts w:ascii="Arial" w:hAnsi="Arial" w:cs="Arial"/>
          <w:lang w:val="en-GB"/>
        </w:rPr>
        <w:t>are</w:t>
      </w:r>
      <w:r w:rsidR="00C90480" w:rsidRPr="00364D88">
        <w:rPr>
          <w:rFonts w:ascii="Arial" w:hAnsi="Arial" w:cs="Arial"/>
          <w:lang w:val="en-GB"/>
        </w:rPr>
        <w:t xml:space="preserve"> found </w:t>
      </w:r>
      <w:r w:rsidR="005C699A" w:rsidRPr="00364D88">
        <w:rPr>
          <w:rFonts w:ascii="Arial" w:hAnsi="Arial" w:cs="Arial"/>
          <w:lang w:val="en-GB"/>
        </w:rPr>
        <w:t xml:space="preserve">at </w:t>
      </w:r>
      <w:r w:rsidR="00C90480" w:rsidRPr="00364D88">
        <w:rPr>
          <w:rFonts w:ascii="Arial" w:hAnsi="Arial" w:cs="Arial"/>
          <w:lang w:val="en-GB"/>
        </w:rPr>
        <w:t xml:space="preserve">sites with larger </w:t>
      </w:r>
      <w:r w:rsidR="00AD2973" w:rsidRPr="00364D88">
        <w:rPr>
          <w:rFonts w:ascii="Arial" w:hAnsi="Arial" w:cs="Arial"/>
          <w:lang w:val="en-GB"/>
        </w:rPr>
        <w:t>diversity finds insufficient support from this dataset</w:t>
      </w:r>
      <w:r w:rsidR="00C90480" w:rsidRPr="00364D88">
        <w:rPr>
          <w:rFonts w:ascii="Arial" w:hAnsi="Arial" w:cs="Arial"/>
          <w:lang w:val="en-US"/>
        </w:rPr>
        <w:t>.</w:t>
      </w:r>
      <w:r w:rsidR="009E3AB9" w:rsidRPr="00364D88">
        <w:rPr>
          <w:rFonts w:ascii="Arial" w:hAnsi="Arial" w:cs="Arial"/>
          <w:lang w:val="en-GB"/>
        </w:rPr>
        <w:t xml:space="preserve"> </w:t>
      </w:r>
      <w:r w:rsidR="00AD2973" w:rsidRPr="00364D88">
        <w:rPr>
          <w:rFonts w:ascii="Arial" w:hAnsi="Arial" w:cs="Arial"/>
          <w:lang w:val="en-GB"/>
        </w:rPr>
        <w:t>T</w:t>
      </w:r>
      <w:r w:rsidR="00C33DDB" w:rsidRPr="00364D88">
        <w:rPr>
          <w:rFonts w:ascii="Arial" w:hAnsi="Arial" w:cs="Arial"/>
          <w:lang w:val="en-GB"/>
        </w:rPr>
        <w:t xml:space="preserve">he </w:t>
      </w:r>
      <w:r w:rsidR="005C783E" w:rsidRPr="00364D88">
        <w:rPr>
          <w:rFonts w:ascii="Arial" w:hAnsi="Arial" w:cs="Arial"/>
          <w:lang w:val="en-GB"/>
        </w:rPr>
        <w:t xml:space="preserve">small </w:t>
      </w:r>
      <w:r w:rsidR="00C33DDB" w:rsidRPr="00364D88">
        <w:rPr>
          <w:rFonts w:ascii="Arial" w:hAnsi="Arial" w:cs="Arial"/>
          <w:lang w:val="en-GB"/>
        </w:rPr>
        <w:t>effect of diversity on NEP</w:t>
      </w:r>
      <w:r w:rsidR="009E3AB9" w:rsidRPr="00364D88">
        <w:rPr>
          <w:rFonts w:ascii="Arial" w:hAnsi="Arial" w:cs="Arial"/>
          <w:lang w:val="en-GB"/>
        </w:rPr>
        <w:t xml:space="preserve"> and CUEe </w:t>
      </w:r>
      <w:r w:rsidR="00C33DDB" w:rsidRPr="00364D88">
        <w:rPr>
          <w:rFonts w:ascii="Arial" w:hAnsi="Arial" w:cs="Arial"/>
          <w:lang w:val="en-GB"/>
        </w:rPr>
        <w:t xml:space="preserve">was </w:t>
      </w:r>
      <w:r w:rsidR="005C699A" w:rsidRPr="00364D88">
        <w:rPr>
          <w:rFonts w:ascii="Arial" w:hAnsi="Arial" w:cs="Arial"/>
          <w:lang w:val="en-GB"/>
        </w:rPr>
        <w:t xml:space="preserve">even </w:t>
      </w:r>
      <w:r w:rsidR="00C33DDB" w:rsidRPr="00364D88">
        <w:rPr>
          <w:rFonts w:ascii="Arial" w:hAnsi="Arial" w:cs="Arial"/>
          <w:lang w:val="en-GB"/>
        </w:rPr>
        <w:t xml:space="preserve">found to be </w:t>
      </w:r>
      <w:r w:rsidR="00C33DDB" w:rsidRPr="00364D88">
        <w:rPr>
          <w:rFonts w:ascii="Arial" w:hAnsi="Arial" w:cs="Arial"/>
          <w:lang w:val="en-GB"/>
        </w:rPr>
        <w:lastRenderedPageBreak/>
        <w:t xml:space="preserve">negative </w:t>
      </w:r>
      <w:r w:rsidR="009E3AB9" w:rsidRPr="00364D88">
        <w:rPr>
          <w:rFonts w:ascii="Arial" w:hAnsi="Arial" w:cs="Arial"/>
          <w:b/>
          <w:lang w:val="en-GB"/>
        </w:rPr>
        <w:t>(Fig</w:t>
      </w:r>
      <w:r w:rsidR="00C823F7">
        <w:rPr>
          <w:rFonts w:ascii="Arial" w:hAnsi="Arial" w:cs="Arial"/>
          <w:b/>
          <w:lang w:val="en-GB"/>
        </w:rPr>
        <w:t>.</w:t>
      </w:r>
      <w:r w:rsidR="009E3AB9" w:rsidRPr="00364D88">
        <w:rPr>
          <w:rFonts w:ascii="Arial" w:hAnsi="Arial" w:cs="Arial"/>
          <w:b/>
          <w:lang w:val="en-GB"/>
        </w:rPr>
        <w:t xml:space="preserve"> 4, Fig</w:t>
      </w:r>
      <w:r w:rsidR="00C823F7">
        <w:rPr>
          <w:rFonts w:ascii="Arial" w:hAnsi="Arial" w:cs="Arial"/>
          <w:b/>
          <w:lang w:val="en-GB"/>
        </w:rPr>
        <w:t>.</w:t>
      </w:r>
      <w:r w:rsidR="009E3AB9" w:rsidRPr="00364D88">
        <w:rPr>
          <w:rFonts w:ascii="Arial" w:hAnsi="Arial" w:cs="Arial"/>
          <w:b/>
          <w:lang w:val="en-GB"/>
        </w:rPr>
        <w:t xml:space="preserve"> S2, </w:t>
      </w:r>
      <w:r w:rsidR="006B425D" w:rsidRPr="00364D88">
        <w:rPr>
          <w:rFonts w:ascii="Arial" w:hAnsi="Arial" w:cs="Arial"/>
          <w:b/>
          <w:lang w:val="en-GB"/>
        </w:rPr>
        <w:t>Fig</w:t>
      </w:r>
      <w:r w:rsidR="00C823F7">
        <w:rPr>
          <w:rFonts w:ascii="Arial" w:hAnsi="Arial" w:cs="Arial"/>
          <w:b/>
          <w:lang w:val="en-GB"/>
        </w:rPr>
        <w:t>.</w:t>
      </w:r>
      <w:r w:rsidR="006B425D" w:rsidRPr="00364D88">
        <w:rPr>
          <w:rFonts w:ascii="Arial" w:hAnsi="Arial" w:cs="Arial"/>
          <w:b/>
          <w:lang w:val="en-GB"/>
        </w:rPr>
        <w:t xml:space="preserve"> S3</w:t>
      </w:r>
      <w:r w:rsidR="009E3AB9" w:rsidRPr="00364D88">
        <w:rPr>
          <w:rFonts w:ascii="Arial" w:hAnsi="Arial" w:cs="Arial"/>
          <w:b/>
          <w:lang w:val="en-GB"/>
        </w:rPr>
        <w:t>)</w:t>
      </w:r>
      <w:r w:rsidR="00AD2973" w:rsidRPr="00364D88">
        <w:rPr>
          <w:rFonts w:ascii="Arial" w:hAnsi="Arial" w:cs="Arial"/>
          <w:lang w:val="en-GB"/>
        </w:rPr>
        <w:t>. This suggests</w:t>
      </w:r>
      <w:r w:rsidR="00D52DAD" w:rsidRPr="00364D88">
        <w:rPr>
          <w:rFonts w:ascii="Arial" w:hAnsi="Arial" w:cs="Arial"/>
          <w:lang w:val="en-GB"/>
        </w:rPr>
        <w:t xml:space="preserve"> that any positive effect of diversity on GPP is being overcompensated by an increase in Re</w:t>
      </w:r>
      <w:r w:rsidR="009E3AB9" w:rsidRPr="00364D88">
        <w:rPr>
          <w:rFonts w:ascii="Arial" w:hAnsi="Arial" w:cs="Arial"/>
          <w:lang w:val="en-GB"/>
        </w:rPr>
        <w:t>.</w:t>
      </w:r>
      <w:r w:rsidR="00F46798" w:rsidRPr="00364D88">
        <w:rPr>
          <w:rFonts w:ascii="Arial" w:hAnsi="Arial" w:cs="Arial"/>
          <w:lang w:val="en-GB"/>
        </w:rPr>
        <w:t xml:space="preserve"> Nonetheless, the positive relationship between species diversity and C fluxes (GPP and Re) may emerge because of selection and complementarity effects</w:t>
      </w:r>
      <w:r w:rsidR="009E486E" w:rsidRPr="00364D88">
        <w:rPr>
          <w:rFonts w:ascii="Arial" w:hAnsi="Arial" w:cs="Arial"/>
          <w:lang w:val="en-GB"/>
        </w:rPr>
        <w:t xml:space="preserve"> </w:t>
      </w:r>
      <w:r w:rsidR="00F46798"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{"citationItems":[{"id":"ITEM-1","itemData":{"DOI":"10.1038/nature11373","ISBN":"00280836","ISSN":"0028-0836","PMID":"22678280","abstract":"The most unique feature of Earth is the existence of life, and the most extraordinary feature of life is its diversity. Approximately 9 million types of plants, animals, protists and fungi inhabit the Earth. So, too, do 7 billion people. Two decades ago, at the first Earth Summit, the vast majority of the world's nations declared that human actions were dismantling the Earth's ecosystems, eliminating genes, species and biological traits at an alarming rate. This observation led to the question of how such loss of biological diversity will alter the functioning of ecosystems and their ability to provide society with the goods and services needed to prosper.","author":[{"dropping-particle":"","family":"Cardinale","given":"Bradley J.","non-dropping-particle":"","parse-names":false,"suffix":""},{"dropping-particle":"","family":"Duffy","given":"J. Emmett","non-dropping-particle":"","parse-names":false,"suffix":""},{"dropping-particle":"","family":"Gonzalez","given":"Andrew","non-dropping-particle":"","parse-names":false,"suffix":""},{"dropping-particle":"","family":"Hooper","given":"David U.","non-dropping-particle":"","parse-names":false,"suffix":""},{"dropping-particle":"","family":"Perrings","given":"Charles","non-dropping-particle":"","parse-names":false,"suffix":""},{"dropping-particle":"","family":"Venail","given":"Patrick","non-dropping-particle":"","parse-names":false,"suffix":""},{"dropping-particle":"","family":"Narwani","given":"Anita","non-dropping-particle":"","parse-names":false,"suffix":""},{"dropping-particle":"","family":"Mace","given":"Georgina M.","non-dropping-particle":"","parse-names":false,"suffix":""},{"dropping-particle":"","family":"Tilman","given":"David","non-dropping-particle":"","parse-names":false,"suffix":""},{"dropping-particle":"","family":"A.Wardle","given":"David","non-dropping-particle":"","parse-names":false,"suffix":""},{"dropping-particle":"","family":"Kinzig","given":"Ann P.","non-dropping-particle":"","parse-names":false,"suffix":""},{"dropping-particle":"","family":"Daily","given":"Gretchen C.","non-dropping-particle":"","parse-names":false,"suffix":""},{"dropping-particle":"","family":"Loreau","given":"Michel","non-dropping-particle":"","parse-names":false,"suffix":""},{"dropping-particle":"","family":"Grace","given":"James B.","non-dropping-particle":"","parse-names":false,"suffix":""},{"dropping-particle":"","family":"Larigauderie","given":"Anne","non-dropping-particle":"","parse-names":false,"suffix":""},{"dropping-particle":"","family":"Srivastava","given":"Diane S.","non-dropping-particle":"","parse-names":false,"suffix":""},{"dropping-particle":"","family":"Naeem","given":"Shahid","non-dropping-particle":"","parse-names":false,"suffix":""}],"container-title":"Nature","id":"ITEM-1","issue":"7415","issued":{"date-parts":[["2012"]]},"page":"326-326","title":"Biodiversity loss and its impact on humanity","type":"article-journal","volume":"489"},"uris":["http://www.mendeley.com/documents/?uuid=f6a15fe7-f5ae-4671-8e5c-87c2077763b2"]}],"mendeley":{"formattedCitation":"(Cardinale &lt;i&gt;et al.&lt;/i&gt;, 2012)","plainTextFormattedCitation":"(Cardinale et al., 2012)","previouslyFormattedCitation":"(Cardinale &lt;i&gt;et al.&lt;/i&gt;, 2012)"},"properties":{"noteIndex":0},"schema":"https://github.com/citation-style-language/schema/raw/master/csl-citation.json"}</w:instrText>
      </w:r>
      <w:r w:rsidR="00F46798" w:rsidRPr="00364D88">
        <w:rPr>
          <w:rFonts w:ascii="Arial" w:hAnsi="Arial" w:cs="Arial"/>
          <w:lang w:val="en-GB"/>
        </w:rPr>
        <w:fldChar w:fldCharType="separate"/>
      </w:r>
      <w:r w:rsidR="009E486E" w:rsidRPr="00364D88">
        <w:rPr>
          <w:rFonts w:ascii="Arial" w:hAnsi="Arial" w:cs="Arial"/>
          <w:noProof/>
          <w:lang w:val="en-GB"/>
        </w:rPr>
        <w:t xml:space="preserve">(Cardinale </w:t>
      </w:r>
      <w:r w:rsidR="009E486E" w:rsidRPr="00364D88">
        <w:rPr>
          <w:rFonts w:ascii="Arial" w:hAnsi="Arial" w:cs="Arial"/>
          <w:i/>
          <w:noProof/>
          <w:lang w:val="en-GB"/>
        </w:rPr>
        <w:t>et al.</w:t>
      </w:r>
      <w:r w:rsidR="009E486E" w:rsidRPr="00364D88">
        <w:rPr>
          <w:rFonts w:ascii="Arial" w:hAnsi="Arial" w:cs="Arial"/>
          <w:noProof/>
          <w:lang w:val="en-GB"/>
        </w:rPr>
        <w:t>, 2012)</w:t>
      </w:r>
      <w:r w:rsidR="00F46798" w:rsidRPr="00364D88">
        <w:rPr>
          <w:rFonts w:ascii="Arial" w:hAnsi="Arial" w:cs="Arial"/>
          <w:lang w:val="en-GB"/>
        </w:rPr>
        <w:fldChar w:fldCharType="end"/>
      </w:r>
      <w:r w:rsidR="00F46798" w:rsidRPr="00364D88">
        <w:rPr>
          <w:rFonts w:ascii="Arial" w:hAnsi="Arial" w:cs="Arial"/>
          <w:lang w:val="en-GB"/>
        </w:rPr>
        <w:t>. The selection effect refers to the higher probability of diverse communities to include one or more highly productive species</w:t>
      </w:r>
      <w:r w:rsidR="00B8090A" w:rsidRPr="00364D88">
        <w:rPr>
          <w:rFonts w:ascii="Arial" w:hAnsi="Arial" w:cs="Arial"/>
          <w:lang w:val="en-GB"/>
        </w:rPr>
        <w:t xml:space="preserve">. </w:t>
      </w:r>
      <w:r w:rsidR="00F46798" w:rsidRPr="00364D88">
        <w:rPr>
          <w:rFonts w:ascii="Arial" w:hAnsi="Arial" w:cs="Arial"/>
          <w:lang w:val="en-GB"/>
        </w:rPr>
        <w:t xml:space="preserve"> </w:t>
      </w:r>
      <w:r w:rsidR="00B8090A" w:rsidRPr="00364D88">
        <w:rPr>
          <w:rFonts w:ascii="Arial" w:hAnsi="Arial" w:cs="Arial"/>
          <w:lang w:val="en-GB"/>
        </w:rPr>
        <w:t>The complementarity effects contribute to the increased productivity and lower variability over time by promoting temporal asynchrony in the productivity of the species of a community</w:t>
      </w:r>
      <w:r w:rsidR="009E486E" w:rsidRPr="00364D88">
        <w:rPr>
          <w:rFonts w:ascii="Arial" w:hAnsi="Arial" w:cs="Arial"/>
          <w:lang w:val="en-GB"/>
        </w:rPr>
        <w:t xml:space="preserve"> </w:t>
      </w:r>
      <w:r w:rsidR="00B8090A"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{"citationItems":[{"id":"ITEM-1","itemData":{"DOI":"10.1111/ele.12073","ISBN":"1461-0248","ISSN":"1461023X","PMID":"23346947","abstract":"There is mounting evidence that biodiversity increases the stability of ecosystem processes in changing environments, but the mechanisms that underlie this effect are still controversial and poorly understood. Here, we extend mechanistic theory of ecosystem stability in competitive communities to clarify the mechanisms underlying diversity-stability relationships. We first explain why, contrary to a widely held belief, interspecific competition should generally play a destabilising role. We then explore the stabilising effect of differences in species' intrinsic rates of natural increase and provide a synthesis of various potentially stabilising mechanisms. Three main mechanisms are likely to operate in the stabilising effects of biodiversity on ecosystem properties: (1) asynchrony of species' intrinsic responses to environmental fluctuations, (2) differences in the speed at which species respond to perturbations, (3) reduction in the strength of competition. The first two mechanisms involve temporal complementarity between species, while the third results from functional complementarity. Additional potential mechanisms include selection effects, behavioural changes resulting from species interactions and mechanisms arising from trophic or non-trophic interactions and spatial heterogeneity. We conclude that mechanistic trait-based approaches are key to predicting the effects of diversity on ecosystem stability and to bringing the old diversity-stability debate to a final resolution.","author":[{"dropping-particle":"","family":"Loreau","given":"Michel","non-dropping-particle":"","parse-names":false,"suffix":""},{"dropping-particle":"","family":"Mazancourt","given":"Claire","non-dropping-particle":"de","parse-names":false,"suffix":""}],"container-title":"Ecology Letters","id":"ITEM-1","issue":"SUPPL.1","issued":{"date-parts":[["2013"]]},"page":"106-115","title":"Biodiversity and ecosystem stability: A synthesis of underlying mechanisms","type":"article-journal","volume":"16"},"uris":["http://www.mendeley.com/documents/?uuid=c493fe12-5a1f-4525-8031-ae12338164a7"]},{"id":"ITEM-2","itemData":{"DOI":"10.1111/nph.15263","ISSN":"14698137","abstract":"Contents I. II. III. IV. V. References Summary Although the relationship between species diversity and biomass productivity has been extensively studied in grasslands, the impact of tree species diversity on forest productivity, as well as the main drivers of this relationship, are still under discussion. It is widely accepted that the magnitude of the relationship between tree diversity and forest stand productivity is context specific and depends on environmental conditions, but the underlying mechanisms of this relationship are still not fully understood. Competition reduction and facilitation have been identified as key mechanisms driving the diversity–productivity relationship. However, contrasting results have been reported with respect to the extent to which competition reduction and facilitation determine the diversity–productivity relationship. They appear to depend on regional climate, soil fertility, functional diversity of the tree species involved, and developmental stage of the forest. The purpose of this review is to summarize current knowledge and to suggest a conceptual framework to explain the various processes leading to higher productivity of species-rich forests compared with average yields of their respective monocultures. This framework provides three pathways for possible development of the diversity–productivity relationship under a changing climate.","author":[{"dropping-particle":"","family":"Ammer","given":"Christian","non-dropping-particle":"","parse-names":false,"suffix":""}],"container-title":"New Phytologist","id":"ITEM-2","issue":"1","issued":{"date-parts":[["2019"]]},"page":"50-66","title":"Diversity and forest productivity in a changing climate","type":"article-journal","volume":"221"},"uris":["http://www.mendeley.com/documents/?uuid=567b10f1-7c1f-4847-93e4-5afd0900e019"]},{"id":"ITEM-3","itemData":{"DOI":"10.1016/j.tree.2010.01.010","ISBN":"0169-5347 (Print)\\r0169-5347 (Linking)","ISSN":"01695347","PMID":"20189677","abstract":"Over 100 gigatons of terrestrial plant biomass are produced globally each year. Ninety percent of this biomass escapes herbivory and enters the dead organic matter pool, thus supporting complex detritus-based food webs that determine the critical balance between carbon mineralization and sequestration. How will changes in biodiversity affect this vital component of ecosystem functioning? Based on our analysis of concepts and experiments of leaf decomposition in forest floors and streams, we suggest that changes in species diversity within and across trophic levels can significantly alter decomposition. This happens through various mechanisms that are broadly similar in forest floors and streams. Differences in diversity effects between these systems relate to divergent habitat conditions and evolutionary trajectories of aquatic and terrestrial decomposers. ?? 2010 Elsevier Ltd.","author":[{"dropping-particle":"","family":"Gessner","given":"Mark O.","non-dropping-particle":"","parse-names":false,"suffix":""},{"dropping-particle":"","family":"Swan","given":"Christopher M.","non-dropping-particle":"","parse-names":false,"suffix":""},{"dropping-particle":"","family":"Dang","given":"Christian K.","non-dropping-particle":"","parse-names":false,"suffix":""},{"dropping-particle":"","family":"McKie","given":"Brendan G.","non-dropping-particle":"","parse-names":false,"suffix":""},{"dropping-particle":"","family":"Bardgett","given":"Richard D.","non-dropping-particle":"","parse-names":false,"suffix":""},{"dropping-particle":"","family":"Wall","given":"Diana H.","non-dropping-particle":"","parse-names":false,"suffix":""},{"dropping-particle":"","family":"Hättenschwiler","given":"Stephan","non-dropping-particle":"","parse-names":false,"suffix":""}],"container-title":"Trends in Ecology and Evolution","id":"ITEM-3","issue":"6","issued":{"date-parts":[["2010"]]},"page":"372-380","publisher":"Elsevier Ltd","title":"Diversity meets decomposition","type":"article-journal","volume":"25"},"uris":["http://www.mendeley.com/documents/?uuid=fc365353-1395-4803-84c9-7b717a1959d4"]},{"id":"ITEM-4","itemData":{"DOI":"10.1038/nature11373","ISBN":"00280836","ISSN":"0028-0836","PMID":"22678280","abstract":"The most unique feature of Earth is the existence of life, and the most extraordinary feature of life is its diversity. Approximately 9 million types of plants, animals, protists and fungi inhabit the Earth. So, too, do 7 billion people. Two decades ago, at the first Earth Summit, the vast majority of the world's nations declared that human actions were dismantling the Earth's ecosystems, eliminating genes, species and biological traits at an alarming rate. This observation led to the question of how such loss of biological diversity will alter the functioning of ecosystems and their ability to provide society with the goods and services needed to prosper.","author":[{"dropping-particle":"","family":"Cardinale","given":"Bradley J.","non-dropping-particle":"","parse-names":false,"suffix":""},{"dropping-particle":"","family":"Duffy","given":"J. Emmett","non-dropping-particle":"","parse-names":false,"suffix":""},{"dropping-particle":"","family":"Gonzalez","given":"Andrew","non-dropping-particle":"","parse-names":false,"suffix":""},{"dropping-particle":"","family":"Hooper","given":"David U.","non-dropping-particle":"","parse-names":false,"suffix":""},{"dropping-particle":"","family":"Perrings","given":"Charles","non-dropping-particle":"","parse-names":false,"suffix":""},{"dropping-particle":"","family":"Venail","given":"Patrick","non-dropping-particle":"","parse-names":false,"suffix":""},{"dropping-particle":"","family":"Narwani","given":"Anita","non-dropping-particle":"","parse-names":false,"suffix":""},{"dropping-particle":"","family":"Mace","given":"Georgina M.","non-dropping-particle":"","parse-names":false,"suffix":""},{"dropping-particle":"","family":"Tilman","given":"David","non-dropping-particle":"","parse-names":false,"suffix":""},{"dropping-particle":"","family":"A.Wardle","given":"David","non-dropping-particle":"","parse-names":false,"suffix":""},{"dropping-particle":"","family":"Kinzig","given":"Ann P.","non-dropping-particle":"","parse-names":false,"suffix":""},{"dropping-particle":"","family":"Daily","given":"Gretchen C.","non-dropping-particle":"","parse-names":false,"suffix":""},{"dropping-particle":"","family":"Loreau","given":"Michel","non-dropping-particle":"","parse-names":false,"suffix":""},{"dropping-particle":"","family":"Grace","given":"James B.","non-dropping-particle":"","parse-names":false,"suffix":""},{"dropping-particle":"","family":"Larigauderie","given":"Anne","non-dropping-particle":"","parse-names":false,"suffix":""},{"dropping-particle":"","family":"Srivastava","given":"Diane S.","non-dropping-particle":"","parse-names":false,"suffix":""},{"dropping-particle":"","family":"Naeem","given":"Shahid","non-dropping-particle":"","parse-names":false,"suffix":""}],"container-title":"Nature","id":"ITEM-4","issue":"7415","issued":{"date-parts":[["2012"]]},"page":"326-326","title":"Biodiversity loss and its impact on humanity","type":"article-journal","volume":"489"},"uris":["http://www.mendeley.com/documents/?uuid=f6a15fe7-f5ae-4671-8e5c-87c2077763b2"]}],"mendeley":{"formattedCitation":"(Gessner &lt;i&gt;et al.&lt;/i&gt;, 2010; Cardinale &lt;i&gt;et al.&lt;/i&gt;, 2012; Loreau &amp; de Mazancourt, 2013; Ammer, 2019)","plainTextFormattedCitation":"(Gessner et al., 2010; Cardinale et al., 2012; Loreau &amp; de Mazancourt, 2013; Ammer, 2019)","previouslyFormattedCitation":"(Gessner &lt;i&gt;et al.&lt;/i&gt;, 2010; Cardinale &lt;i&gt;et al.&lt;/i&gt;, 2012; Loreau &amp; de Mazancourt, 2013; Ammer, 2019)"},"properties":{"noteIndex":0},"schema":"https://github.com/citation-style-language/schema/raw/master/csl-citation.json"}</w:instrText>
      </w:r>
      <w:r w:rsidR="00B8090A" w:rsidRPr="00364D88">
        <w:rPr>
          <w:rFonts w:ascii="Arial" w:hAnsi="Arial" w:cs="Arial"/>
          <w:lang w:val="en-GB"/>
        </w:rPr>
        <w:fldChar w:fldCharType="separate"/>
      </w:r>
      <w:r w:rsidR="009E486E" w:rsidRPr="00364D88">
        <w:rPr>
          <w:rFonts w:ascii="Arial" w:hAnsi="Arial" w:cs="Arial"/>
          <w:noProof/>
          <w:lang w:val="nl-BE"/>
        </w:rPr>
        <w:t xml:space="preserve">(Gessner </w:t>
      </w:r>
      <w:r w:rsidR="009E486E" w:rsidRPr="00364D88">
        <w:rPr>
          <w:rFonts w:ascii="Arial" w:hAnsi="Arial" w:cs="Arial"/>
          <w:i/>
          <w:noProof/>
          <w:lang w:val="nl-BE"/>
        </w:rPr>
        <w:t>et al.</w:t>
      </w:r>
      <w:r w:rsidR="009E486E" w:rsidRPr="00364D88">
        <w:rPr>
          <w:rFonts w:ascii="Arial" w:hAnsi="Arial" w:cs="Arial"/>
          <w:noProof/>
          <w:lang w:val="nl-BE"/>
        </w:rPr>
        <w:t xml:space="preserve">, 2010; Cardinale </w:t>
      </w:r>
      <w:r w:rsidR="009E486E" w:rsidRPr="00364D88">
        <w:rPr>
          <w:rFonts w:ascii="Arial" w:hAnsi="Arial" w:cs="Arial"/>
          <w:i/>
          <w:noProof/>
          <w:lang w:val="nl-BE"/>
        </w:rPr>
        <w:t>et al.</w:t>
      </w:r>
      <w:r w:rsidR="009E486E" w:rsidRPr="00364D88">
        <w:rPr>
          <w:rFonts w:ascii="Arial" w:hAnsi="Arial" w:cs="Arial"/>
          <w:noProof/>
          <w:lang w:val="nl-BE"/>
        </w:rPr>
        <w:t>, 2012; Loreau &amp; de Mazancourt, 2013; Ammer, 2019)</w:t>
      </w:r>
      <w:r w:rsidR="00B8090A" w:rsidRPr="00364D88">
        <w:rPr>
          <w:rFonts w:ascii="Arial" w:hAnsi="Arial" w:cs="Arial"/>
          <w:lang w:val="en-GB"/>
        </w:rPr>
        <w:fldChar w:fldCharType="end"/>
      </w:r>
      <w:r w:rsidR="00B8090A" w:rsidRPr="00364D88">
        <w:rPr>
          <w:rFonts w:ascii="Arial" w:hAnsi="Arial" w:cs="Arial"/>
          <w:lang w:val="nl-BE"/>
        </w:rPr>
        <w:t xml:space="preserve">. </w:t>
      </w:r>
      <w:r w:rsidR="00F46798" w:rsidRPr="00364D88">
        <w:rPr>
          <w:rFonts w:ascii="Arial" w:hAnsi="Arial" w:cs="Arial"/>
          <w:lang w:val="en-GB"/>
        </w:rPr>
        <w:t xml:space="preserve">Larger diversity of plant species may </w:t>
      </w:r>
      <w:r w:rsidR="00B8090A" w:rsidRPr="00364D88">
        <w:rPr>
          <w:rFonts w:ascii="Arial" w:hAnsi="Arial" w:cs="Arial"/>
          <w:lang w:val="en-GB"/>
        </w:rPr>
        <w:t>then</w:t>
      </w:r>
      <w:r w:rsidR="00F46798" w:rsidRPr="00364D88">
        <w:rPr>
          <w:rFonts w:ascii="Arial" w:hAnsi="Arial" w:cs="Arial"/>
          <w:lang w:val="en-GB"/>
        </w:rPr>
        <w:t xml:space="preserve"> entail a larger diversity of decomposers, which would </w:t>
      </w:r>
      <w:r w:rsidR="00B8090A" w:rsidRPr="00364D88">
        <w:rPr>
          <w:rFonts w:ascii="Arial" w:hAnsi="Arial" w:cs="Arial"/>
          <w:lang w:val="en-GB"/>
        </w:rPr>
        <w:t>hence</w:t>
      </w:r>
      <w:r w:rsidR="00F46798" w:rsidRPr="00364D88">
        <w:rPr>
          <w:rFonts w:ascii="Arial" w:hAnsi="Arial" w:cs="Arial"/>
          <w:lang w:val="en-GB"/>
        </w:rPr>
        <w:t xml:space="preserve"> contribute to a positive effect on decomposition of organic matter and, </w:t>
      </w:r>
      <w:r w:rsidR="00B8090A" w:rsidRPr="00364D88">
        <w:rPr>
          <w:rFonts w:ascii="Arial" w:hAnsi="Arial" w:cs="Arial"/>
          <w:lang w:val="en-GB"/>
        </w:rPr>
        <w:t>therefore</w:t>
      </w:r>
      <w:r w:rsidR="00F46798" w:rsidRPr="00364D88">
        <w:rPr>
          <w:rFonts w:ascii="Arial" w:hAnsi="Arial" w:cs="Arial"/>
          <w:lang w:val="en-GB"/>
        </w:rPr>
        <w:t xml:space="preserve">, respiration. </w:t>
      </w:r>
      <w:r w:rsidR="005C783E" w:rsidRPr="00364D88">
        <w:rPr>
          <w:rFonts w:ascii="Arial" w:hAnsi="Arial" w:cs="Arial"/>
          <w:lang w:val="en-GB"/>
        </w:rPr>
        <w:t xml:space="preserve">Instead, the negative relationship between phylogenetic diversity and temporal variability in NEP across non-forest ecosystems was stronger and in agreement with our initial hypotheses. </w:t>
      </w:r>
      <w:r w:rsidR="00EC58B3" w:rsidRPr="00364D88">
        <w:rPr>
          <w:rFonts w:ascii="Arial" w:hAnsi="Arial" w:cs="Arial"/>
          <w:lang w:val="en-GB"/>
        </w:rPr>
        <w:t xml:space="preserve">These results may also indicate that </w:t>
      </w:r>
      <w:r w:rsidR="0065443A" w:rsidRPr="00364D88">
        <w:rPr>
          <w:rFonts w:ascii="Arial" w:hAnsi="Arial" w:cs="Arial"/>
          <w:lang w:val="en-GB"/>
        </w:rPr>
        <w:t xml:space="preserve">complementary effects and niche partitioning </w:t>
      </w:r>
      <w:r w:rsidR="00EC58B3" w:rsidRPr="00364D88">
        <w:rPr>
          <w:rFonts w:ascii="Arial" w:hAnsi="Arial" w:cs="Arial"/>
          <w:lang w:val="en-GB"/>
        </w:rPr>
        <w:t>may be more relevant in non-forest ecosystems</w:t>
      </w:r>
      <w:r w:rsidR="0065443A" w:rsidRPr="00364D88">
        <w:rPr>
          <w:rFonts w:ascii="Arial" w:hAnsi="Arial" w:cs="Arial"/>
          <w:lang w:val="en-GB"/>
        </w:rPr>
        <w:t xml:space="preserve"> because </w:t>
      </w:r>
      <w:r w:rsidR="00AD2973" w:rsidRPr="00364D88">
        <w:rPr>
          <w:rFonts w:ascii="Arial" w:hAnsi="Arial" w:cs="Arial"/>
          <w:lang w:val="en-GB"/>
        </w:rPr>
        <w:t>the usual inference is that the larger the phylogenetic diversity at a site, the more likely it is that the species are functionally different</w:t>
      </w:r>
      <w:r w:rsidR="0065443A" w:rsidRPr="00364D88">
        <w:rPr>
          <w:rFonts w:ascii="Arial" w:hAnsi="Arial" w:cs="Arial"/>
          <w:lang w:val="en-GB"/>
        </w:rPr>
        <w:t>.</w:t>
      </w:r>
      <w:r w:rsidR="00B8090A" w:rsidRPr="00364D88">
        <w:rPr>
          <w:rFonts w:ascii="Arial" w:hAnsi="Arial" w:cs="Arial"/>
          <w:lang w:val="en-GB"/>
        </w:rPr>
        <w:t xml:space="preserve"> </w:t>
      </w:r>
      <w:r w:rsidR="0065443A" w:rsidRPr="00364D88">
        <w:rPr>
          <w:rFonts w:ascii="Arial" w:hAnsi="Arial" w:cs="Arial"/>
          <w:lang w:val="en-GB"/>
        </w:rPr>
        <w:t xml:space="preserve">Temporal asynchrony is then easier to achieve if species are </w:t>
      </w:r>
      <w:r w:rsidR="00406276" w:rsidRPr="00364D88">
        <w:rPr>
          <w:rFonts w:ascii="Arial" w:hAnsi="Arial" w:cs="Arial"/>
          <w:lang w:val="en-GB"/>
        </w:rPr>
        <w:t xml:space="preserve">phylogenetically, and </w:t>
      </w:r>
      <w:r w:rsidR="005C699A" w:rsidRPr="00364D88">
        <w:rPr>
          <w:rFonts w:ascii="Arial" w:hAnsi="Arial" w:cs="Arial"/>
          <w:lang w:val="en-GB"/>
        </w:rPr>
        <w:t xml:space="preserve">thereby </w:t>
      </w:r>
      <w:r w:rsidR="00406276" w:rsidRPr="00364D88">
        <w:rPr>
          <w:rFonts w:ascii="Arial" w:hAnsi="Arial" w:cs="Arial"/>
          <w:lang w:val="en-GB"/>
        </w:rPr>
        <w:t xml:space="preserve">likely, </w:t>
      </w:r>
      <w:r w:rsidR="0065443A" w:rsidRPr="00364D88">
        <w:rPr>
          <w:rFonts w:ascii="Arial" w:hAnsi="Arial" w:cs="Arial"/>
          <w:lang w:val="en-GB"/>
        </w:rPr>
        <w:t>functionally distant</w:t>
      </w:r>
      <w:r w:rsidR="00406276" w:rsidRPr="00364D88">
        <w:rPr>
          <w:rFonts w:ascii="Arial" w:hAnsi="Arial" w:cs="Arial"/>
          <w:lang w:val="en-GB"/>
        </w:rPr>
        <w:t xml:space="preserve">, because they </w:t>
      </w:r>
      <w:r w:rsidR="00B8090A" w:rsidRPr="00364D88">
        <w:rPr>
          <w:rFonts w:ascii="Arial" w:hAnsi="Arial" w:cs="Arial"/>
          <w:lang w:val="en-GB"/>
        </w:rPr>
        <w:t xml:space="preserve">are </w:t>
      </w:r>
      <w:r w:rsidR="00406276" w:rsidRPr="00364D88">
        <w:rPr>
          <w:rFonts w:ascii="Arial" w:hAnsi="Arial" w:cs="Arial"/>
          <w:lang w:val="en-GB"/>
        </w:rPr>
        <w:t>more likely to respond differently to environmental variability amongst each other</w:t>
      </w:r>
      <w:r w:rsidR="0065443A" w:rsidRPr="00364D88">
        <w:rPr>
          <w:rFonts w:ascii="Arial" w:hAnsi="Arial" w:cs="Arial"/>
          <w:lang w:val="en-GB"/>
        </w:rPr>
        <w:t xml:space="preserve">. </w:t>
      </w:r>
    </w:p>
    <w:p w14:paraId="07E1B884" w14:textId="7BD669B5" w:rsidR="00933044" w:rsidRPr="00364D88" w:rsidRDefault="00596C26" w:rsidP="00933044">
      <w:pPr>
        <w:spacing w:line="360" w:lineRule="auto"/>
        <w:jc w:val="both"/>
        <w:outlineLvl w:val="0"/>
        <w:rPr>
          <w:rFonts w:ascii="Arial" w:hAnsi="Arial"/>
          <w:i/>
          <w:lang w:val="en-GB"/>
        </w:rPr>
      </w:pPr>
      <w:r w:rsidRPr="00364D88">
        <w:rPr>
          <w:rFonts w:ascii="Arial" w:hAnsi="Arial"/>
          <w:i/>
          <w:lang w:val="en-GB"/>
        </w:rPr>
        <w:t>Climate and stand age effects on</w:t>
      </w:r>
      <w:r w:rsidR="00933044" w:rsidRPr="00364D88">
        <w:rPr>
          <w:rFonts w:ascii="Arial" w:hAnsi="Arial"/>
          <w:i/>
          <w:lang w:val="en-GB"/>
        </w:rPr>
        <w:t xml:space="preserve"> ecosystem C balance</w:t>
      </w:r>
    </w:p>
    <w:p w14:paraId="7C9A2C2F" w14:textId="1D99C35E" w:rsidR="00C90480" w:rsidRPr="00364D88" w:rsidRDefault="00BB2878" w:rsidP="001F487A">
      <w:pPr>
        <w:spacing w:line="360" w:lineRule="auto"/>
        <w:jc w:val="both"/>
        <w:outlineLvl w:val="0"/>
        <w:rPr>
          <w:rFonts w:ascii="Arial" w:hAnsi="Arial" w:cs="Arial"/>
          <w:lang w:val="en-GB"/>
        </w:rPr>
      </w:pPr>
      <w:r w:rsidRPr="00364D88">
        <w:rPr>
          <w:rFonts w:ascii="Arial" w:hAnsi="Arial" w:cs="Arial"/>
          <w:lang w:val="en-GB"/>
        </w:rPr>
        <w:t>C</w:t>
      </w:r>
      <w:r w:rsidR="003E1EE8" w:rsidRPr="00364D88">
        <w:rPr>
          <w:rFonts w:ascii="Arial" w:hAnsi="Arial" w:cs="Arial"/>
          <w:lang w:val="en-GB"/>
        </w:rPr>
        <w:t>limate</w:t>
      </w:r>
      <w:r w:rsidR="00AE5025" w:rsidRPr="00364D88">
        <w:rPr>
          <w:rFonts w:ascii="Arial" w:hAnsi="Arial" w:cs="Arial"/>
          <w:lang w:val="en-GB"/>
        </w:rPr>
        <w:t xml:space="preserve"> played </w:t>
      </w:r>
      <w:r w:rsidR="005C699A" w:rsidRPr="00364D88">
        <w:rPr>
          <w:rFonts w:ascii="Arial" w:hAnsi="Arial" w:cs="Arial"/>
          <w:lang w:val="en-GB"/>
        </w:rPr>
        <w:t xml:space="preserve">a </w:t>
      </w:r>
      <w:r w:rsidRPr="00364D88">
        <w:rPr>
          <w:rFonts w:ascii="Arial" w:hAnsi="Arial" w:cs="Arial"/>
          <w:lang w:val="en-GB"/>
        </w:rPr>
        <w:t>much more</w:t>
      </w:r>
      <w:r w:rsidR="00AE5025" w:rsidRPr="00364D88">
        <w:rPr>
          <w:rFonts w:ascii="Arial" w:hAnsi="Arial" w:cs="Arial"/>
          <w:lang w:val="en-GB"/>
        </w:rPr>
        <w:t xml:space="preserve"> important role in </w:t>
      </w:r>
      <w:r w:rsidRPr="00364D88">
        <w:rPr>
          <w:rFonts w:ascii="Arial" w:hAnsi="Arial" w:cs="Arial"/>
          <w:lang w:val="en-GB"/>
        </w:rPr>
        <w:t>controlling</w:t>
      </w:r>
      <w:r w:rsidR="00AE5025" w:rsidRPr="00364D88">
        <w:rPr>
          <w:rFonts w:ascii="Arial" w:hAnsi="Arial" w:cs="Arial"/>
          <w:lang w:val="en-GB"/>
        </w:rPr>
        <w:t xml:space="preserve"> </w:t>
      </w:r>
      <w:r w:rsidR="003E1EE8" w:rsidRPr="00364D88">
        <w:rPr>
          <w:rFonts w:ascii="Arial" w:hAnsi="Arial" w:cs="Arial"/>
          <w:lang w:val="en-GB"/>
        </w:rPr>
        <w:t>annual C fluxes and their</w:t>
      </w:r>
      <w:r w:rsidR="00AE5025" w:rsidRPr="00364D88">
        <w:rPr>
          <w:rFonts w:ascii="Arial" w:hAnsi="Arial" w:cs="Arial"/>
          <w:lang w:val="en-GB"/>
        </w:rPr>
        <w:t xml:space="preserve"> temporal variability than </w:t>
      </w:r>
      <w:r w:rsidR="00AD2973" w:rsidRPr="00364D88">
        <w:rPr>
          <w:rFonts w:ascii="Arial" w:hAnsi="Arial" w:cs="Arial"/>
          <w:lang w:val="en-GB"/>
        </w:rPr>
        <w:t xml:space="preserve">either </w:t>
      </w:r>
      <w:r w:rsidR="003E1EE8" w:rsidRPr="00364D88">
        <w:rPr>
          <w:rFonts w:ascii="Arial" w:hAnsi="Arial" w:cs="Arial"/>
          <w:lang w:val="en-GB"/>
        </w:rPr>
        <w:t xml:space="preserve">elemental composition or </w:t>
      </w:r>
      <w:r w:rsidR="00AE5025" w:rsidRPr="00364D88">
        <w:rPr>
          <w:rFonts w:ascii="Arial" w:hAnsi="Arial" w:cs="Arial"/>
          <w:lang w:val="en-GB"/>
        </w:rPr>
        <w:t xml:space="preserve">diversity </w:t>
      </w:r>
      <w:r w:rsidR="009D44F0" w:rsidRPr="00364D88">
        <w:rPr>
          <w:rFonts w:ascii="Arial" w:hAnsi="Arial" w:cs="Arial"/>
          <w:lang w:val="en-GB"/>
        </w:rPr>
        <w:t>(</w:t>
      </w:r>
      <w:r w:rsidR="0097342B" w:rsidRPr="00364D88">
        <w:rPr>
          <w:rFonts w:ascii="Arial" w:hAnsi="Arial" w:cs="Arial"/>
          <w:b/>
          <w:lang w:val="en-GB"/>
        </w:rPr>
        <w:t>Fig</w:t>
      </w:r>
      <w:r w:rsidR="00D94A18">
        <w:rPr>
          <w:rFonts w:ascii="Arial" w:hAnsi="Arial" w:cs="Arial"/>
          <w:b/>
          <w:lang w:val="en-GB"/>
        </w:rPr>
        <w:t>.</w:t>
      </w:r>
      <w:r w:rsidR="0097342B" w:rsidRPr="00364D88">
        <w:rPr>
          <w:rFonts w:ascii="Arial" w:hAnsi="Arial" w:cs="Arial"/>
          <w:b/>
          <w:lang w:val="en-GB"/>
        </w:rPr>
        <w:t xml:space="preserve"> </w:t>
      </w:r>
      <w:r w:rsidRPr="00364D88">
        <w:rPr>
          <w:rFonts w:ascii="Arial" w:hAnsi="Arial" w:cs="Arial"/>
          <w:b/>
          <w:lang w:val="en-GB"/>
        </w:rPr>
        <w:t>1</w:t>
      </w:r>
      <w:r w:rsidR="003E1EE8" w:rsidRPr="00364D88">
        <w:rPr>
          <w:rFonts w:ascii="Arial" w:hAnsi="Arial" w:cs="Arial"/>
          <w:b/>
          <w:lang w:val="en-GB"/>
        </w:rPr>
        <w:t xml:space="preserve">, </w:t>
      </w:r>
      <w:r w:rsidRPr="00364D88">
        <w:rPr>
          <w:rFonts w:ascii="Arial" w:hAnsi="Arial" w:cs="Arial"/>
          <w:b/>
          <w:lang w:val="en-GB"/>
        </w:rPr>
        <w:t>Fig</w:t>
      </w:r>
      <w:r w:rsidR="00D94A18">
        <w:rPr>
          <w:rFonts w:ascii="Arial" w:hAnsi="Arial" w:cs="Arial"/>
          <w:b/>
          <w:lang w:val="en-GB"/>
        </w:rPr>
        <w:t>.</w:t>
      </w:r>
      <w:r w:rsidRPr="00364D88">
        <w:rPr>
          <w:rFonts w:ascii="Arial" w:hAnsi="Arial" w:cs="Arial"/>
          <w:b/>
          <w:lang w:val="en-GB"/>
        </w:rPr>
        <w:t xml:space="preserve"> 4, </w:t>
      </w:r>
      <w:r w:rsidR="003E1EE8" w:rsidRPr="00364D88">
        <w:rPr>
          <w:rFonts w:ascii="Arial" w:hAnsi="Arial" w:cs="Arial"/>
          <w:b/>
          <w:lang w:val="en-GB"/>
        </w:rPr>
        <w:t>Fig</w:t>
      </w:r>
      <w:r w:rsidR="00D94A18">
        <w:rPr>
          <w:rFonts w:ascii="Arial" w:hAnsi="Arial" w:cs="Arial"/>
          <w:b/>
          <w:lang w:val="en-GB"/>
        </w:rPr>
        <w:t>.</w:t>
      </w:r>
      <w:r w:rsidR="003E1EE8" w:rsidRPr="00364D88">
        <w:rPr>
          <w:rFonts w:ascii="Arial" w:hAnsi="Arial" w:cs="Arial"/>
          <w:b/>
          <w:lang w:val="en-GB"/>
        </w:rPr>
        <w:t xml:space="preserve"> S2, </w:t>
      </w:r>
      <w:r w:rsidR="006B425D" w:rsidRPr="00364D88">
        <w:rPr>
          <w:rFonts w:ascii="Arial" w:hAnsi="Arial" w:cs="Arial"/>
          <w:b/>
          <w:lang w:val="en-GB"/>
        </w:rPr>
        <w:t>Fig</w:t>
      </w:r>
      <w:r w:rsidR="00D94A18">
        <w:rPr>
          <w:rFonts w:ascii="Arial" w:hAnsi="Arial" w:cs="Arial"/>
          <w:b/>
          <w:lang w:val="en-GB"/>
        </w:rPr>
        <w:t>.</w:t>
      </w:r>
      <w:r w:rsidR="006B425D" w:rsidRPr="00364D88">
        <w:rPr>
          <w:rFonts w:ascii="Arial" w:hAnsi="Arial" w:cs="Arial"/>
          <w:b/>
          <w:lang w:val="en-GB"/>
        </w:rPr>
        <w:t xml:space="preserve"> S3</w:t>
      </w:r>
      <w:r w:rsidR="009D44F0" w:rsidRPr="00364D88">
        <w:rPr>
          <w:rFonts w:ascii="Arial" w:hAnsi="Arial" w:cs="Arial"/>
          <w:lang w:val="en-GB"/>
        </w:rPr>
        <w:t>)</w:t>
      </w:r>
      <w:r w:rsidR="00AE5025" w:rsidRPr="00364D88">
        <w:rPr>
          <w:rFonts w:ascii="Arial" w:hAnsi="Arial" w:cs="Arial"/>
          <w:lang w:val="en-GB"/>
        </w:rPr>
        <w:t xml:space="preserve">. </w:t>
      </w:r>
      <w:r w:rsidR="003E1EE8" w:rsidRPr="00364D88">
        <w:rPr>
          <w:rFonts w:ascii="Arial" w:hAnsi="Arial" w:cs="Arial"/>
          <w:lang w:val="en-GB"/>
        </w:rPr>
        <w:t xml:space="preserve">We found a general trend of increasing variability in C fluxes in </w:t>
      </w:r>
      <w:r w:rsidR="003C3F22" w:rsidRPr="00364D88">
        <w:rPr>
          <w:rFonts w:ascii="Arial" w:hAnsi="Arial" w:cs="Arial"/>
          <w:lang w:val="en-GB"/>
        </w:rPr>
        <w:t>warmer</w:t>
      </w:r>
      <w:r w:rsidR="003E1EE8" w:rsidRPr="00364D88">
        <w:rPr>
          <w:rFonts w:ascii="Arial" w:hAnsi="Arial" w:cs="Arial"/>
          <w:lang w:val="en-GB"/>
        </w:rPr>
        <w:t xml:space="preserve"> climates</w:t>
      </w:r>
      <w:r w:rsidR="003C3F22" w:rsidRPr="00364D88">
        <w:rPr>
          <w:rFonts w:ascii="Arial" w:hAnsi="Arial" w:cs="Arial"/>
          <w:lang w:val="en-GB"/>
        </w:rPr>
        <w:t xml:space="preserve"> and a very interesting negative effect of climate variability on GPP and Re</w:t>
      </w:r>
      <w:r w:rsidR="00F32CB2" w:rsidRPr="00364D88">
        <w:rPr>
          <w:rFonts w:ascii="Arial" w:hAnsi="Arial" w:cs="Arial"/>
          <w:lang w:val="en-GB"/>
        </w:rPr>
        <w:t>.</w:t>
      </w:r>
      <w:r w:rsidR="003C3F22" w:rsidRPr="00364D88">
        <w:rPr>
          <w:rFonts w:ascii="Arial" w:hAnsi="Arial" w:cs="Arial"/>
          <w:lang w:val="en-GB"/>
        </w:rPr>
        <w:t xml:space="preserve"> The latter </w:t>
      </w:r>
      <w:r w:rsidR="00B222E7" w:rsidRPr="00364D88">
        <w:rPr>
          <w:rFonts w:ascii="Arial" w:hAnsi="Arial" w:cs="Arial"/>
          <w:lang w:val="en-GB"/>
        </w:rPr>
        <w:t>relationship</w:t>
      </w:r>
      <w:r w:rsidR="003C3F22" w:rsidRPr="00364D88">
        <w:rPr>
          <w:rFonts w:ascii="Arial" w:hAnsi="Arial" w:cs="Arial"/>
          <w:lang w:val="en-GB"/>
        </w:rPr>
        <w:t xml:space="preserve"> may be indicative</w:t>
      </w:r>
      <w:r w:rsidR="00B222E7" w:rsidRPr="00364D88">
        <w:rPr>
          <w:rFonts w:ascii="Arial" w:hAnsi="Arial" w:cs="Arial"/>
          <w:lang w:val="en-GB"/>
        </w:rPr>
        <w:t xml:space="preserve"> of lower performance under periods of stress due to too high or too low temperatures or precipitation.</w:t>
      </w:r>
      <w:r w:rsidR="00F32CB2" w:rsidRPr="00364D88">
        <w:rPr>
          <w:rFonts w:ascii="Arial" w:hAnsi="Arial" w:cs="Arial"/>
          <w:lang w:val="en-GB"/>
        </w:rPr>
        <w:t xml:space="preserve"> In forest ecosystems, stand age </w:t>
      </w:r>
      <w:r w:rsidRPr="00364D88">
        <w:rPr>
          <w:rFonts w:ascii="Arial" w:hAnsi="Arial" w:cs="Arial"/>
          <w:lang w:val="en-GB"/>
        </w:rPr>
        <w:t>also presented</w:t>
      </w:r>
      <w:r w:rsidR="00F32CB2" w:rsidRPr="00364D88">
        <w:rPr>
          <w:rFonts w:ascii="Arial" w:hAnsi="Arial" w:cs="Arial"/>
          <w:lang w:val="en-GB"/>
        </w:rPr>
        <w:t xml:space="preserve"> </w:t>
      </w:r>
      <w:r w:rsidRPr="00364D88">
        <w:rPr>
          <w:rFonts w:ascii="Arial" w:hAnsi="Arial" w:cs="Arial"/>
          <w:lang w:val="en-GB"/>
        </w:rPr>
        <w:t>a relevant role</w:t>
      </w:r>
      <w:r w:rsidR="00F32CB2" w:rsidRPr="00364D88">
        <w:rPr>
          <w:rFonts w:ascii="Arial" w:hAnsi="Arial" w:cs="Arial"/>
          <w:lang w:val="en-GB"/>
        </w:rPr>
        <w:t xml:space="preserve"> on </w:t>
      </w:r>
      <w:r w:rsidR="005C699A" w:rsidRPr="00364D88">
        <w:rPr>
          <w:rFonts w:ascii="Arial" w:hAnsi="Arial" w:cs="Arial"/>
          <w:lang w:val="en-GB"/>
        </w:rPr>
        <w:t xml:space="preserve">the </w:t>
      </w:r>
      <w:r w:rsidR="00F32CB2" w:rsidRPr="00364D88">
        <w:rPr>
          <w:rFonts w:ascii="Arial" w:hAnsi="Arial" w:cs="Arial"/>
          <w:lang w:val="en-GB"/>
        </w:rPr>
        <w:t>C balance</w:t>
      </w:r>
      <w:r w:rsidRPr="00364D88">
        <w:rPr>
          <w:rFonts w:ascii="Arial" w:hAnsi="Arial" w:cs="Arial"/>
          <w:lang w:val="en-GB"/>
        </w:rPr>
        <w:t xml:space="preserve"> (</w:t>
      </w:r>
      <w:r w:rsidR="006B425D" w:rsidRPr="00364D88">
        <w:rPr>
          <w:rFonts w:ascii="Arial" w:hAnsi="Arial" w:cs="Arial"/>
          <w:b/>
          <w:lang w:val="en-GB"/>
        </w:rPr>
        <w:t>Fig</w:t>
      </w:r>
      <w:r w:rsidR="00D94A18">
        <w:rPr>
          <w:rFonts w:ascii="Arial" w:hAnsi="Arial" w:cs="Arial"/>
          <w:b/>
          <w:lang w:val="en-GB"/>
        </w:rPr>
        <w:t>.</w:t>
      </w:r>
      <w:r w:rsidR="006B425D" w:rsidRPr="00364D88">
        <w:rPr>
          <w:rFonts w:ascii="Arial" w:hAnsi="Arial" w:cs="Arial"/>
          <w:b/>
          <w:lang w:val="en-GB"/>
        </w:rPr>
        <w:t xml:space="preserve"> S4</w:t>
      </w:r>
      <w:r w:rsidRPr="00364D88">
        <w:rPr>
          <w:rFonts w:ascii="Arial" w:hAnsi="Arial" w:cs="Arial"/>
          <w:lang w:val="en-GB"/>
        </w:rPr>
        <w:t>)</w:t>
      </w:r>
      <w:r w:rsidR="00F32CB2" w:rsidRPr="00364D88">
        <w:rPr>
          <w:rFonts w:ascii="Arial" w:hAnsi="Arial" w:cs="Arial"/>
          <w:lang w:val="en-GB"/>
        </w:rPr>
        <w:t>, supporting previous research</w:t>
      </w:r>
      <w:r w:rsidR="009E486E" w:rsidRPr="00364D88">
        <w:rPr>
          <w:rFonts w:ascii="Arial" w:hAnsi="Arial" w:cs="Arial"/>
          <w:lang w:val="en-GB"/>
        </w:rPr>
        <w:t xml:space="preserve"> </w:t>
      </w:r>
      <w:r w:rsidR="00F32CB2" w:rsidRPr="00364D88">
        <w:rPr>
          <w:rFonts w:ascii="Arial" w:hAnsi="Arial" w:cs="Arial"/>
          <w:lang w:val="en-GB"/>
        </w:rPr>
        <w:fldChar w:fldCharType="begin" w:fldLock="1"/>
      </w:r>
      <w:r w:rsidR="004C0ACC" w:rsidRPr="00364D88">
        <w:rPr>
          <w:rFonts w:ascii="Arial" w:hAnsi="Arial" w:cs="Arial"/>
          <w:lang w:val="en-GB"/>
        </w:rPr>
        <w:instrText>ADDIN CSL_CITATION {"citationItems":[{"id":"ITEM-1","itemData":{"DOI":"10.1046/j.1365-2486.2001.00418.x","ISSN":"13541013","author":[{"dropping-particle":"V.","family":"Carey","given":"Eileen","non-dropping-particle":"","parse-names":false,"suffix":""},{"dropping-particle":"","family":"Sala","given":"Anna","non-dropping-particle":"","parse-names":false,"suffix":""},{"dropping-particle":"","family":"Keane","given":"Robert","non-dropping-particle":"","parse-names":false,"suffix":""},{"dropping-particle":"","family":"Callaway","given":"Ragan M.","non-dropping-particle":"","parse-names":false,"suffix":""}],"container-title":"Global Change Biology","id":"ITEM-1","issue":"4","issued":{"date-parts":[["2001","4","1"]]},"language":"en","page":"339-344","publisher":"Blackwell Science Ltd","title":"Are old forests underestimated as global carbon sinks?","type":"article-journal","volume":"7"},"uris":["http://www.mendeley.com/documents/?uuid=53b8a9e9-87b0-4df8-a9ed-bf88351ce668"]},{"id":"ITEM-2","itemData":{"DOI":"10.1007/s00468-013-0975-9","ISSN":"0931-1890","abstract":"Key message Stand age, water availability, and the length of the warm period are the most influencing controls of forest structure, functioning, and efficiency. Abstract We aimed to discern the distribution and controls of plant biomass, carbon fluxes, and resource-use efficiencies of forest ecosystems ranging from boreal to tropical forests. We analysed a global forest database containing estimates of stand biomass and carbon fluxes (400 and 111 sites, respectively) from which we calculated resource-use efficiencies (biomass production, carbon sequestration, light, and water-use efficiencies). We used the WorldClim climatic database and remote-sensing data derived from the Moderate Resolution Imaging Spectro- radiometer to analyse climatic controls of ecosystem","author":[{"dropping-particle":"","family":"Fernández-Martínez","given":"Marcos","non-dropping-particle":"","parse-names":false,"suffix":""},{"dropping-particle":"","family":"Vicca","given":"Sara","non-dropping-particle":"","parse-names":false,"suffix":""},{"dropping-particle":"","family":"Janssens","given":"Ivan A.","non-dropping-particle":"","parse-names":false,"suffix":""},{"dropping-particle":"","family":"Luyssaert","given":"Sebastiaan","non-dropping-particle":"","parse-names":false,"suffix":""},{"dropping-particle":"","family":"Campioli","given":"Matteo","non-dropping-particle":"","parse-names":false,"suffix":""},{"dropping-particle":"","family":"Sardans","given":"Jordi","non-dropping-particle":"","parse-names":false,"suffix":""},{"dropping-particle":"","family":"Estiarte","given":"Marc","non-dropping-particle":"","parse-names":false,"suffix":""},{"dropping-particle":"","family":"Peñuelas","given":"Josep","non-dropping-particle":"","parse-names":false,"suffix":""}],"container-title":"Trees, structure and function","id":"ITEM-2","issue":"2","issued":{"date-parts":[["2014","1","1"]]},"note":"From Duplicate 1 ( \n\n\n\n\n\n\n\nSpatial variability and controls over biomass stocks, carbon fluxes and resource-use efficiencies in forest ecosystems\n\n\n\n\n\n\n\n- Fernández-Martínez, Marcos; Vicca, S; Janssens, Ivan a; Campioli, M; Luyssaert, Sebastiaan; Sardans, Jordi; Peñuelas, Josep )\n\n\n\n","page":"597-611","title":"Spatial variability and controls over biomass stocks, carbon fluxes and resource-use efficiencies in forest ecosystems","type":"article-journal","volume":"28"},"uris":["http://www.mendeley.com/documents/?uuid=5d74c1d2-bf0b-4aec-93de-1760cfac4dda"]},{"id":"ITEM-3","itemData":{"DOI":"10.1038/nature07276","ISSN":"1476-4687","PMID":"18784722","abstract":"Old-growth forests remove carbon dioxide from the atmosphere at rates that vary with climate and nitrogen deposition. The sequestered carbon dioxide is stored in live woody tissues and slowly decomposing organic matter in litter and soil. Old-growth forests therefore serve as a global carbon dioxide sink, but they are not protected by international treaties, because it is generally thought that ageing forests cease to accumulate carbon. Here we report a search of literature and databases for forest carbon-flux estimates. We find that in forests between 15 and 800 years of age, net ecosystem productivity (the net carbon balance of the forest including soils) is usually positive. Our results demonstrate that old-growth forests can continue to accumulate carbon, contrary to the long-standing view that they are carbon neutral. Over 30 per cent of the global forest area is unmanaged primary forest, and this area contains the remaining old-growth forests. Half of the primary forests (6 x 10(8) hectares) are located in the boreal and temperate regions of the Northern Hemisphere. On the basis of our analysis, these forests alone sequester about 1.3 +/- 0.5 gigatonnes of carbon per year. Thus, our findings suggest that 15 per cent of the global forest area, which is currently not considered when offsetting increasing atmospheric carbon dioxide concentrations, provides at least 10 per cent of the global net ecosystem productivity. Old-growth forests accumulate carbon for centuries and contain large quantities of it. We expect, however, that much of this carbon, even soil carbon, will move back to the atmosphere if these forests are disturbed.","author":[{"dropping-particle":"","family":"Luyssaert","given":"Sebastiaan","non-dropping-particle":"","parse-names":false,"suffix":""},{"dropping-particle":"","family":"Schulze","given":"E-Detlef","non-dropping-particle":"","parse-names":false,"suffix":""},{"dropping-particle":"","family":"Börner","given":"Annett","non-dropping-particle":"","parse-names":false,"suffix":""},{"dropping-particle":"","family":"Knohl","given":"Alexander","non-dropping-particle":"","parse-names":false,"suffix":""},{"dropping-particle":"","family":"Hessenmöller","given":"Dominik","non-dropping-particle":"","parse-names":false,"suffix":""},{"dropping-particle":"","family":"Law","given":"Beverly E","non-dropping-particle":"","parse-names":false,"suffix":""},{"dropping-particle":"","family":"Ciais","given":"Philippe","non-dropping-particle":"","parse-names":false,"suffix":""},{"dropping-particle":"","family":"Grace","given":"John","non-dropping-particle":"","parse-names":false,"suffix":""}],"container-title":"Nature","id":"ITEM-3","issue":"7210","issued":{"date-parts":[["2008","9","11"]]},"page":"213-5","title":"Old-growth forests as global carbon sinks.","type":"article-journal","volume":"455"},"uris":["http://www.mendeley.com/documents/?uuid=fdc5ce4f-23d7-4c2b-82a4-5cff9b600011"]},{"id":"ITEM-4","itemData":{"DOI":"10.1038/s41559-016-0048","ISSN":"2397-334X","author":[{"dropping-particle":"","family":"Musavi","given":"Talie","non-dropping-particle":"","parse-names":false,"suffix":""},{"dropping-particle":"","family":"Migliavacca","given":"Mirco","non-dropping-particle":"","parse-names":false,"suffix":""},{"dropping-particle":"","family":"Reichstein","given":"Markus","non-dropping-particle":"","parse-names":false,"suffix":""},{"dropping-particle":"","family":"Kattge","given":"Jens","non-dropping-particle":"","parse-names":false,"suffix":""},{"dropping-particle":"","family":"Wirth","given":"Christian","non-dropping-particle":"","parse-names":false,"suffix":""},{"dropping-particle":"","family":"Black","given":"T. Andrew","non-dropping-particle":"","parse-names":false,"suffix":""},{"dropping-particle":"","family":"Janssens","given":"Ivan","non-dropping-particle":"","parse-names":false,"suffix":""},{"dropping-particle":"","family":"Knohl","given":"Alexander","non-dropping-particle":"","parse-names":false,"suffix":""},{"dropping-particle":"","family":"Loustau","given":"Denis","non-dropping-particle":"","parse-names":false,"suffix":""},{"dropping-particle":"","family":"Roupsard","given":"Olivier","non-dropping-particle":"","parse-names":false,"suffix":""},{"dropping-particle":"","family":"Varlagin","given":"Andrej","non-dropping-particle":"","parse-names":false,"suffix":""},{"dropping-particle":"","family":"Rambal","given":"Serge","non-dropping-particle":"","parse-names":false,"suffix":""},{"dropping-particle":"","family":"Cescatti","given":"Alessandro","non-dropping-particl</w:instrText>
      </w:r>
      <w:r w:rsidR="004C0ACC" w:rsidRPr="00364D88">
        <w:rPr>
          <w:rFonts w:ascii="Arial" w:hAnsi="Arial" w:cs="Arial"/>
          <w:lang w:val="es-ES"/>
        </w:rPr>
        <w:instrText>e":"","parse-names":false,"suffix":""},{"dropping-particle":"","family":"Gianelle","given":"Damiano","non-dropping-particle":"","parse-names":false,"suffix":""},{"dropping-particle":"","family":"Kondo","given":"Hiroaki","non-dropping-particle":"","parse-names":false,"suffix":""},{"dropping-particle":"","family":"Tamrakar","given":"Rijan","non-dropping-particle":"","parse-names":false,"suffix":""},{"dropping-particle":"","family":"Mahecha","given":"Miguel D.","non-dropping-particle":"","parse-names":false,"suffix":""}],"container-title":"Nature Ecology &amp; Evolution","id":"ITEM-4","issue":"2","issued":{"date-parts":[["2017"]]},"page":"0048","publisher":"Nature Publishing Group","title":"Stand age and species richness dampen interannual variation of ecosystem-level photosynthetic capacity","type":"article-journal","volume":"1"},"uris":["http://www.mendeley.com/documents/?uuid=fe4ba24d-dd2c-4a93-b6bd-ab6f4ed61e77"]}],"mendeley":{"formattedCitation":"(Carey &lt;i&gt;et al.&lt;/i&gt;, 2001; Luyssaert &lt;i&gt;et al.&lt;/i&gt;, 2008; Fernández-Martínez &lt;i&gt;et al.&lt;/i&gt;, 2014b; Musavi &lt;i&gt;et al.&lt;/i&gt;, 2017)","plainTextFormattedCitation":"(Carey et al., 2001; Luyssaert et al., 2008; Fernández-Martínez et al., 2014b; Musavi et al., 2017)","previouslyFormattedCitation":"(Carey &lt;i&gt;et al.&lt;/i&gt;, 2001; Luyssaert &lt;i&gt;et al.&lt;/i&gt;, 2008; Fernández-Martínez &lt;i&gt;et al.&lt;/i&gt;, 2014b; Musavi &lt;i&gt;et al.&lt;/i&gt;, 2017)"},"properties":{"noteIndex":0},"schema":"https://github.com/citation-style-language/schema/raw/master/csl-citation.json"}</w:instrText>
      </w:r>
      <w:r w:rsidR="00F32CB2" w:rsidRPr="00364D88">
        <w:rPr>
          <w:rFonts w:ascii="Arial" w:hAnsi="Arial" w:cs="Arial"/>
          <w:lang w:val="en-GB"/>
        </w:rPr>
        <w:fldChar w:fldCharType="separate"/>
      </w:r>
      <w:r w:rsidR="00103339" w:rsidRPr="00364D88">
        <w:rPr>
          <w:rFonts w:ascii="Arial" w:hAnsi="Arial" w:cs="Arial"/>
          <w:noProof/>
          <w:lang w:val="es-ES"/>
        </w:rPr>
        <w:t xml:space="preserve">(Carey </w:t>
      </w:r>
      <w:r w:rsidR="00103339" w:rsidRPr="00364D88">
        <w:rPr>
          <w:rFonts w:ascii="Arial" w:hAnsi="Arial" w:cs="Arial"/>
          <w:i/>
          <w:noProof/>
          <w:lang w:val="es-ES"/>
        </w:rPr>
        <w:t>et al.</w:t>
      </w:r>
      <w:r w:rsidR="00103339" w:rsidRPr="00364D88">
        <w:rPr>
          <w:rFonts w:ascii="Arial" w:hAnsi="Arial" w:cs="Arial"/>
          <w:noProof/>
          <w:lang w:val="es-ES"/>
        </w:rPr>
        <w:t xml:space="preserve">, 2001; Luyssaert </w:t>
      </w:r>
      <w:r w:rsidR="00103339" w:rsidRPr="00364D88">
        <w:rPr>
          <w:rFonts w:ascii="Arial" w:hAnsi="Arial" w:cs="Arial"/>
          <w:i/>
          <w:noProof/>
          <w:lang w:val="es-ES"/>
        </w:rPr>
        <w:t>et al.</w:t>
      </w:r>
      <w:r w:rsidR="00103339" w:rsidRPr="00364D88">
        <w:rPr>
          <w:rFonts w:ascii="Arial" w:hAnsi="Arial" w:cs="Arial"/>
          <w:noProof/>
          <w:lang w:val="es-ES"/>
        </w:rPr>
        <w:t xml:space="preserve">, 2008; Fernández-Martínez </w:t>
      </w:r>
      <w:r w:rsidR="00103339" w:rsidRPr="00364D88">
        <w:rPr>
          <w:rFonts w:ascii="Arial" w:hAnsi="Arial" w:cs="Arial"/>
          <w:i/>
          <w:noProof/>
          <w:lang w:val="es-ES"/>
        </w:rPr>
        <w:t>et al.</w:t>
      </w:r>
      <w:r w:rsidR="00103339" w:rsidRPr="00364D88">
        <w:rPr>
          <w:rFonts w:ascii="Arial" w:hAnsi="Arial" w:cs="Arial"/>
          <w:noProof/>
          <w:lang w:val="es-ES"/>
        </w:rPr>
        <w:t xml:space="preserve">, 2014b; Musavi </w:t>
      </w:r>
      <w:r w:rsidR="00103339" w:rsidRPr="00364D88">
        <w:rPr>
          <w:rFonts w:ascii="Arial" w:hAnsi="Arial" w:cs="Arial"/>
          <w:i/>
          <w:noProof/>
          <w:lang w:val="es-ES"/>
        </w:rPr>
        <w:t>et al.</w:t>
      </w:r>
      <w:r w:rsidR="00103339" w:rsidRPr="00364D88">
        <w:rPr>
          <w:rFonts w:ascii="Arial" w:hAnsi="Arial" w:cs="Arial"/>
          <w:noProof/>
          <w:lang w:val="es-ES"/>
        </w:rPr>
        <w:t>, 2017)</w:t>
      </w:r>
      <w:r w:rsidR="00F32CB2" w:rsidRPr="00364D88">
        <w:rPr>
          <w:rFonts w:ascii="Arial" w:hAnsi="Arial" w:cs="Arial"/>
          <w:lang w:val="en-GB"/>
        </w:rPr>
        <w:fldChar w:fldCharType="end"/>
      </w:r>
      <w:r w:rsidR="00F32CB2" w:rsidRPr="00364D88">
        <w:rPr>
          <w:rFonts w:ascii="Arial" w:hAnsi="Arial" w:cs="Arial"/>
          <w:lang w:val="es-ES"/>
        </w:rPr>
        <w:t xml:space="preserve">. </w:t>
      </w:r>
      <w:r w:rsidR="00780AFB" w:rsidRPr="00364D88">
        <w:rPr>
          <w:rFonts w:ascii="Arial" w:hAnsi="Arial" w:cs="Arial"/>
          <w:lang w:val="en-US"/>
        </w:rPr>
        <w:t xml:space="preserve">We found that </w:t>
      </w:r>
      <w:r w:rsidRPr="00364D88">
        <w:rPr>
          <w:rFonts w:ascii="Arial" w:hAnsi="Arial" w:cs="Arial"/>
          <w:lang w:val="en-US"/>
        </w:rPr>
        <w:t xml:space="preserve">GPP increases and </w:t>
      </w:r>
      <w:r w:rsidR="00B27907" w:rsidRPr="00364D88">
        <w:rPr>
          <w:rFonts w:ascii="Arial" w:hAnsi="Arial" w:cs="Arial"/>
          <w:lang w:val="en-US"/>
        </w:rPr>
        <w:t>C</w:t>
      </w:r>
      <w:r w:rsidRPr="00364D88">
        <w:rPr>
          <w:rFonts w:ascii="Arial" w:hAnsi="Arial" w:cs="Arial"/>
          <w:lang w:val="en-US"/>
        </w:rPr>
        <w:t xml:space="preserve"> sinks </w:t>
      </w:r>
      <w:r w:rsidR="00780AFB" w:rsidRPr="00364D88">
        <w:rPr>
          <w:rFonts w:ascii="Arial" w:hAnsi="Arial" w:cs="Arial"/>
          <w:lang w:val="en-US"/>
        </w:rPr>
        <w:t xml:space="preserve">become more stable as </w:t>
      </w:r>
      <w:r w:rsidRPr="00364D88">
        <w:rPr>
          <w:rFonts w:ascii="Arial" w:hAnsi="Arial" w:cs="Arial"/>
          <w:lang w:val="en-US"/>
        </w:rPr>
        <w:t>forest</w:t>
      </w:r>
      <w:r w:rsidR="00B222E7" w:rsidRPr="00364D88">
        <w:rPr>
          <w:rFonts w:ascii="Arial" w:hAnsi="Arial" w:cs="Arial"/>
          <w:lang w:val="en-US"/>
        </w:rPr>
        <w:t>s</w:t>
      </w:r>
      <w:r w:rsidRPr="00364D88">
        <w:rPr>
          <w:rFonts w:ascii="Arial" w:hAnsi="Arial" w:cs="Arial"/>
          <w:lang w:val="en-US"/>
        </w:rPr>
        <w:t xml:space="preserve"> </w:t>
      </w:r>
      <w:r w:rsidR="00780AFB" w:rsidRPr="00364D88">
        <w:rPr>
          <w:rFonts w:ascii="Arial" w:hAnsi="Arial" w:cs="Arial"/>
          <w:lang w:val="en-US"/>
        </w:rPr>
        <w:t>age</w:t>
      </w:r>
      <w:r w:rsidRPr="00364D88">
        <w:rPr>
          <w:rFonts w:ascii="Arial" w:hAnsi="Arial" w:cs="Arial"/>
          <w:lang w:val="en-US"/>
        </w:rPr>
        <w:t>,</w:t>
      </w:r>
      <w:r w:rsidR="00780AFB" w:rsidRPr="00364D88">
        <w:rPr>
          <w:rFonts w:ascii="Arial" w:hAnsi="Arial" w:cs="Arial"/>
          <w:lang w:val="en-US"/>
        </w:rPr>
        <w:t xml:space="preserve"> </w:t>
      </w:r>
      <w:r w:rsidR="00780AFB" w:rsidRPr="00364D88">
        <w:rPr>
          <w:rFonts w:ascii="Arial" w:hAnsi="Arial" w:cs="Arial"/>
          <w:lang w:val="en-GB"/>
        </w:rPr>
        <w:t xml:space="preserve">suggesting that an increase in ecosystem complexity </w:t>
      </w:r>
      <w:r w:rsidR="009B5A76" w:rsidRPr="00364D88">
        <w:rPr>
          <w:rFonts w:ascii="Arial" w:hAnsi="Arial" w:cs="Arial"/>
          <w:lang w:val="en-GB"/>
        </w:rPr>
        <w:t xml:space="preserve">may dampen the effects of environmental fluctuations by making </w:t>
      </w:r>
      <w:r w:rsidRPr="00364D88">
        <w:rPr>
          <w:rFonts w:ascii="Arial" w:hAnsi="Arial" w:cs="Arial"/>
          <w:lang w:val="en-GB"/>
        </w:rPr>
        <w:t>ecosystems</w:t>
      </w:r>
      <w:r w:rsidR="009B5A76" w:rsidRPr="00364D88">
        <w:rPr>
          <w:rFonts w:ascii="Arial" w:hAnsi="Arial" w:cs="Arial"/>
          <w:lang w:val="en-GB"/>
        </w:rPr>
        <w:t xml:space="preserve"> more resistant</w:t>
      </w:r>
      <w:r w:rsidR="00780AFB" w:rsidRPr="00364D88">
        <w:rPr>
          <w:rFonts w:ascii="Arial" w:hAnsi="Arial" w:cs="Arial"/>
          <w:lang w:val="en-GB"/>
        </w:rPr>
        <w:t>.</w:t>
      </w:r>
    </w:p>
    <w:p w14:paraId="7C3135D2" w14:textId="30F5C6E6" w:rsidR="000B45A8" w:rsidRPr="00364D88" w:rsidRDefault="00E676C1" w:rsidP="000B45A8">
      <w:pPr>
        <w:spacing w:line="360" w:lineRule="auto"/>
        <w:jc w:val="both"/>
        <w:outlineLvl w:val="0"/>
        <w:rPr>
          <w:rFonts w:ascii="Arial" w:hAnsi="Arial" w:cs="Arial"/>
          <w:lang w:val="en-GB"/>
        </w:rPr>
      </w:pPr>
      <w:r w:rsidRPr="00364D88">
        <w:rPr>
          <w:rFonts w:ascii="Arial" w:hAnsi="Arial"/>
          <w:i/>
          <w:lang w:val="en-GB"/>
        </w:rPr>
        <w:t>Implications</w:t>
      </w:r>
      <w:r w:rsidR="000B45A8" w:rsidRPr="00364D88">
        <w:rPr>
          <w:rFonts w:ascii="Arial" w:hAnsi="Arial"/>
          <w:i/>
          <w:lang w:val="en-GB"/>
        </w:rPr>
        <w:t xml:space="preserve"> for the global carbon balance</w:t>
      </w:r>
    </w:p>
    <w:p w14:paraId="39C8DCD9" w14:textId="24A05968" w:rsidR="004259C1" w:rsidRPr="00364D88" w:rsidRDefault="000B45A8" w:rsidP="000B45A8">
      <w:pPr>
        <w:spacing w:line="360" w:lineRule="auto"/>
        <w:jc w:val="both"/>
        <w:outlineLvl w:val="0"/>
        <w:rPr>
          <w:rFonts w:ascii="Arial" w:hAnsi="Arial" w:cs="Arial"/>
          <w:lang w:val="en-GB"/>
        </w:rPr>
      </w:pPr>
      <w:r w:rsidRPr="00364D88">
        <w:rPr>
          <w:rFonts w:ascii="Arial" w:hAnsi="Arial" w:cs="Arial"/>
          <w:lang w:val="en-GB"/>
        </w:rPr>
        <w:t xml:space="preserve">Our results provide a first assessment </w:t>
      </w:r>
      <w:r w:rsidR="00814432" w:rsidRPr="00364D88">
        <w:rPr>
          <w:rFonts w:ascii="Arial" w:hAnsi="Arial" w:cs="Arial"/>
          <w:lang w:val="en-GB"/>
        </w:rPr>
        <w:t xml:space="preserve">of </w:t>
      </w:r>
      <w:r w:rsidRPr="00364D88">
        <w:rPr>
          <w:rFonts w:ascii="Arial" w:hAnsi="Arial" w:cs="Arial"/>
          <w:lang w:val="en-GB"/>
        </w:rPr>
        <w:t xml:space="preserve">the </w:t>
      </w:r>
      <w:r w:rsidR="00AA3EB4" w:rsidRPr="00364D88">
        <w:rPr>
          <w:rFonts w:ascii="Arial" w:hAnsi="Arial" w:cs="Arial"/>
          <w:lang w:val="en-GB"/>
        </w:rPr>
        <w:t xml:space="preserve">combined </w:t>
      </w:r>
      <w:r w:rsidRPr="00364D88">
        <w:rPr>
          <w:rFonts w:ascii="Arial" w:hAnsi="Arial" w:cs="Arial"/>
          <w:lang w:val="en-GB"/>
        </w:rPr>
        <w:t>role</w:t>
      </w:r>
      <w:r w:rsidR="00AA3EB4" w:rsidRPr="00364D88">
        <w:rPr>
          <w:rFonts w:ascii="Arial" w:hAnsi="Arial" w:cs="Arial"/>
          <w:lang w:val="en-GB"/>
        </w:rPr>
        <w:t xml:space="preserve"> of</w:t>
      </w:r>
      <w:r w:rsidRPr="00364D88">
        <w:rPr>
          <w:rFonts w:ascii="Arial" w:hAnsi="Arial" w:cs="Arial"/>
          <w:lang w:val="en-GB"/>
        </w:rPr>
        <w:t xml:space="preserve"> </w:t>
      </w:r>
      <w:r w:rsidR="00AA3EB4" w:rsidRPr="00364D88">
        <w:rPr>
          <w:rFonts w:ascii="Arial" w:hAnsi="Arial" w:cs="Arial"/>
          <w:lang w:val="en-GB"/>
        </w:rPr>
        <w:t xml:space="preserve">climate, endogenous factors, </w:t>
      </w:r>
      <w:r w:rsidRPr="00364D88">
        <w:rPr>
          <w:rFonts w:ascii="Arial" w:hAnsi="Arial" w:cs="Arial"/>
          <w:lang w:val="en-GB"/>
        </w:rPr>
        <w:t>diversity and</w:t>
      </w:r>
      <w:r w:rsidR="00AA3EB4" w:rsidRPr="00364D88">
        <w:rPr>
          <w:rFonts w:ascii="Arial" w:hAnsi="Arial" w:cs="Arial"/>
          <w:lang w:val="en-GB"/>
        </w:rPr>
        <w:t xml:space="preserve"> ecosystem foliar stoichiometry</w:t>
      </w:r>
      <w:r w:rsidRPr="00364D88">
        <w:rPr>
          <w:rFonts w:ascii="Arial" w:hAnsi="Arial" w:cs="Arial"/>
          <w:lang w:val="en-GB"/>
        </w:rPr>
        <w:t xml:space="preserve"> on terrestrial </w:t>
      </w:r>
      <w:r w:rsidR="00A57678" w:rsidRPr="00364D88">
        <w:rPr>
          <w:rFonts w:ascii="Arial" w:hAnsi="Arial" w:cs="Arial"/>
          <w:lang w:val="en-GB"/>
        </w:rPr>
        <w:t xml:space="preserve">ecosystem </w:t>
      </w:r>
      <w:r w:rsidRPr="00364D88">
        <w:rPr>
          <w:rFonts w:ascii="Arial" w:hAnsi="Arial" w:cs="Arial"/>
          <w:lang w:val="en-GB"/>
        </w:rPr>
        <w:t xml:space="preserve">C </w:t>
      </w:r>
      <w:r w:rsidRPr="00364D88">
        <w:rPr>
          <w:rFonts w:ascii="Arial" w:hAnsi="Arial" w:cs="Arial"/>
          <w:lang w:val="en-GB"/>
        </w:rPr>
        <w:lastRenderedPageBreak/>
        <w:t>balance</w:t>
      </w:r>
      <w:r w:rsidR="00A57678" w:rsidRPr="00364D88">
        <w:rPr>
          <w:rFonts w:ascii="Arial" w:hAnsi="Arial" w:cs="Arial"/>
          <w:lang w:val="en-GB"/>
        </w:rPr>
        <w:t>s</w:t>
      </w:r>
      <w:r w:rsidRPr="00364D88">
        <w:rPr>
          <w:rFonts w:ascii="Arial" w:hAnsi="Arial" w:cs="Arial"/>
          <w:lang w:val="en-GB"/>
        </w:rPr>
        <w:t xml:space="preserve">. </w:t>
      </w:r>
      <w:r w:rsidR="004259C1" w:rsidRPr="00364D88">
        <w:rPr>
          <w:rFonts w:ascii="Arial" w:hAnsi="Arial" w:cs="Arial"/>
          <w:lang w:val="en-GB"/>
        </w:rPr>
        <w:t>We found an important effect of climate and endogenous factors on ecosystem C balance, similar to what was found in previous studies</w:t>
      </w:r>
      <w:r w:rsidR="009E486E" w:rsidRPr="00364D88">
        <w:rPr>
          <w:rFonts w:ascii="Arial" w:hAnsi="Arial" w:cs="Arial"/>
          <w:lang w:val="en-GB"/>
        </w:rPr>
        <w:t xml:space="preserve"> </w:t>
      </w:r>
      <w:r w:rsidR="004259C1" w:rsidRPr="00364D88">
        <w:rPr>
          <w:rFonts w:ascii="Arial" w:hAnsi="Arial" w:cs="Arial"/>
          <w:lang w:val="en-GB"/>
        </w:rPr>
        <w:fldChar w:fldCharType="begin" w:fldLock="1"/>
      </w:r>
      <w:r w:rsidR="004C0ACC" w:rsidRPr="00364D88">
        <w:rPr>
          <w:rFonts w:ascii="Arial" w:hAnsi="Arial" w:cs="Arial"/>
          <w:lang w:val="en-GB"/>
        </w:rPr>
        <w:instrText>ADDIN CSL_CITATION {"citationItems":[{"id":"ITEM-1","itemData":{"DOI":"10.1111/j.1365-2486.2007.01439.x","ISSN":"1354-1013","author":[{"dropping-particle":"","family":"Luyssaert","given":"S.","non-dropping-particle":"","parse-names":false,"suffix":""},{"dropping-particle":"","family":"Inglima","given":"I.","non-dropping-particle":"","parse-names":false,"suffix":""},{"dropping-particle":"","family":"Jung","given":"M.","non-dropping-particle":"","parse-names":false,"suffix":""},{"dropping-particle":"","family":"Richardson","given":"a. D.","non-dropping-particle":"","parse-names":false,"suffix":""},{"dropping-particle":"","family":"Reichstein","given":"M.","non-dropping-particle":"","parse-names":false,"suffix":""},{"dropping-particle":"","family":"Papale","given":"D.","non-dropping-particle":"","parse-names":false,"suffix":""},{"dropping-particle":"","family":"Piao","given":"S. L.","non-dropping-particle":"","parse-names":false,"suffix":""},{"dropping-particle":"","family":"Schulze","given":"E. -D.","non-dropping-particle":"","parse-names":false,"suffix":""},{"dropping-particle":"","family":"Wingate","given":"L.","non-dropping-particle":"","parse-names":false,"suffix":""},{"dropping-particle":"","family":"Matteucci","given":"G.","non-dropping-particle":"","parse-names":false,"suffix":""},{"dropping-particle":"","family":"Aragao","given":"L.","non-dropping-particle":"","parse-names":false,"suffix":""},{"dropping-particle":"","family":"Aubinet","given":"M.","non-dropping-particle":"","parse-names":false,"suffix":""},{"dropping-particle":"","family":"Beer","given":"C.","non-dropping-particle":"","parse-names":false,"suffix":""},{"dropping-particle":"","family":"Bernhofer","given":"C.","non-dropping-particle":"","parse-names":false,"suffix":""},{"dropping-particle":"","family":"Black","given":"K. G.","non-dropping-particle":"","parse-names":false,"suffix":""},{"dropping-particle":"","family":"Bonal","given":"D.","non-dropping-particle":"","parse-names":false,"suffix":""},{"dropping-particle":"","family":"Bonnefond","given":"J. -M.","non-dropping-particle":"","parse-names":false,"suffix":""},{"dropping-particle":"","family":"Chambers","given":"J.","non-dropping-particle":"","parse-names":false,"suffix":""},{"dropping-particle":"","family":"Ciais","given":"P.","non-dropping-particle":"","parse-names":false,"suffix":""},{"dropping-particle":"","family":"Cook","given":"B.","non-dropping-particle":"","parse-names":false,"suffix":""},{"dropping-particle":"","family":"Davis","given":"K. J.","non-dropping-particle":"","parse-names":false,"suffix":""},{"dropping-particle":"","family":"Dolman","given":"a. J.","non-dropping-particle":"","parse-names":false,"suffix":""},{"dropping-particle":"","family":"Gielen","given":"B.","non-dropping-particle":"","parse-names":false,"suffix":""},{"dropping-particle":"","family":"Goulden","given":"M.","non-dropping-particle":"","parse-names":false,"suffix":""},{"dropping-particle":"","family":"Grace","given":"J.","non-dropping-particle":"","parse-names":false,"suffix":""},{"dropping-particle":"","family":"Granier","given":"a.","non-dropping-particle":"","parse-names":false,"suffix":""},{"dropping-particle":"","family":"Grelle","given":"a.","non-dropping-particle":"","parse-names":false,"suffix":""},{"dropping-particle":"","family":"Griffis","given":"T.","non-dropping-particle":"","parse-names":false,"suffix":""},{"dropping-particle":"","family":"Grünwald","given":"T.","non-dropping-particle":"","parse-names":false,"suffix":""},{"dropping-particle":"","family":"Guidolotti","given":"G.","non-dropping-particle":"","parse-names":false,"suffix":""},{"dropping-particle":"","family":"Hanson","given":"P. J.","non-dropping-particle":"","parse-names":false,"suffix":""},{"dropping-particle":"","family":"Harding","given":"R.","non-dropping-particle":"","parse-names":false,"suffix":""},{"dropping-particle":"","family":"Hollinger","given":"D. Y.","non-dropping-particle":"","parse-names":false,"suffix":""},{"dropping-particle":"","family":"Hutyra","given":"L. R.","non-dropping-particle":"","parse-names":false,"suffix":""},{"dropping-particle":"","family":"Kolari","given":"P.","non-dropping-particle":"","parse-names":false,"suffix":""},{"dropping-particle":"","family":"Kruijt","given":"B.","non-dropping-particle":"","parse-names":false,"suffix":""},{"dropping-particle":"","family":"Kutsch","given":"W.","non-dropping-particle":"","parse-names":false,"suffix":""},{"dropping-particle":"","family":"Lagergren","given":"F.","non-dropping-particle":"","parse-names":false,"suffix":""},{"dropping-particle":"","family":"Laurila","given":"T.","non-dropping-particle":"","parse-names":false,"suffix":""},{"dropping-particle":"","family":"Law","given":"B. E.","non-dropping-particle":"","parse-names":false,"suffix":""},{"dropping-particle":"","family":"Maire","given":"G.","non-dropping-particle":"Le","parse-names":false,"suffix":""},{"dropping-particle":"","family":"Lindroth","given":"a.","non-dropping-particle":"","parse-names":false,"suffix":""},{"dropping-particle":"","family":"Loustau","given":"D.","non-dropping-particle":"","parse-names":false,"suffix":""},{"dropping-particle":"","family":"Malhi","given":"Y.","non-dropping-particle":"","parse-names":false,"suffix":""},{"dropping-particle":"","family":"Mateus","given":"J.","non-dropping-particle":"","parse-names":false,"suffix":""},{"dropping-particle":"","family":"Migliavacca","given":"M.","non-dropping-particle":"","parse-names":false,"suffix":""},{"dropping-particle":"","family":"Misson","given":"L.","non-dropping-particle":"","parse-names":false,"suffix":""},{"dropping-particle":"","family":"Montagnani","given":"L.","non-dropping-particle":"","parse-names":false,"suffix":""},{"dropping-particle":"","family":"Moncrieff","given":"J.","non-dropping-particle":"","parse-names":false,"suffix":""},{"dropping-particle":"","family":"Moors","given":"E.","non-dropping-particle":"","parse-names":false,"suffix":""},{"dropping-particle":"","family":"Munger","given":"J. W.","non-dropping-particle":"","parse-names":false,"suffix":""},{"dropping-particle":"","family":"Nikinmaa","given":"E.","non-dropping-particle":"","parse-names":false,"suffix":""},{"dropping-particle":"V.","family":"Ollinger","given":"S.","non-dropping-particle":"","parse-names":false,"suffix":""},{"dropping-particle":"","family":"Pita","given":"G.","non-dropping-particle":"","parse-names":false,"suffix":""},{"dropping-particle":"","family":"Rebmann","given":"C.","non-dropping-particle":"","parse-names":false,"suffix":""},{"dropping-particle":"","family":"Roupsard","given":"O.","non-dropping-particle":"","parse-names":false,"suffix":""},{"dropping-particle":"","family":"Saigusa","given":"N.","non-dropping-particle":"","parse-names":false,"suffix":""},{"dropping-particle":"","family":"Sanz","given":"M. J.","non-dropping-particle":"","parse-names":false,"suffix":""},{"dropping-particle":"","family":"Seufert","given":"G.","non-dropping-particle":"","parse-names":false,"suffix":""},{"dropping-particle":"","family":"Sierra","given":"C.","non-dropping-particle":"","parse-names":false,"suffix":""},{"dropping-particle":"","family":"Smith","given":"M. -L.","non-dropping-particle":"","parse-names":false,"suffix":""},{"dropping-particle":"","family":"Tang","given":"J.","non-dropping-particle":"","parse-names":false,"suffix":""},{"dropping-particle":"","family":"Valentini","given":"R.","non-dropping-particle":"","parse-names":false,"suffix":""},{"dropping-particle":"","family":"Vesala","given":"T.","non-dropping-particle":"","parse-names":false,"suffix":""},{"dropping-particle":"","family":"Janssens","given":"I. a.","non-dropping-particle":"","parse-names":false,"suffix":""}],"container-title":"Global Change Biology","id":"ITEM-1","issue":"12","issued":{"date-parts":[["2007","12"]]},"page":"2509-2537","title":"CO 2 balance of boreal, temperate, and tropical forests derived from a global database","type":"article-journal","volume":"13"},"uris":["http://www.mendeley.com/documents/?uuid=6cb192b7-2cd4-44f4-977f-c20f829f19b5"]},{"id":"ITEM-2","itemData":{"DOI":"10.1007/s00468-013-0975-9","ISSN":"0931-1890","abstract":"Key message Stand age, water availability, and the length of the warm period are the most influencing controls of forest structure, functioning, and efficiency. Abstract We aimed to discern the distribution and controls of plant biomass, carbon fluxes, and resource-use efficiencies of forest ecosystems ranging from boreal to tropical forests. We analysed a global forest database containing estimates of stand biomass and carbon fluxes (400 and 111 sites, respectively) from which we calculated resource-use efficiencies (biomass production, carbon sequestration, light, and water-use efficiencies). We used the WorldClim climatic database and remote-sensing data derived from the Moderate Resolution Imaging Spectro- radiometer to analyse climatic controls of ecosystem","author":[{"dropping-particle":"","family":"Fernández-Martínez","given":"Marcos","non-dropping-particle":"","parse-names":false,"suffix":""},{"dropping-particle":"","family":"Vicca","given":"Sara","non-dropping-particle":"","parse-names":false,"suffix":""},{"dropping-particle":"","family":"Janssens","given":"Ivan A.","non-dropping-particle":"","parse-names":false,"suffix":""},{"dropping-particle":"","family":"Luyssaert","given":"Sebastiaan","non-dropping-particle":"","parse-names":false,"suffix":""},{"dropping-particle":"","family":"Campioli","given":"Matteo","non-dropping-particle":"","parse-names":false,"suffix":""},{"dropping-particle":"","family":"Sardans","given":"Jordi","non-dropping-particle":"","parse-names":false,"suffix":""},{"dropping-particle":"","family":"Estiarte","given":"Marc","non-dropping-particle":"","parse-names":false,"suffix":""},{"dropping-particle":"","family":"Peñuelas","given":"Josep","non-dropping-particle":"","parse-names":false,"suffix":""}],"container-title":"Trees, structure and function","id":"ITEM-2","issue":"2","issued":{"date-parts":[["2014","1","1"]]},"note":"From Duplicate 1 ( \n\n\n\n\n\n\n\nSpatial variability and controls over biomass stocks, carbon fluxes and resource-use efficiencies in forest ecosystems\n\n\n\n\n\n\n\n- Fernández-Martínez, Marcos; Vicca, S; Janssens, Ivan a; Campioli, M; Luyssaert, Sebastiaan; Sardans, Jordi; Peñuelas, Josep )\n\n\n\n","page":"597-611","title":"Spatial variability and controls over biomass stocks, carbon fluxes and resource-use efficiencies in forest ecosystems","type":"article-journal","volume":"28"},"uris":["http://www.mendeley.com/documents/?uuid=5d74c1d2-bf0b-4aec-93de-1760cfac4dda"]}],"mendeley":{"formattedCitation":"(Luyssaert &lt;i&gt;et al.&lt;/i&gt;, 2007b; Fernández-Martínez &lt;i&gt;et al.&lt;/i&gt;, 2014b)","plainTextFormattedCitation":"(Luyssaert et al., 2007b; Fernández-Martínez et al., 2014b)","previouslyFormattedCitation":"(Luyssaert &lt;i&gt;et al.&lt;/i&gt;, 2007b; Fernández-Martínez &lt;i&gt;et al.&lt;/i&gt;, 2014b)"},"properties":{"noteIndex":0},"schema":"https://github.com/citation-style-language/schema/raw/master/csl-citation.json"}</w:instrText>
      </w:r>
      <w:r w:rsidR="004259C1" w:rsidRPr="00364D88">
        <w:rPr>
          <w:rFonts w:ascii="Arial" w:hAnsi="Arial" w:cs="Arial"/>
          <w:lang w:val="en-GB"/>
        </w:rPr>
        <w:fldChar w:fldCharType="separate"/>
      </w:r>
      <w:r w:rsidR="00103339" w:rsidRPr="00364D88">
        <w:rPr>
          <w:rFonts w:ascii="Arial" w:hAnsi="Arial" w:cs="Arial"/>
          <w:noProof/>
          <w:lang w:val="en-GB"/>
        </w:rPr>
        <w:t xml:space="preserve">(Luyssaert </w:t>
      </w:r>
      <w:r w:rsidR="00103339" w:rsidRPr="00364D88">
        <w:rPr>
          <w:rFonts w:ascii="Arial" w:hAnsi="Arial" w:cs="Arial"/>
          <w:i/>
          <w:noProof/>
          <w:lang w:val="en-GB"/>
        </w:rPr>
        <w:t>et al.</w:t>
      </w:r>
      <w:r w:rsidR="00103339" w:rsidRPr="00364D88">
        <w:rPr>
          <w:rFonts w:ascii="Arial" w:hAnsi="Arial" w:cs="Arial"/>
          <w:noProof/>
          <w:lang w:val="en-GB"/>
        </w:rPr>
        <w:t xml:space="preserve">, 2007b; Fernández-Martínez </w:t>
      </w:r>
      <w:r w:rsidR="00103339" w:rsidRPr="00364D88">
        <w:rPr>
          <w:rFonts w:ascii="Arial" w:hAnsi="Arial" w:cs="Arial"/>
          <w:i/>
          <w:noProof/>
          <w:lang w:val="en-GB"/>
        </w:rPr>
        <w:t>et al.</w:t>
      </w:r>
      <w:r w:rsidR="00103339" w:rsidRPr="00364D88">
        <w:rPr>
          <w:rFonts w:ascii="Arial" w:hAnsi="Arial" w:cs="Arial"/>
          <w:noProof/>
          <w:lang w:val="en-GB"/>
        </w:rPr>
        <w:t>, 2014b)</w:t>
      </w:r>
      <w:r w:rsidR="004259C1" w:rsidRPr="00364D88">
        <w:rPr>
          <w:rFonts w:ascii="Arial" w:hAnsi="Arial" w:cs="Arial"/>
          <w:lang w:val="en-GB"/>
        </w:rPr>
        <w:fldChar w:fldCharType="end"/>
      </w:r>
      <w:r w:rsidR="004259C1" w:rsidRPr="00364D88">
        <w:rPr>
          <w:rFonts w:ascii="Arial" w:hAnsi="Arial" w:cs="Arial"/>
          <w:lang w:val="en-GB"/>
        </w:rPr>
        <w:t xml:space="preserve">. </w:t>
      </w:r>
      <w:r w:rsidR="00B76258" w:rsidRPr="00364D88">
        <w:rPr>
          <w:rFonts w:ascii="Arial" w:hAnsi="Arial" w:cs="Arial"/>
          <w:lang w:val="en-GB"/>
        </w:rPr>
        <w:t>Furthermore</w:t>
      </w:r>
      <w:r w:rsidR="004259C1" w:rsidRPr="00364D88">
        <w:rPr>
          <w:rFonts w:ascii="Arial" w:hAnsi="Arial" w:cs="Arial"/>
          <w:lang w:val="en-GB"/>
        </w:rPr>
        <w:t xml:space="preserve">, our analyses also found </w:t>
      </w:r>
      <w:r w:rsidR="00B35630" w:rsidRPr="00364D88">
        <w:rPr>
          <w:rFonts w:ascii="Arial" w:hAnsi="Arial" w:cs="Arial"/>
          <w:lang w:val="en-GB"/>
        </w:rPr>
        <w:t>a</w:t>
      </w:r>
      <w:r w:rsidR="004259C1" w:rsidRPr="00364D88">
        <w:rPr>
          <w:rFonts w:ascii="Arial" w:hAnsi="Arial" w:cs="Arial"/>
          <w:lang w:val="en-GB"/>
        </w:rPr>
        <w:t xml:space="preserve"> </w:t>
      </w:r>
      <w:r w:rsidR="000612E5" w:rsidRPr="00364D88">
        <w:rPr>
          <w:rFonts w:ascii="Arial" w:hAnsi="Arial" w:cs="Arial"/>
          <w:lang w:val="en-GB"/>
        </w:rPr>
        <w:t>negative</w:t>
      </w:r>
      <w:r w:rsidR="004259C1" w:rsidRPr="00364D88">
        <w:rPr>
          <w:rFonts w:ascii="Arial" w:hAnsi="Arial" w:cs="Arial"/>
          <w:lang w:val="en-GB"/>
        </w:rPr>
        <w:t xml:space="preserve"> effect of climate interannual variability on </w:t>
      </w:r>
      <w:r w:rsidR="000612E5" w:rsidRPr="00364D88">
        <w:rPr>
          <w:rFonts w:ascii="Arial" w:hAnsi="Arial" w:cs="Arial"/>
          <w:lang w:val="en-GB"/>
        </w:rPr>
        <w:t>GPP and Re</w:t>
      </w:r>
      <w:r w:rsidR="004259C1" w:rsidRPr="00364D88">
        <w:rPr>
          <w:rFonts w:ascii="Arial" w:hAnsi="Arial" w:cs="Arial"/>
          <w:lang w:val="en-GB"/>
        </w:rPr>
        <w:t xml:space="preserve"> (</w:t>
      </w:r>
      <w:r w:rsidR="0097342B" w:rsidRPr="00364D88">
        <w:rPr>
          <w:rFonts w:ascii="Arial" w:hAnsi="Arial" w:cs="Arial"/>
          <w:b/>
          <w:lang w:val="en-GB"/>
        </w:rPr>
        <w:t>Fig</w:t>
      </w:r>
      <w:r w:rsidR="00D94A18">
        <w:rPr>
          <w:rFonts w:ascii="Arial" w:hAnsi="Arial" w:cs="Arial"/>
          <w:b/>
          <w:lang w:val="en-GB"/>
        </w:rPr>
        <w:t>.</w:t>
      </w:r>
      <w:r w:rsidR="0097342B" w:rsidRPr="00364D88">
        <w:rPr>
          <w:rFonts w:ascii="Arial" w:hAnsi="Arial" w:cs="Arial"/>
          <w:b/>
          <w:lang w:val="en-GB"/>
        </w:rPr>
        <w:t xml:space="preserve"> </w:t>
      </w:r>
      <w:r w:rsidR="008748FF" w:rsidRPr="00364D88">
        <w:rPr>
          <w:rFonts w:ascii="Arial" w:hAnsi="Arial" w:cs="Arial"/>
          <w:b/>
          <w:lang w:val="en-GB"/>
        </w:rPr>
        <w:t>1</w:t>
      </w:r>
      <w:r w:rsidR="004259C1" w:rsidRPr="00364D88">
        <w:rPr>
          <w:rFonts w:ascii="Arial" w:hAnsi="Arial" w:cs="Arial"/>
          <w:b/>
          <w:lang w:val="en-GB"/>
        </w:rPr>
        <w:t xml:space="preserve">, </w:t>
      </w:r>
      <w:r w:rsidR="008748FF" w:rsidRPr="00364D88">
        <w:rPr>
          <w:rFonts w:ascii="Arial" w:hAnsi="Arial" w:cs="Arial"/>
          <w:b/>
          <w:lang w:val="en-GB"/>
        </w:rPr>
        <w:t>Fig</w:t>
      </w:r>
      <w:r w:rsidR="00D94A18">
        <w:rPr>
          <w:rFonts w:ascii="Arial" w:hAnsi="Arial" w:cs="Arial"/>
          <w:b/>
          <w:lang w:val="en-GB"/>
        </w:rPr>
        <w:t>.</w:t>
      </w:r>
      <w:r w:rsidR="008748FF" w:rsidRPr="00364D88">
        <w:rPr>
          <w:rFonts w:ascii="Arial" w:hAnsi="Arial" w:cs="Arial"/>
          <w:b/>
          <w:lang w:val="en-GB"/>
        </w:rPr>
        <w:t xml:space="preserve"> 2</w:t>
      </w:r>
      <w:r w:rsidR="004259C1" w:rsidRPr="00364D88">
        <w:rPr>
          <w:rFonts w:ascii="Arial" w:hAnsi="Arial" w:cs="Arial"/>
          <w:lang w:val="en-GB"/>
        </w:rPr>
        <w:t xml:space="preserve">), a facet of climate </w:t>
      </w:r>
      <w:r w:rsidR="00B63B32" w:rsidRPr="00364D88">
        <w:rPr>
          <w:rFonts w:ascii="Arial" w:hAnsi="Arial" w:cs="Arial"/>
          <w:lang w:val="en-GB"/>
        </w:rPr>
        <w:t>barely</w:t>
      </w:r>
      <w:r w:rsidR="004259C1" w:rsidRPr="00364D88">
        <w:rPr>
          <w:rFonts w:ascii="Arial" w:hAnsi="Arial" w:cs="Arial"/>
          <w:lang w:val="en-GB"/>
        </w:rPr>
        <w:t xml:space="preserve"> explored in C balance studies. </w:t>
      </w:r>
      <w:r w:rsidR="000612E5" w:rsidRPr="00364D88">
        <w:rPr>
          <w:rFonts w:ascii="Arial" w:hAnsi="Arial" w:cs="Arial"/>
          <w:lang w:val="en-GB"/>
        </w:rPr>
        <w:t xml:space="preserve">Variability in precipitation was also likely to increase variability in C fluxes. </w:t>
      </w:r>
      <w:r w:rsidR="004259C1" w:rsidRPr="00364D88">
        <w:rPr>
          <w:rFonts w:ascii="Arial" w:hAnsi="Arial" w:cs="Arial"/>
          <w:lang w:val="en-GB"/>
        </w:rPr>
        <w:t xml:space="preserve">These findings suggest that increasing climate variability, as predicted for some regions, will </w:t>
      </w:r>
      <w:r w:rsidR="000612E5" w:rsidRPr="00364D88">
        <w:rPr>
          <w:rFonts w:ascii="Arial" w:hAnsi="Arial" w:cs="Arial"/>
          <w:lang w:val="en-GB"/>
        </w:rPr>
        <w:t xml:space="preserve">alter C fluxes and potentially </w:t>
      </w:r>
      <w:r w:rsidR="004259C1" w:rsidRPr="00364D88">
        <w:rPr>
          <w:rFonts w:ascii="Arial" w:hAnsi="Arial" w:cs="Arial"/>
          <w:lang w:val="en-GB"/>
        </w:rPr>
        <w:t>increase th</w:t>
      </w:r>
      <w:r w:rsidR="000612E5" w:rsidRPr="00364D88">
        <w:rPr>
          <w:rFonts w:ascii="Arial" w:hAnsi="Arial" w:cs="Arial"/>
          <w:lang w:val="en-GB"/>
        </w:rPr>
        <w:t>eir</w:t>
      </w:r>
      <w:r w:rsidR="004259C1" w:rsidRPr="00364D88">
        <w:rPr>
          <w:rFonts w:ascii="Arial" w:hAnsi="Arial" w:cs="Arial"/>
          <w:lang w:val="en-GB"/>
        </w:rPr>
        <w:t xml:space="preserve"> temporal variability. The important effect of climate variability on ecosystem C balance highlights the need to take</w:t>
      </w:r>
      <w:r w:rsidR="00B76258" w:rsidRPr="00364D88">
        <w:rPr>
          <w:rFonts w:ascii="Arial" w:hAnsi="Arial" w:cs="Arial"/>
          <w:lang w:val="en-GB"/>
        </w:rPr>
        <w:t xml:space="preserve"> into account </w:t>
      </w:r>
      <w:r w:rsidR="004259C1" w:rsidRPr="00364D88">
        <w:rPr>
          <w:rFonts w:ascii="Arial" w:hAnsi="Arial" w:cs="Arial"/>
          <w:lang w:val="en-GB"/>
        </w:rPr>
        <w:t xml:space="preserve">the temporal variability of climate </w:t>
      </w:r>
      <w:r w:rsidR="00B76258" w:rsidRPr="00364D88">
        <w:rPr>
          <w:rFonts w:ascii="Arial" w:hAnsi="Arial" w:cs="Arial"/>
          <w:lang w:val="en-GB"/>
        </w:rPr>
        <w:t xml:space="preserve">in addition to average values, when exploring the impacts on </w:t>
      </w:r>
      <w:r w:rsidR="004259C1" w:rsidRPr="00364D88">
        <w:rPr>
          <w:rFonts w:ascii="Arial" w:hAnsi="Arial" w:cs="Arial"/>
          <w:lang w:val="en-GB"/>
        </w:rPr>
        <w:t>biological processes.</w:t>
      </w:r>
    </w:p>
    <w:p w14:paraId="06EAB8AC" w14:textId="3FB2A3DC" w:rsidR="000B45A8" w:rsidRPr="00364D88" w:rsidRDefault="000B45A8" w:rsidP="000B45A8">
      <w:pPr>
        <w:spacing w:line="360" w:lineRule="auto"/>
        <w:jc w:val="both"/>
        <w:outlineLvl w:val="0"/>
        <w:rPr>
          <w:rFonts w:ascii="Arial" w:hAnsi="Arial" w:cs="Arial"/>
          <w:lang w:val="en-GB"/>
        </w:rPr>
      </w:pPr>
      <w:r w:rsidRPr="00364D88">
        <w:rPr>
          <w:rFonts w:ascii="Arial" w:hAnsi="Arial" w:cs="Arial"/>
          <w:lang w:val="en-GB"/>
        </w:rPr>
        <w:t xml:space="preserve">We found that </w:t>
      </w:r>
      <w:r w:rsidR="000612E5" w:rsidRPr="00364D88">
        <w:rPr>
          <w:rFonts w:ascii="Arial" w:hAnsi="Arial" w:cs="Arial"/>
          <w:lang w:val="en-GB"/>
        </w:rPr>
        <w:t xml:space="preserve">foliar stoichiometry and </w:t>
      </w:r>
      <w:r w:rsidR="00C75462" w:rsidRPr="00364D88">
        <w:rPr>
          <w:rFonts w:ascii="Arial" w:hAnsi="Arial" w:cs="Arial"/>
          <w:lang w:val="en-GB"/>
        </w:rPr>
        <w:t xml:space="preserve">especially </w:t>
      </w:r>
      <w:r w:rsidR="00A57678" w:rsidRPr="00364D88">
        <w:rPr>
          <w:rFonts w:ascii="Arial" w:hAnsi="Arial" w:cs="Arial"/>
          <w:lang w:val="en-GB"/>
        </w:rPr>
        <w:t xml:space="preserve">plant species </w:t>
      </w:r>
      <w:r w:rsidRPr="00364D88">
        <w:rPr>
          <w:rFonts w:ascii="Arial" w:hAnsi="Arial" w:cs="Arial"/>
          <w:lang w:val="en-GB"/>
        </w:rPr>
        <w:t>diversity explain a relatively low amount of the spatial variability in C fluxes and their variability over time, compared with the variance explained by climate.</w:t>
      </w:r>
      <w:r w:rsidR="00111BC8" w:rsidRPr="00364D88">
        <w:rPr>
          <w:rFonts w:ascii="Arial" w:hAnsi="Arial" w:cs="Arial"/>
          <w:lang w:val="en-GB"/>
        </w:rPr>
        <w:t xml:space="preserve"> </w:t>
      </w:r>
      <w:r w:rsidRPr="00364D88">
        <w:rPr>
          <w:rFonts w:ascii="Arial" w:hAnsi="Arial" w:cs="Arial"/>
          <w:lang w:val="en-GB"/>
        </w:rPr>
        <w:t xml:space="preserve">The effect of diversity </w:t>
      </w:r>
      <w:r w:rsidR="000B305B" w:rsidRPr="00364D88">
        <w:rPr>
          <w:rFonts w:ascii="Arial" w:hAnsi="Arial" w:cs="Arial"/>
          <w:lang w:val="en-GB"/>
        </w:rPr>
        <w:t xml:space="preserve">found here </w:t>
      </w:r>
      <w:r w:rsidRPr="00364D88">
        <w:rPr>
          <w:rFonts w:ascii="Arial" w:hAnsi="Arial" w:cs="Arial"/>
          <w:lang w:val="en-GB"/>
        </w:rPr>
        <w:t>seem</w:t>
      </w:r>
      <w:r w:rsidR="00814432" w:rsidRPr="00364D88">
        <w:rPr>
          <w:rFonts w:ascii="Arial" w:hAnsi="Arial" w:cs="Arial"/>
          <w:lang w:val="en-GB"/>
        </w:rPr>
        <w:t>s</w:t>
      </w:r>
      <w:r w:rsidRPr="00364D88">
        <w:rPr>
          <w:rFonts w:ascii="Arial" w:hAnsi="Arial" w:cs="Arial"/>
          <w:lang w:val="en-GB"/>
        </w:rPr>
        <w:t xml:space="preserve"> to be lower than that shown in previous studies </w:t>
      </w:r>
      <w:r w:rsidR="000B35A4" w:rsidRPr="00364D88">
        <w:rPr>
          <w:rFonts w:ascii="Arial" w:hAnsi="Arial" w:cs="Arial"/>
          <w:lang w:val="en-GB"/>
        </w:rPr>
        <w:t>on small</w:t>
      </w:r>
      <w:r w:rsidR="00821A4E" w:rsidRPr="00364D88">
        <w:rPr>
          <w:rFonts w:ascii="Arial" w:hAnsi="Arial" w:cs="Arial"/>
          <w:lang w:val="en-GB"/>
        </w:rPr>
        <w:t xml:space="preserve"> and </w:t>
      </w:r>
      <w:r w:rsidR="000B35A4" w:rsidRPr="00364D88">
        <w:rPr>
          <w:rFonts w:ascii="Arial" w:hAnsi="Arial" w:cs="Arial"/>
          <w:lang w:val="en-GB"/>
        </w:rPr>
        <w:t xml:space="preserve">artificial plots </w:t>
      </w:r>
      <w:r w:rsidR="009E486E" w:rsidRPr="00364D88">
        <w:rPr>
          <w:rFonts w:ascii="Arial" w:hAnsi="Arial" w:cs="Arial"/>
          <w:lang w:val="en-GB"/>
        </w:rPr>
        <w:t xml:space="preserve"> </w:t>
      </w:r>
      <w:r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{"citationItems":[{"id":"ITEM-1","itemData":{"DOI":"10.1086/673915","ISSN":"0003-0147","abstract":"The relationship between biological diversity and ecological stability has fascinated ecologists for decades. Determining the generality of this relationship, and discovering the mechanisms that underlie it, are vitally important for ecosystem management. Here, we investigate how species richness affects the temporal stability of biomass production by reanalyzing 27 recent biodiversity experiments conducted with primary producers. We find that, in grasslands, increasing species richness stabilizes whole-community biomass but destabilizes the dynamics of constituent populations. Community biomass is stabilized because species richness impacts mean biomass more strongly than its variance. In algal communities, species richness has a minimal effect on community stability because richness affects the mean and variance of biomass nearly equally. Using a new measure of synchrony among species, we find that for both grasslands and algae, temporal correlations in species biomass are lower when species are grown together in polyculture than when grown alone in monoculture. These results suggest that interspecific interactions tend to stabilize community biomass in diverse communities. Contrary to prevailing theory, we found no evidence that species'' responses to environmental variation in monoculture predicted the strength of diversity''s stabilizing effect. Together, these results deepen our understanding of when and why increasing species richness stabilizes community biomass.","author":[{"dropping-particle":"","family":"Gross","given":"Kevin","non-dropping-particle":"","parse-names":false,"suffix":""},{"dropping-particle":"","family":"Cardinale","given":"Bradley J.","non-dropping-particle":"","parse-names":false,"suffix":""},{"dropping-particle":"","family":"Fox","given":"Jeremy W.","non-dropping-particle":"","parse-names":false,"suffix":""},{"dropping-particle":"","family":"Gonzalez","given":"Andrew","non-dropping-particle":"","parse-names":false,"suffix":""},{"dropping-particle":"","family":"Loreau","given":"Michel","non-dropping-particle":"","parse-names":false,"suffix":""},{"dropping-particle":"","family":"Wayne Polley","given":"H.","non-dropping-particle":"","parse-names":false,"suffix":""},{"dropping-particle":"","family":"Reich","given":"Peter B.","non-dropping-particle":"","parse-names":false,"suffix":""},{"dropping-particle":"","family":"Ruijven","given":"Jasper","non-dropping-particle":"van","parse-names":false,"suffix":""}],"container-title":"The American Naturalist","id":"ITEM-1","issue":"1","issued":{"date-parts":[["2014"]]},"page":"1-12","title":"Species Richness and the Temporal Stability of Biomass Production: A New Analysis of Recent Biodiversity Experiments","type":"article-journal","volume":"183"},"uris":["http://www.mendeley.com/documents/?uuid=b52f023d-d09f-4b0a-be7c-7a21b40ef49c"]},{"id":"ITEM-2","itemData":{"DOI":"10.1111/j.0030-1299.2004.13254.x","ISSN":"00301299","abstract":"The number of studies examining how species diversity influences the productivity of ecosystems has increased dramatically in the past decade as concern about global loss of biodiversity has intensified. Research to date has greatly improved our understanding of how, when, and why species loss alters primary production in ecosystems. However, because experiments have been performed at rather small spatial and short temporal scales, it is unclear whether conclusions can be readily extrapolated to the broader scales at which natural communities are most likely to influence ecosystem functioning. Here we develop a simple patch-dynamics model to examine some of the scale-dependent and independent qualities of the diversity-productivity relationship. We first simulate a typical diversity-productivity experiment and show that the influence of species richness on productivity is temporally dynamic, growing stronger through successional time. This holds true irrespective of whether resource partitioning or a sampling effect is the underlying mechanism. We then increase the spatial scale of the simulation from individual patches to a region consisting of many patch types. Results suggest that the diversity-productivity relationship is not influenced by spatial scale per se, but that the mechanism producing the relationship can change from sampling effects within individual patches to resource partitioning across patch types composing the region. This change occurs even though model dynamics are the same at both scales, suggesting that sampling effects and resource partitioning can represent different descriptions of the same biological processes operating concurrently at differing scales of observation. Lastly, we incorporate regional processes of dispersal and disturbance into the model and show that these processes can amplify the effect of species richness on productivity, resulting in patterns not easily anticipated from experiments. We conclude that the relative control of community structure by local versus regional processes may be a primary determinant of the diversity-productivity relationship in natural ecosystems. Therefore, past experiments having focused only on local processes might not reflect patterns and processes underlying diversity-productivity relationships in communities where disturbance and dispersal regulate species biomasses.","author":[{"dropping-particle":"","family":"Cardinale","given":"Bradley J.","non-dropping-particle":"","parse-names":false,"suffix":""},{"dropping-particle":"","family":"Ives","given":"Anthony R.","non-dropping-particle":"","parse-names":false,"suffix":""},{"dropping-particle":"","family":"Inchausti","given":"Pablo","non-dropping-particle":"","parse-names":false,"suffix":""}],"container-title":"Oikos","id":"ITEM-2","issue":"3","issued":{"date-parts":[["2004"]]},"page":"437-450","title":"Effects of species diversity on the primary productivity of ecosystems: Extending our spatial and temporal scales of inference","type":"article-journal","volume":"104"},"uris":["http://www.mendeley.com/documents/?uuid=88a212ed-5511-4ea3-a6d9-9505aafe4cef"]}],"mendeley":{"formattedCitation":"(Cardinale &lt;i&gt;et al.&lt;/i&gt;, 2004; Gross &lt;i&gt;et al.&lt;/i&gt;, 2014)","plainTextFormattedCitation":"(Cardinale et al., 2004; Gross et al., 2014)","previouslyFormattedCitation":"(Cardinale &lt;i&gt;et al.&lt;/i&gt;, 2004; Gross &lt;i&gt;et al.&lt;/i&gt;, 2014)"},"properties":{"noteIndex":0},"schema":"https://github.com/citation-style-language/schema/raw/master/csl-citation.json"}</w:instrText>
      </w:r>
      <w:r w:rsidRPr="00364D88">
        <w:rPr>
          <w:rFonts w:ascii="Arial" w:hAnsi="Arial" w:cs="Arial"/>
          <w:lang w:val="en-GB"/>
        </w:rPr>
        <w:fldChar w:fldCharType="separate"/>
      </w:r>
      <w:r w:rsidR="009E486E" w:rsidRPr="00364D88">
        <w:rPr>
          <w:rFonts w:ascii="Arial" w:hAnsi="Arial" w:cs="Arial"/>
          <w:noProof/>
          <w:lang w:val="en-GB"/>
        </w:rPr>
        <w:t xml:space="preserve">(Cardinale </w:t>
      </w:r>
      <w:r w:rsidR="009E486E" w:rsidRPr="00364D88">
        <w:rPr>
          <w:rFonts w:ascii="Arial" w:hAnsi="Arial" w:cs="Arial"/>
          <w:i/>
          <w:noProof/>
          <w:lang w:val="en-GB"/>
        </w:rPr>
        <w:t>et al.</w:t>
      </w:r>
      <w:r w:rsidR="009E486E" w:rsidRPr="00364D88">
        <w:rPr>
          <w:rFonts w:ascii="Arial" w:hAnsi="Arial" w:cs="Arial"/>
          <w:noProof/>
          <w:lang w:val="en-GB"/>
        </w:rPr>
        <w:t xml:space="preserve">, 2004; Gross </w:t>
      </w:r>
      <w:r w:rsidR="009E486E" w:rsidRPr="00364D88">
        <w:rPr>
          <w:rFonts w:ascii="Arial" w:hAnsi="Arial" w:cs="Arial"/>
          <w:i/>
          <w:noProof/>
          <w:lang w:val="en-GB"/>
        </w:rPr>
        <w:t>et al.</w:t>
      </w:r>
      <w:r w:rsidR="009E486E" w:rsidRPr="00364D88">
        <w:rPr>
          <w:rFonts w:ascii="Arial" w:hAnsi="Arial" w:cs="Arial"/>
          <w:noProof/>
          <w:lang w:val="en-GB"/>
        </w:rPr>
        <w:t>, 2014)</w:t>
      </w:r>
      <w:r w:rsidRPr="00364D88">
        <w:rPr>
          <w:rFonts w:ascii="Arial" w:hAnsi="Arial" w:cs="Arial"/>
          <w:lang w:val="en-GB"/>
        </w:rPr>
        <w:fldChar w:fldCharType="end"/>
      </w:r>
      <w:r w:rsidRPr="00364D88">
        <w:rPr>
          <w:rFonts w:ascii="Arial" w:hAnsi="Arial" w:cs="Arial"/>
          <w:lang w:val="en-GB"/>
        </w:rPr>
        <w:t xml:space="preserve"> or using forest inventories </w:t>
      </w:r>
      <w:r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{"citationItems":[{"id":"ITEM-1","itemData":{"DOI":"10.1126/science.aaf8957","ISBN":"0036-8075","ISSN":"0036-8075","PMID":"27738143","abstract":"The biodiversity-productivity relationship (BPR) is foundational to our understanding of the global extinction crisis and its impacts on ecosystem functioning. Understanding BPR is critical for the accurate valuation and effective conservation of biodiversity. Using ground-sourced data from 777,126 permanent plots, spanning 44 countries andmost terrestrial biomes,we reveal a globally consistent positive concave-down BPR, showing that continued biodiversity loss would result in an accelerating decline in forest productivityworldwide.The value of biodiversity inmaintaining commercial forest productivity alone—US$166 billion to 490 billion per year according to our estimation—ismore than twice what it would cost to implement effective global conservation.This highlights the need for a worldwide reassessment of biodiversity values, forestmanagement strategies, and conservation priorities.","author":[{"dropping-particle":"","family":"Liang","given":"Jingjing","non-dropping-particle":"","parse-names":false,"suffix":""},{"dropping-particle":"","family":"Crowther","given":"Thomas W.","non-dropping-particle":"","parse-names":false,"suffix":""},{"dropping-particle":"","family":"Picard","given":"Nicolas","non-dropping-particle":"","parse-names":false,"suffix":""},{"dropping-particle":"","family":"Wiser","given":"Susan","non-dropping-particle":"","parse-names":false,"suffix":""},{"dropping-particle":"","family":"Zhou","given":"Mo","non-dropping-particle":"","parse-names":false,"suffix":""},{"dropping-particle":"","family":"Alberti","given":"Giorgio","non-dropping-particle":"","parse-names":false,"suffix":""},{"dropping-particle":"","family":"Schulze","given":"E.-D.","non-dropping-particle":"","parse-names":false,"suffix":""},{"dropping-particle":"","family":"McGuire","given":"A. D.","non-dropping-particle":"","parse-names":false,"suffix":""},{"dropping-particle":"","family":"Bozzato","given":"Fabio","non-dropping-particle":"","parse-names":false,"suffix":""},{"dropping-particle":"","family":"Pretzsch","given":"Hans","non-dropping-particle":"","parse-names":false,"suffix":""},{"dropping-particle":"","family":"De-Miguel","given":"S.","non-dropping-particle":"","parse-names":false,"suffix":""},{"dropping-particle":"","family":"Paquette","given":"Alain","non-dropping-particle":"","parse-names":false,"suffix":""},{"dropping-particle":"","family":"Herault","given":"B.","non-dropping-particle":"","parse-names":false,"suffix":""},{"dropping-particle":"","family":"Scherer-Lorenzen","given":"Michael","non-dropping-particle":"","parse-names":false,"suffix":""},{"dropping-particle":"","family":"Barrett","given":"Christopher B.","non-dropping-particle":"","parse-names":false,"suffix":""},{"dropping-particle":"","family":"Glick","given":"Henry B.","non-dropping-particle":"","parse-names":false,"suffix":""},{"dropping-particle":"","family":"Hengeveld","given":"Geerten M.","non-dropping-particle":"","parse-names":false,"suffix":""},{"dropping-particle":"","family":"Nabuurs","given":"G.-J.","non-dropping-particle":"","parse-names":false,"suffix":""},{"dropping-particle":"","family":"Pfautsch","given":"Sebastian","non-dropping-particle":"","parse-names":false,"suffix":""},{"dropping-particle":"","family":"Viana","given":"Helder","non-dropping-particle":"","parse-names":false,"suffix":""},{"dropping-particle":"","family":"Vibrans","given":"Alexander C.","non-dropping-particle":"","parse-names":false,"suffix":""},{"dropping-particle":"","family":"Ammer","given":"Christian","non-dropping-particle":"","parse-names":false,"suffix":""},{"dropping-particle":"","family":"Schall","given":"Peter","non-dropping-particle":"","parse-names":false,"suffix":""},{"dropping-particle":"","family":"Verbyla","given":"David","non-dropping-particle":"","parse-names":false,"suffix":""},{"dropping-particle":"","family":"Tchebakova","given":"Nadja","non-dropping-particle":"","parse-names":false,"suffix":""},{"dropping-particle":"","family":"Fischer","given":"Markus","non-dropping-particle":"","parse-names":false,"suffix":""},{"dropping-particle":"V.","family":"Watson","given":"James","non-dropping-particle":"","parse-names":false,"suffix":""},{"dropping-particle":"","family":"Chen","given":"H. Y. H.","non-dropping-particle":"","parse-names":false,"suffix":""},{"dropping-particle":"","family":"Lei","given":"Xiangdong","non-dropping-particle":"","parse-names":false,"suffix":""},{"dropping-particle":"","family":"Schelhaas","given":"M.-J.","non-dropping-particle":"","parse-names":false,"suffix":""},{"dropping-particle":"","family":"Lu","given":"Huicui","non-dropping-particle":"","parse-names":false,"suffix":""},{"dropping-particle":"","family":"Gianelle","given":"Damiano","non-dropping-particle":"","parse-names":false,"suffix":""},{"dropping-particle":"","family":"Parfenova","given":"Elena I.","non-dropping-particle":"","parse-names":false,"suffix":""},{"dropping-particle":"","family":"Salas","given":"Christian","non-dropping-particle":"","parse-names":false,"suffix":""},{"dropping-particle":"","family":"Lee","given":"E.","non-dropping-particle":"","parse-names":false,"suffix":""},{"dropping-particle":"","family":"Lee","given":"Boknam","non-dropping-particle":"","parse-names":false,"suffix":""},{"dropping-particle":"","family":"Kim","given":"Hyun Seok","non-dropping-particle":"","parse-names":false,"suffix":""},{"dropping-particle":"","family":"Bruelheide","given":"Helge","non-dropping-particle":"","parse-names":false,"suffix":""},{"dropping-particle":"","family":"Coomes","given":"David A.","non-dropping-particle":"","parse-names":false,"suffix":""},{"dropping-particle":"","family":"Piotto","given":"Daniel","non-dropping-particle":"","parse-names":false,"suffix":""},{"dropping-particle":"","family":"Sunderland","given":"Terry","non-dropping-particle":"","parse-names":false,"suffix":""},{"dropping-particle":"","family":"Schmid","given":"Bernhard","non-dropping-particle":"","parse-names":false,"suffix":""},{"dropping-particle":"","family":"Gourlet-Fleury","given":"Sylvie","non-dropping-particle":"","parse-names":false,"suffix":""},{"dropping-particle":"","family":"Sonke","given":"B.","non-dropping-particle":"","parse-names":false,"suffix":""},{"dropping-particle":"","family":"Tavani","given":"Rebecca","non-dropping-particle":"","parse-names":false,"suffix":""},{"dropping-particle":"","family":"Zhu","given":"Jun","non-dropping-particle":"","parse-names":false,"suffix":""},{"dropping-particle":"","family":"Brandl","given":"Susanne","non-dropping-particle":"","parse-names":false,"suffix":""},{"dropping-particle":"","family":"Vayreda","given":"Jordi","non-dropping-particle":"","parse-names":false,"suffix":""},{"dropping-particle":"","family":"Kitahara","given":"Fumiaki","non-dropping-particle":"","parse-names":false,"suffix":""},{"dropping-particle":"","family":"Searle","given":"Eric B.","non-dropping-particle":"","parse-names":false,"suffix":""},{"dropping-particle":"","family":"Neldner","given":"Victor J.","non-dropping-particle":"","parse-names":false,"suffix":""},{"dropping-particle":"","family":"Ngugi","given":"Michael R.","non-dropping-particle":"","parse-names":false,"suffix":""},{"dropping-particle":"","family":"Baraloto","given":"Christopher","non-dropping-particle":"","parse-names":false,"suffix":""},{"dropping-particle":"","family":"Frizzera","given":"Lorenzo","non-dropping-particle":"","parse-names":false,"suffix":""},{"dropping-particle":"","family":"Ba azy","given":"R.","non-dropping-particle":"","parse-names":false,"suffix":""},{"dropping-particle":"","family":"Oleksyn","given":"Jacek","non-dropping-particle":"","parse-names":false,"suffix":""},{"dropping-particle":"","family":"Zawi a-Nied wiecki","given":"T.","non-dropping-particle":"","parse-names":false,"suffix":""},{"dropping-particle":"","family":"Bouriaud","given":"Olivier","non-dropping-particle":"","parse-names":false,"suffix":""},{"dropping-particle":"","family":"Bussotti","given":"Filippo","non-dropping-particle":"","parse-names":false,"suffix":""},{"dropping-particle":"","family":"Finer","given":"L.","non-dropping-particle":"","parse-names":false,"suffix":""},{"dropping-particle":"","family":"Jaroszewicz","given":"Bogdan","non-dropping-particle":"","parse-names":false,"suffix":""},{"dropping-particle":"","family":"Jucker","given":"Tommaso","non-dropping-particle":"","parse-names":false,"suffix":""},{"dropping-particle":"","family":"Valladares","given":"Fernando","non-dropping-particle":"","parse-names":false,"suffix":""},{"dropping-particle":"","family":"Jagodzinski","given":"Andrzej M.","non-dropping-particle":"","parse-names":false,"suffix":""},{"dropping-particle":"","family":"Peri","given":"Pablo L.","non-dropping-particle":"","parse-names":false,"suffix":""},{"dropping-particle":"","family":"Gonmadje","given":"Christelle","non-dropping-particle":"","parse-names":false,"suffix":""},{"dropping-particle":"","family":"Marthy","given":"William","non-dropping-particle":"","parse-names":false,"suffix":""},{"dropping-particle":"","family":"OBrien","given":"T.","non-dropping-particle":"","parse-names":false,"suffix":""},{"dropping-particle":"","family":"Martin","given":"Emanuel H.","non-dropping-particle":"","parse-names":false,"suffix":""},{"dropping-particle":"","family":"Marshall","given":"A. R.","non-dropping-particle":"","parse-names":false,"suffix":""},{"dropping-particle":"","family":"Rovero","given":"Francesco","non-dropping-particle":"","parse-names":false,"suffix":""},{"dropping-particle":"","family":"Bitariho","given":"Robert","non-dropping-particle":"","parse-names":false,"suffix":""},{"dropping-particle":"","family":"Niklaus","given":"Pascal A.","non-dropping-particle":"","parse-names":false,"suffix":""},{"dropping-particle":"","family":"Alvarez-Loayza","given":"Patricia","non-dropping-particle":"","parse-names":false,"suffix":""},{"dropping-particle":"","family":"Chamuya","given":"Nurdin","non-dropping-particle":"","parse-names":false,"suffix":""},{"dropping-particle":"","family":"Valencia","given":"Renato","non-dropping-particle":"","parse-names":false,"suffix":""},{"dropping-particle":"","family":"Mortier","given":"Frédéric","non-dropping-particle":"","parse-names":false,"suffix":""},{"dropping-particle":"","family":"Wortel","given":"Verginia","non-dropping-particle":"","parse-names":false,"suffix":""},{"dropping-particle":"","family":"Engone-Obiang","given":"Nestor L.","non-dropping-particle":"","parse-names":false,"suffix":""},{"dropping-particle":"V.","family":"Ferreira","given":"Leandro","non-dropping-particle":"","parse-names":false,"suffix":""},{"dropping-particle":"","family":"Odeke","given":"David E.","non-dropping-particle":"","parse-names":false,"suffix":""},{"dropping-particle":"","family":"Vasquez","given":"Rodolfo M.","non-dropping-particle":"","parse-names":false,"suffix":""},{"dropping-particle":"","family":"Lewis","given":"S. L.","non-dropping-particle":"","parse-names":false,"suffix":""},{"dropping-particle":"","family":"Reich","given":"Peter B.","non-dropping-particle":"","parse-names":false,"suffix":""}],"container-title":"Science","id":"ITEM-1","issue":"6309","issued":{"date-parts":[["2016","10","14"]]},"page":"aaf8957-aaf8957","title":"Positive biodiversity-productivity relationship predominant in global forests","type":"article-journal","volume":"354"},"uris":["http://www.mendeley.com/documents/?uuid=52d66ea5-16d2-412b-b91d-f4a09256e011"]}],"mendeley":{"formattedCitation":"(Liang &lt;i&gt;et al.&lt;/i&gt;, 2016)","plainTextFormattedCitation":"(Liang et al., 2016)","previouslyFormattedCitation":"(Liang &lt;i&gt;et al.&lt;/i&gt;, 2016)"},"properties":{"noteIndex":0},"schema":"https://github.com/citation-style-language/schema/raw/master/csl-citation.json"}</w:instrText>
      </w:r>
      <w:r w:rsidRPr="00364D88">
        <w:rPr>
          <w:rFonts w:ascii="Arial" w:hAnsi="Arial" w:cs="Arial"/>
          <w:lang w:val="en-GB"/>
        </w:rPr>
        <w:fldChar w:fldCharType="separate"/>
      </w:r>
      <w:r w:rsidR="009E486E" w:rsidRPr="00364D88">
        <w:rPr>
          <w:rFonts w:ascii="Arial" w:hAnsi="Arial" w:cs="Arial"/>
          <w:noProof/>
          <w:lang w:val="en-GB"/>
        </w:rPr>
        <w:t xml:space="preserve">(Liang </w:t>
      </w:r>
      <w:r w:rsidR="009E486E" w:rsidRPr="00364D88">
        <w:rPr>
          <w:rFonts w:ascii="Arial" w:hAnsi="Arial" w:cs="Arial"/>
          <w:i/>
          <w:noProof/>
          <w:lang w:val="en-GB"/>
        </w:rPr>
        <w:t>et al.</w:t>
      </w:r>
      <w:r w:rsidR="009E486E" w:rsidRPr="00364D88">
        <w:rPr>
          <w:rFonts w:ascii="Arial" w:hAnsi="Arial" w:cs="Arial"/>
          <w:noProof/>
          <w:lang w:val="en-GB"/>
        </w:rPr>
        <w:t>, 2016)</w:t>
      </w:r>
      <w:r w:rsidRPr="00364D88">
        <w:rPr>
          <w:rFonts w:ascii="Arial" w:hAnsi="Arial" w:cs="Arial"/>
          <w:lang w:val="en-GB"/>
        </w:rPr>
        <w:fldChar w:fldCharType="end"/>
      </w:r>
      <w:r w:rsidRPr="00364D88">
        <w:rPr>
          <w:rFonts w:ascii="Arial" w:hAnsi="Arial" w:cs="Arial"/>
          <w:lang w:val="en-GB"/>
        </w:rPr>
        <w:t xml:space="preserve">. The effect of the </w:t>
      </w:r>
      <w:r w:rsidR="00AA3EB4" w:rsidRPr="00364D88">
        <w:rPr>
          <w:rFonts w:ascii="Arial" w:hAnsi="Arial" w:cs="Arial"/>
          <w:lang w:val="en-GB"/>
        </w:rPr>
        <w:t>ecosystem foliar stoichiometry</w:t>
      </w:r>
      <w:r w:rsidRPr="00364D88">
        <w:rPr>
          <w:rFonts w:ascii="Arial" w:hAnsi="Arial" w:cs="Arial"/>
          <w:lang w:val="en-GB"/>
        </w:rPr>
        <w:t xml:space="preserve"> </w:t>
      </w:r>
      <w:r w:rsidR="001F4AA3" w:rsidRPr="00364D88">
        <w:rPr>
          <w:rFonts w:ascii="Arial" w:hAnsi="Arial" w:cs="Arial"/>
          <w:lang w:val="en-GB"/>
        </w:rPr>
        <w:t>may also seem to be slightly lower than those in</w:t>
      </w:r>
      <w:r w:rsidRPr="00364D88">
        <w:rPr>
          <w:rFonts w:ascii="Arial" w:hAnsi="Arial" w:cs="Arial"/>
          <w:lang w:val="en-GB"/>
        </w:rPr>
        <w:t xml:space="preserve"> previous studies using proxy metrics of </w:t>
      </w:r>
      <w:r w:rsidR="00AA3EB4" w:rsidRPr="00364D88">
        <w:rPr>
          <w:rFonts w:ascii="Arial" w:hAnsi="Arial" w:cs="Arial"/>
          <w:lang w:val="en-GB"/>
        </w:rPr>
        <w:t>soil</w:t>
      </w:r>
      <w:r w:rsidRPr="00364D88">
        <w:rPr>
          <w:rFonts w:ascii="Arial" w:hAnsi="Arial" w:cs="Arial"/>
          <w:lang w:val="en-GB"/>
        </w:rPr>
        <w:t xml:space="preserve"> fertility </w:t>
      </w:r>
      <w:r w:rsidRPr="00364D88">
        <w:rPr>
          <w:rFonts w:ascii="Arial" w:hAnsi="Arial" w:cs="Arial"/>
          <w:lang w:val="en-GB"/>
        </w:rPr>
        <w:fldChar w:fldCharType="begin" w:fldLock="1"/>
      </w:r>
      <w:r w:rsidR="004C0ACC" w:rsidRPr="00364D88">
        <w:rPr>
          <w:rFonts w:ascii="Arial" w:hAnsi="Arial" w:cs="Arial"/>
          <w:lang w:val="en-GB"/>
        </w:rPr>
        <w:instrText>ADDIN CSL_CITATION {"citationItems":[{"id":"ITEM-1","itemData":{"DOI":"10.1111/j.1461-0248.2012.01775.x","ISSN":"1461-0248","PMID":"22472207","abstract":"Trees with sufficient nutrition are known to allocate carbon preferentially to aboveground plant parts. Our global study of 49 forests revealed an even more fundamental carbon allocation response to nutrient availability: forests with high-nutrient availability use 58 ± 3% (mean ± SE; 17 forests) of their photosynthates for plant biomass production (BP), while forests with low-nutrient availability only convert 42 ± 2% (mean ± SE; 19 forests) of annual photosynthates to biomass. This nutrient effect largely overshadows previously observed differences in carbon allocation patterns among climate zones, forest types and age classes. If forests with low-nutrient availability use 16 ± 4% less of their photosynthates for plant growth, what are these used for? Current knowledge suggests that lower BP per unit photosynthesis in forests with low- versus forests with high-nutrient availability reflects not merely an increase in plant respiration, but likely results from reduced carbon allocation to unaccounted components of net primary production, particularly root symbionts.","author":[{"dropping-particle":"","family":"Vicca","given":"S","non-dropping-particle":"","parse-names":false,"suffix":""},{"dropping-particle":"","family":"Luyssaert","given":"S","non-dropping-particle":"","parse-names":false,"suffix":""},{"dropping-particle":"","family":"Peñuelas","given":"J","non-dropping-particle":"","parse-names":false,"suffix":""},{"dropping-particle":"","family":"Campioli","given":"M","non-dropping-particle":"","parse-names":false,"suffix":""},{"dropping-particle":"","family":"Chapin","given":"F S","non-dropping-particle":"","parse-names":false,"suffix":""},{"dropping-particle":"","family":"Ciais","given":"P","non-dropping-particle":"","parse-names":false,"suffix":""},{"dropping-particle":"","family":"Heinemeyer","given":"A","non-dropping-particle":"","parse-names":false,"suffix":""},{"dropping-particle":"","family":"Högberg","given":"P","non-dropping-particle":"","parse-names":false,"suffix":""},{"dropping-particle":"","family":"Kutsch","given":"W L","non-dropping-particle":"","parse-names":false,"suffix":""},{"dropping-particle":"","family":"Law","given":"B E","non-dropping-particle":"","parse-names":false,"suffix":""},{"dropping-particle":"","family":"Malhi","given":"Y","non-dropping-particle":"","parse-names":false,"suffix":""},{"dropping-particle":"","family":"Papale","given":"D","non-dropping-particle":"","parse-names":false,"suffix":""},{"dropping-particle":"","family":"Piao","given":"S L","non-dropping-particle":"","parse-names":false,"suffix":""},{"dropping-particle":"","family":"Reichstein","given":"M","non-dropping-particle":"","parse-names":false,"suffix":""},{"dropping-particle":"","family":"Schulze","given":"E D","non-dropping-particle":"","parse-names":false,"suffix":""},{"dropping-particle":"","family":"Janssens","given":"I a","non-dropping-particle":"","parse-names":false,"suffix":""}],"container-title":"Ecology letters","id":"ITEM-1","issue":"6","issued":{"date-parts":[["2012","6"]]},"page":"520-6","title":"Fertile forests produce biomass more efficiently.","type":"article-journal","volume":"15"},"uris":["http://www.mendeley.com/documents/?uuid=f5db5970-e3c6-4bb5-9c5a-721b493b352f"]},{"id":"ITEM-2","itemData":{"DOI":"doi:10.1038/nclimate2177","ISSN":"1758-678X","abstract":"Forests strongly affect climate through the exchange of large amounts of atmospheric CO2 (ref. 1). The main drivers of spatial variability in net ecosystem production (NEP) on a global scale are, however, poorly known. As increasing nutrient availability increases the production of biomass per unit of photosynthesis2 and reduces heterotrophic3 respiration in forests, we expected nutrients to determine carbon sequestration in forests. Our synthesis study of 92 forests in different climate zones revealed that nutrient availability indeed plays a crucial role in determining NEP and ecosystem carbon-use efficiency (CUEe; that is, the ratio of NEP to gross primary production (GPP)). Forests with high GPP exhibited high NEP only in nutrient-rich forests (CUEe = 33 ± 4%; mean ± s.e.m.). In nutrient-poor forests, a much larger proportion of GPP was released through ecosystem respiration, resulting in lower CUEe (6 ± 4%). Our finding that nutrient availability exerts a stronger control on NEP than on carbon input (GPP) conflicts with assumptions of nearly all global coupled carbon cycle–climate models, which assume that carbon inputs through photosynthesis drive biomass production and carbon sequestration. An improved global understanding of nutrient availability would therefore greatly improve carbon cycle modelling and should become a critical focus for future research.","author":[{"dropping-particle":"","family":"Fernández-Martínez","given":"Marcos","non-dropping-particle":"","parse-names":false,"suffix":""},{"dropping-particle":"","family":"Vicca","given":"S.","non-dropping-particle":"","parse-names":false,"suffix":""},{"dropping-particle":"","family":"Janssens","given":"I. A.","non-dropping-particle":"","parse-names":false,"suffix":""},{"dropping-particle":"","family":"Sardans","given":"J.","non-dropping-particle":"","parse-names":false,"suffix":""},{"dropping-particle":"","family":"Luyssaert","given":"S.","non-dropping-particle":"","parse-names":false,"suffix":""},{"dropping-particle":"","family":"Campioli","given":"M.","non-dropping-particle":"","parse-names":false,"suffix":""},{"dropping-particle":"","family":"Chapin III","given":"F. S.","non-dropping-particle":"","parse-names":false,"suffix":""},{"dropping-particle":"","family":"Ciais","given":"P.","non-dropping-particle":"","parse-names":false,"suffix":""},{"dropping-particle":"","family":"Malhi","given":"Y.","non-dropping-particle":"","parse-names":false,"suffix":""},{"dropping-particle":"","family":"Obersteiner","given":"M.","non-dropping-particle":"","parse-names":false,"suffix":""},{"dropping-particle":"","family":"Papale","given":"D.","non-dropping-particle":"","parse-names":false,"suffix":""},{"dropping-particle":"","family":"Piao","given":"S. L.","non-dropping-particle":"","parse-names":false,"suffix":""},{"dropping-particle":"","family":"Reichstein","given":"M.","non-dropping-particle":"","parse-names":false,"suffix":""},{"dropping-particle":"","family":"Rodà","given":"F.","non-dropping-particle":"","parse-names":false,"suffix":""},{"dropping-particle":"","family":"Peñuelas","given":"J.","non-dropping-particle":"","parse-names":false,"suffix":""}],"container-title":"Nature Climate Change","id":"ITEM-2","issue":"6","issued":{"date-parts":[["2014","4","6"]]},"page":"471–476","publisher":"Nature Publishing Group","title":"Nutrient availability as the key regulator of global forest carbon balance","title-short":"Nature Clim. Change","type":"article-journal","volume":"4"},"uris":["http://www.mendeley.com/documents/?uuid=f2f133a0-5090-42a6-bac1-54f1aadcf678"]}],"mendeley":{"formattedCitation":"(Vicca &lt;i&gt;et al.&lt;/i&gt;, 2012; Fernández-Martínez &lt;i&gt;et al.&lt;/i&gt;, 2014a)","plainTextFormattedCitation":"(Vicca et al., 2012; Fernández-Martínez et al., 2014a)","previouslyFormattedCitation":"(Vicca &lt;i&gt;et al.&lt;/i&gt;, 2012; Fernández-Martínez &lt;i&gt;et al.&lt;/i&gt;, 2014a)"},"properties":{"noteIndex":0},"schema":"https://github.com/citation-style-language/schema/raw/master/csl-citation.json"}</w:instrText>
      </w:r>
      <w:r w:rsidRPr="00364D88">
        <w:rPr>
          <w:rFonts w:ascii="Arial" w:hAnsi="Arial" w:cs="Arial"/>
          <w:lang w:val="en-GB"/>
        </w:rPr>
        <w:fldChar w:fldCharType="separate"/>
      </w:r>
      <w:r w:rsidR="00103339" w:rsidRPr="00364D88">
        <w:rPr>
          <w:rFonts w:ascii="Arial" w:hAnsi="Arial" w:cs="Arial"/>
          <w:noProof/>
          <w:lang w:val="en-GB"/>
        </w:rPr>
        <w:t xml:space="preserve">(Vicca </w:t>
      </w:r>
      <w:r w:rsidR="00103339" w:rsidRPr="00364D88">
        <w:rPr>
          <w:rFonts w:ascii="Arial" w:hAnsi="Arial" w:cs="Arial"/>
          <w:i/>
          <w:noProof/>
          <w:lang w:val="en-GB"/>
        </w:rPr>
        <w:t>et al.</w:t>
      </w:r>
      <w:r w:rsidR="00103339" w:rsidRPr="00364D88">
        <w:rPr>
          <w:rFonts w:ascii="Arial" w:hAnsi="Arial" w:cs="Arial"/>
          <w:noProof/>
          <w:lang w:val="en-GB"/>
        </w:rPr>
        <w:t xml:space="preserve">, 2012; Fernández-Martínez </w:t>
      </w:r>
      <w:r w:rsidR="00103339" w:rsidRPr="00364D88">
        <w:rPr>
          <w:rFonts w:ascii="Arial" w:hAnsi="Arial" w:cs="Arial"/>
          <w:i/>
          <w:noProof/>
          <w:lang w:val="en-GB"/>
        </w:rPr>
        <w:t>et al.</w:t>
      </w:r>
      <w:r w:rsidR="00103339" w:rsidRPr="00364D88">
        <w:rPr>
          <w:rFonts w:ascii="Arial" w:hAnsi="Arial" w:cs="Arial"/>
          <w:noProof/>
          <w:lang w:val="en-GB"/>
        </w:rPr>
        <w:t>, 2014a)</w:t>
      </w:r>
      <w:r w:rsidRPr="00364D88">
        <w:rPr>
          <w:rFonts w:ascii="Arial" w:hAnsi="Arial" w:cs="Arial"/>
          <w:lang w:val="en-GB"/>
        </w:rPr>
        <w:fldChar w:fldCharType="end"/>
      </w:r>
      <w:r w:rsidRPr="00364D88">
        <w:rPr>
          <w:rFonts w:ascii="Arial" w:hAnsi="Arial" w:cs="Arial"/>
          <w:lang w:val="en-GB"/>
        </w:rPr>
        <w:t xml:space="preserve">. </w:t>
      </w:r>
      <w:r w:rsidR="00821A4E" w:rsidRPr="00364D88">
        <w:rPr>
          <w:rFonts w:ascii="Arial" w:hAnsi="Arial" w:cs="Arial"/>
          <w:lang w:val="en-GB"/>
        </w:rPr>
        <w:t>T</w:t>
      </w:r>
      <w:r w:rsidRPr="00364D88">
        <w:rPr>
          <w:rFonts w:ascii="Arial" w:hAnsi="Arial" w:cs="Arial"/>
          <w:lang w:val="en-GB"/>
        </w:rPr>
        <w:t xml:space="preserve">here may be several </w:t>
      </w:r>
      <w:r w:rsidR="00821A4E" w:rsidRPr="00364D88">
        <w:rPr>
          <w:rFonts w:ascii="Arial" w:hAnsi="Arial" w:cs="Arial"/>
          <w:lang w:val="en-GB"/>
        </w:rPr>
        <w:t>explanations for the</w:t>
      </w:r>
      <w:r w:rsidR="001F4AA3" w:rsidRPr="00364D88">
        <w:rPr>
          <w:rFonts w:ascii="Arial" w:hAnsi="Arial" w:cs="Arial"/>
          <w:lang w:val="en-GB"/>
        </w:rPr>
        <w:t xml:space="preserve"> </w:t>
      </w:r>
      <w:r w:rsidRPr="00364D88">
        <w:rPr>
          <w:rFonts w:ascii="Arial" w:hAnsi="Arial" w:cs="Arial"/>
          <w:lang w:val="en-GB"/>
        </w:rPr>
        <w:t xml:space="preserve">relatively low effects of diversity and </w:t>
      </w:r>
      <w:r w:rsidR="00AA3EB4" w:rsidRPr="00364D88">
        <w:rPr>
          <w:rFonts w:ascii="Arial" w:hAnsi="Arial" w:cs="Arial"/>
          <w:lang w:val="en-GB"/>
        </w:rPr>
        <w:t>foliar nutrients</w:t>
      </w:r>
      <w:r w:rsidRPr="00364D88">
        <w:rPr>
          <w:rFonts w:ascii="Arial" w:hAnsi="Arial" w:cs="Arial"/>
          <w:lang w:val="en-GB"/>
        </w:rPr>
        <w:t xml:space="preserve"> </w:t>
      </w:r>
      <w:r w:rsidR="00821A4E" w:rsidRPr="00364D88">
        <w:rPr>
          <w:rFonts w:ascii="Arial" w:hAnsi="Arial" w:cs="Arial"/>
          <w:lang w:val="en-GB"/>
        </w:rPr>
        <w:t xml:space="preserve">that we found </w:t>
      </w:r>
      <w:r w:rsidRPr="00364D88">
        <w:rPr>
          <w:rFonts w:ascii="Arial" w:hAnsi="Arial" w:cs="Arial"/>
          <w:lang w:val="en-GB"/>
        </w:rPr>
        <w:t xml:space="preserve">on ecosystem C balance. </w:t>
      </w:r>
    </w:p>
    <w:p w14:paraId="75BB49DD" w14:textId="2B54B954" w:rsidR="000B45A8" w:rsidRDefault="000B45A8" w:rsidP="000B45A8">
      <w:pPr>
        <w:spacing w:line="360" w:lineRule="auto"/>
        <w:jc w:val="both"/>
        <w:outlineLvl w:val="0"/>
        <w:rPr>
          <w:rFonts w:ascii="Arial" w:hAnsi="Arial" w:cs="Arial"/>
          <w:lang w:val="en-GB"/>
        </w:rPr>
      </w:pPr>
      <w:r w:rsidRPr="00364D88">
        <w:rPr>
          <w:rFonts w:ascii="Arial" w:hAnsi="Arial" w:cs="Arial"/>
          <w:lang w:val="en-GB"/>
        </w:rPr>
        <w:t xml:space="preserve">First, C fluxes estimated by eddy-covariance towers </w:t>
      </w:r>
      <w:r w:rsidR="00821A4E" w:rsidRPr="00364D88">
        <w:rPr>
          <w:rFonts w:ascii="Arial" w:hAnsi="Arial" w:cs="Arial"/>
          <w:lang w:val="en-GB"/>
        </w:rPr>
        <w:t xml:space="preserve">inherently contain a </w:t>
      </w:r>
      <w:r w:rsidRPr="00364D88">
        <w:rPr>
          <w:rFonts w:ascii="Arial" w:hAnsi="Arial" w:cs="Arial"/>
          <w:lang w:val="en-GB"/>
        </w:rPr>
        <w:t>rather large uncertainty</w:t>
      </w:r>
      <w:r w:rsidR="00821A4E" w:rsidRPr="00364D88">
        <w:rPr>
          <w:rFonts w:ascii="Arial" w:hAnsi="Arial" w:cs="Arial"/>
          <w:lang w:val="en-GB"/>
        </w:rPr>
        <w:t xml:space="preserve"> themselves</w:t>
      </w:r>
      <w:r w:rsidRPr="00364D88">
        <w:rPr>
          <w:rFonts w:ascii="Arial" w:hAnsi="Arial" w:cs="Arial"/>
          <w:lang w:val="en-GB"/>
        </w:rPr>
        <w:t xml:space="preserve">, estimated </w:t>
      </w:r>
      <w:r w:rsidR="00821A4E" w:rsidRPr="00364D88">
        <w:rPr>
          <w:rFonts w:ascii="Arial" w:hAnsi="Arial" w:cs="Arial"/>
          <w:lang w:val="en-GB"/>
        </w:rPr>
        <w:t xml:space="preserve">to be </w:t>
      </w:r>
      <w:r w:rsidRPr="00364D88">
        <w:rPr>
          <w:rFonts w:ascii="Arial" w:hAnsi="Arial" w:cs="Arial"/>
          <w:lang w:val="en-GB"/>
        </w:rPr>
        <w:t xml:space="preserve">in </w:t>
      </w:r>
      <w:r w:rsidR="00821A4E" w:rsidRPr="00364D88">
        <w:rPr>
          <w:rFonts w:ascii="Arial" w:hAnsi="Arial" w:cs="Arial"/>
          <w:lang w:val="en-GB"/>
        </w:rPr>
        <w:t xml:space="preserve">the order of </w:t>
      </w:r>
      <w:r w:rsidR="002A58B0" w:rsidRPr="00364D88">
        <w:rPr>
          <w:rFonts w:ascii="Arial" w:hAnsi="Arial" w:cs="Arial"/>
          <w:lang w:val="en-GB"/>
        </w:rPr>
        <w:t>30% of the total annual flux</w:t>
      </w:r>
      <w:r w:rsidR="009E486E" w:rsidRPr="00364D88">
        <w:rPr>
          <w:rFonts w:ascii="Arial" w:hAnsi="Arial" w:cs="Arial"/>
          <w:lang w:val="en-GB"/>
        </w:rPr>
        <w:t xml:space="preserve"> </w:t>
      </w:r>
      <w:r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10.1111/j.1365-2486.2007.01439.x","ISSN":"1354-1013","author":[{"dropping-particle":"","family":"Luyssaert","given":"S.","non-dropping-particle":"","parse-names":false,"suffix":""},{"dropping-particle":"","family":"Inglima","given":"I.","non-dropping-particle":"","parse-names":false,"suffix":""},{"dropping-particle":"","family":"Jung","given":"M.","non-dropping-particle":"","parse-names":false,"suffix":""},{"dropping-particle":"","family":"Richardson","given":"a. D.","non-dropping-particle":"","parse-names":false,"suffix":""},{"dropping-particle":"","family":"Reichstein","given":"M.","non-dropping-particle":"","parse-names":false,"suffix":""},{"dropping-particle":"","family":"Papale","given":"D.","non-dropping-particle":"","parse-names":false,"suffix":""},{"dropping-particle":"","family":"Piao","given":"S. L.","non-dropping-particle":"","parse-names":false,"suffix":""},{"dropping-particle":"","family":"Schulze","given":"E. -D.","non-dropping-particle":"","parse-names":false,"suffix":""},{"dropping-particle":"","family":"Wingate","given":"L.","non-dropping-particle":"","parse-names":false,"suffix":""},{"dropping-particle":"","family":"Matteucci","given":"G.","non-dropping-particle":"","parse-names":false,"suffix":""},{"dropping-particle":"","family":"Aragao","given":"L.","non-dropping-particle":"","parse-names":false,"suffix":""},{"dropping-particle":"","family":"Aubinet","given":"M.","non-dropping-particle":"","parse-names":false,"suffix":""},{"dropping-particle":"","family":"Beer","given":"C.","non-dropping-particle":"","parse-names":false,"suffix":""},{"dropping-particle":"","family":"Bernhofer","given":"C.","non-dropping-particle":"","parse-names":false,"suffix":""},{"dropping-particle":"","family":"Black","given":"K. G.","non-dropping-particle":"","parse-names":false,"suffix":""},{"dropping-particle":"","family":"Bonal","given":"D.","non-dropping-particle":"","parse-names":false,"suffix":""},{"dropping-particle":"","family":"Bonnefond","given":"J. -M.","non-dropping-particle":"","parse-names":false,"suffix":""},{"dropping-particle":"","family":"Chambers","given":"J.","non-dropping-particle":"","parse-names":false,"suffix":""},{"dropping-particle":"","family":"Ciais","given":"P.","non-dropping-particle":"","parse-names":false,"suffix":""},{"dropping-particle":"","family":"Cook","given":"B.","non-dropping-particle":"","parse-names":false,"suffix":""},{"dropping-particle":"","family":"Davis","given":"K. J.","non-dropping-particle":"","parse-names":false,"suffix":""},{"dropping-particle":"","family":"Dolman","given":"a. J.","non-dropping-particle":"","parse-names":false,"suffix":""},{"dropping-particle":"","family":"Gielen","given":"B.","non-dropping-particle":"","parse-names":false,"suffix":""},{"dropping-particle":"","family":"Goulden","given":"M.","non-dropping-particle":"","parse-names":false,"suffix":""},{"dropping-particle":"","family":"Grace","given":"J.","non-dropping-particle":"","parse-names":false,"suffix":""},{"dropping-particle":"","family":"Granier","given":"a.","non-dropping-particle":"","parse-names":false,"suffix":""},{"dropping-particle":"","family":"Grelle","given":"a.","non-dropping-particle":"","parse-names":false,"suffix":""},{"dropping-particle":"","family":"Griffis","given":"T.","non-dropping-particle":"","parse-names":false,"suffix":""},{"dropping-particle":"","family":"Grünwald","given":"T.","non-dropping-particle":"","parse-names":false,"suffix":""},{"dropping-particle":"","family":"Guidolotti","given":"G.","non-dropping-particle":"","parse-names":false,"suffix":""},{"dropping-particle":"","family":"Hanson","given":"P. J.","non-dropping-particle":"","parse-names":false,"suffix":""},{"dropping-particle":"","family":"Harding","given":"R.","non-dropping-particle":"","parse-names":false,"suffix":""},{"dropping-particle":"","family":"Hollinger","given":"D. Y.","non-dropping-particle":"","parse-names":false,"suffix":""},{"dropping-particle":"","family":"Hutyra","given":"L. R.","non-dropping-particle":"","parse-names":false,"suffix":""},{"dropping-particle":"","family":"Kolari","given":"P.","non-dropping-particle":"","parse-names":false,"suffix":""},{"dropping-particle":"","family":"Kruijt","given":"B.","non-dropping-particle":"","parse-names":false,"suffix":""},{"dropping-particle":"","family":"Kutsch","given":"W.","non-dropping-particle":"","parse-names":false,"suffix":""},{"dropping-particle":"","family":"Lagergren","given":"F.","non-dropping-particle":"","parse-names":false,"suffix":""},{"dropping-particle":"","family":"Laurila","given":"T.","non-dropping-particle":"","parse-names":false,"suffix":""},{"dropping-particle":"","family":"Law","given":"B. E.","non-dropping-particle":"","parse-names":false,"suffix":""},{"dropping-particle":"","family":"Maire","given":"G.","non-dropping-particle":"Le","parse-names":false,"suffix":""},{"dropping-particle":"","family":"Lindroth","given":"a.","non-dropping-particle":"","parse-names":false,"suffix":""},{"dropping-particle":"","family":"Loustau","given":"D.","non-dropping-particle":"","parse-names":false,"suffix":""},{"dropping-particle":"","family":"Malhi","given":"Y.","non-dropping-particle":"","parse-names":false,"suffix":""},{"dropping-particle":"","family":"Mateus","given":"J.","non-dropping-particle":"","parse-names":false,"suffix":""},{"dropping-particle":"","family":"Migliavacca","given":"M.","non-dropping-particle":"","parse-names":false,"suffix":""},{"dropping-particle":"","family":"Misson","given":"L.","non-dropping-particle":"","parse-names":false,"suffix":""},{"dropping-particle":"","family":"Montagnani","given":"L.","non-dropping-particle":"","parse-names":false,"suffix":""},{"dropping-particle":"","family":"Moncrieff","given":"J.","non-dropping-particle":"","parse-names":false,"suffix":""},{"dropping-particle":"","family":"Moors","given":"E.","non-dropping-particle":"","parse-names":false,"suffix":""},{"dropping-particle":"","family":"Munger","given":"J. W.","non-dropping-particle":"","parse-names":false,"suffix":""},{"dropping-particle":"","family":"Nikinmaa","given":"E.","non-dropping-particle":"","parse-names":false,"suffix":""},{"dropping-particle":"V.","family":"Ollinger","given":"S.","non-dropping-particle":"","parse-names":false,"suffix":""},{"dropping-particle":"","family":"Pita","given":"G.","non-dropping-particle":"","parse-names":false,"suffix":""},{"dropping-particle":"","family":"Rebmann","given":"C.","non-dropping-particle":"","parse-names":false,"suffix":""},{"dropping-particle":"","family":"Roupsard","given":"O.","non-dropping-particle":"","parse-names":false,"suffix":""},{"dropping-particle":"","family":"Saigusa","given":"N.","non-dropping-particle":"","parse-names":false,"suffix":""},{"dropping-particle":"","family":"Sanz","given":"M. J.","non-dropping-particle":"","parse-names":false,"suffix":""},{"dropping-particle":"","family":"Seufert","given":"G.","non-dropping-particle":"","parse-names":false,"suffix":""},{"dropping-particle":"","family":"Sierra","given":"C.","non-dropping-particle":"","parse-names":false,"suffix":""},{"dropping-particle":"","family":"Smith","given":"M. -L.","non-dropping-particle":"","parse-names":false,"suffix":""},{"dropping-particle":"","family":"Tang","given":"J.","non-dropping-particle":"","parse-names":false,"suffix":""},{"dropping-particle":"","family":"Valentini","given":"R.","non-dropping-particle":"","parse-names":false,"suffix":""},{"dropping-particle":"","family":"Vesala","given":"T.","non-dropping-particle":"","parse-names":false,"suffix":""},{"dropping-particle":"","family":"Janssens","given":"I. a.","non-dropping-particle":"","parse-names":false,"suffix":""}],"container-title":"Global Change Biology","id":"ITEM-1","issue":"12","issued":{"date-parts":[["2007","12"]]},"page":"2509-2537","title":"CO 2 balance of boreal, temperate, and tropical forests derived from a global database","type":"article-journal","volume":"13"},"uris":["http://www.mendeley.com/documents/?uuid=6cb192b7-2cd4-44f4-977f-c20f829f19b5"]}],"mendeley":{"formattedCitation":"(Luyssaert &lt;i&gt;et al.&lt;/i&gt;, 2007b)","plainTextFormattedCitation":"(Luyssaert et al., 2007b)","previouslyFormattedCitation":"(Luyssaert &lt;i&gt;et al.&lt;/i&gt;, 2007b)"},"properties":{"noteIndex":0},"schema":"https://github.com/citation-style-language/schema/raw/master/csl-citation.json"}</w:instrText>
      </w:r>
      <w:r w:rsidRPr="00364D88">
        <w:rPr>
          <w:rFonts w:ascii="Arial" w:hAnsi="Arial" w:cs="Arial"/>
          <w:lang w:val="en-GB"/>
        </w:rPr>
        <w:fldChar w:fldCharType="separate"/>
      </w:r>
      <w:r w:rsidR="009E486E" w:rsidRPr="00364D88">
        <w:rPr>
          <w:rFonts w:ascii="Arial" w:hAnsi="Arial" w:cs="Arial"/>
          <w:noProof/>
          <w:lang w:val="en-GB"/>
        </w:rPr>
        <w:t xml:space="preserve">(Luyssaert </w:t>
      </w:r>
      <w:r w:rsidR="009E486E" w:rsidRPr="00364D88">
        <w:rPr>
          <w:rFonts w:ascii="Arial" w:hAnsi="Arial" w:cs="Arial"/>
          <w:i/>
          <w:noProof/>
          <w:lang w:val="en-GB"/>
        </w:rPr>
        <w:t>et al.</w:t>
      </w:r>
      <w:r w:rsidR="009E486E" w:rsidRPr="00364D88">
        <w:rPr>
          <w:rFonts w:ascii="Arial" w:hAnsi="Arial" w:cs="Arial"/>
          <w:noProof/>
          <w:lang w:val="en-GB"/>
        </w:rPr>
        <w:t>, 2007b)</w:t>
      </w:r>
      <w:r w:rsidRPr="00364D88">
        <w:rPr>
          <w:rFonts w:ascii="Arial" w:hAnsi="Arial" w:cs="Arial"/>
          <w:lang w:val="en-GB"/>
        </w:rPr>
        <w:fldChar w:fldCharType="end"/>
      </w:r>
      <w:r w:rsidRPr="00364D88">
        <w:rPr>
          <w:rFonts w:ascii="Arial" w:hAnsi="Arial" w:cs="Arial"/>
          <w:lang w:val="en-GB"/>
        </w:rPr>
        <w:t xml:space="preserve">. This uncertainty may disproportionally </w:t>
      </w:r>
      <w:r w:rsidR="00821A4E" w:rsidRPr="00364D88">
        <w:rPr>
          <w:rFonts w:ascii="Arial" w:hAnsi="Arial" w:cs="Arial"/>
          <w:lang w:val="en-GB"/>
        </w:rPr>
        <w:t xml:space="preserve">mask </w:t>
      </w:r>
      <w:r w:rsidRPr="00364D88">
        <w:rPr>
          <w:rFonts w:ascii="Arial" w:hAnsi="Arial" w:cs="Arial"/>
          <w:lang w:val="en-GB"/>
        </w:rPr>
        <w:t>relatively small effects</w:t>
      </w:r>
      <w:r w:rsidR="00821A4E" w:rsidRPr="00364D88">
        <w:rPr>
          <w:rFonts w:ascii="Arial" w:hAnsi="Arial" w:cs="Arial"/>
          <w:lang w:val="en-GB"/>
        </w:rPr>
        <w:t xml:space="preserve">, operating at small scales and short gradients, </w:t>
      </w:r>
      <w:r w:rsidRPr="00364D88">
        <w:rPr>
          <w:rFonts w:ascii="Arial" w:hAnsi="Arial" w:cs="Arial"/>
          <w:lang w:val="en-GB"/>
        </w:rPr>
        <w:t>such as those of diversity or elemental composition</w:t>
      </w:r>
      <w:r w:rsidR="00821A4E" w:rsidRPr="00364D88">
        <w:rPr>
          <w:rFonts w:ascii="Arial" w:hAnsi="Arial" w:cs="Arial"/>
          <w:lang w:val="en-GB"/>
        </w:rPr>
        <w:t>,</w:t>
      </w:r>
      <w:r w:rsidRPr="00364D88">
        <w:rPr>
          <w:rFonts w:ascii="Arial" w:hAnsi="Arial" w:cs="Arial"/>
          <w:lang w:val="en-GB"/>
        </w:rPr>
        <w:t xml:space="preserve"> compared to </w:t>
      </w:r>
      <w:r w:rsidR="00814432" w:rsidRPr="00364D88">
        <w:rPr>
          <w:rFonts w:ascii="Arial" w:hAnsi="Arial" w:cs="Arial"/>
          <w:lang w:val="en-GB"/>
        </w:rPr>
        <w:t>strong</w:t>
      </w:r>
      <w:r w:rsidRPr="00364D88">
        <w:rPr>
          <w:rFonts w:ascii="Arial" w:hAnsi="Arial" w:cs="Arial"/>
          <w:lang w:val="en-GB"/>
        </w:rPr>
        <w:t xml:space="preserve"> effects a</w:t>
      </w:r>
      <w:r w:rsidR="00821A4E" w:rsidRPr="00364D88">
        <w:rPr>
          <w:rFonts w:ascii="Arial" w:hAnsi="Arial" w:cs="Arial"/>
          <w:lang w:val="en-GB"/>
        </w:rPr>
        <w:t>t</w:t>
      </w:r>
      <w:r w:rsidRPr="00364D88">
        <w:rPr>
          <w:rFonts w:ascii="Arial" w:hAnsi="Arial" w:cs="Arial"/>
          <w:lang w:val="en-GB"/>
        </w:rPr>
        <w:t xml:space="preserve"> much </w:t>
      </w:r>
      <w:r w:rsidR="00814432" w:rsidRPr="00364D88">
        <w:rPr>
          <w:rFonts w:ascii="Arial" w:hAnsi="Arial" w:cs="Arial"/>
          <w:lang w:val="en-GB"/>
        </w:rPr>
        <w:t>larger</w:t>
      </w:r>
      <w:r w:rsidRPr="00364D88">
        <w:rPr>
          <w:rFonts w:ascii="Arial" w:hAnsi="Arial" w:cs="Arial"/>
          <w:lang w:val="en-GB"/>
        </w:rPr>
        <w:t xml:space="preserve"> </w:t>
      </w:r>
      <w:r w:rsidR="00821A4E" w:rsidRPr="00364D88">
        <w:rPr>
          <w:rFonts w:ascii="Arial" w:hAnsi="Arial" w:cs="Arial"/>
          <w:lang w:val="en-GB"/>
        </w:rPr>
        <w:t>scales,</w:t>
      </w:r>
      <w:r w:rsidRPr="00364D88">
        <w:rPr>
          <w:rFonts w:ascii="Arial" w:hAnsi="Arial" w:cs="Arial"/>
          <w:lang w:val="en-GB"/>
        </w:rPr>
        <w:t xml:space="preserve"> such as climate. Second, our assessment of species abundance was based on literature research and contact with the principal investigators of the sites</w:t>
      </w:r>
      <w:r w:rsidR="00BC510F" w:rsidRPr="00364D88">
        <w:rPr>
          <w:rFonts w:ascii="Arial" w:hAnsi="Arial" w:cs="Arial"/>
          <w:lang w:val="en-GB"/>
        </w:rPr>
        <w:t xml:space="preserve"> because data from standardised protocols do not exist yet</w:t>
      </w:r>
      <w:r w:rsidRPr="00364D88">
        <w:rPr>
          <w:rFonts w:ascii="Arial" w:hAnsi="Arial" w:cs="Arial"/>
          <w:lang w:val="en-GB"/>
        </w:rPr>
        <w:t xml:space="preserve">. Therefore, </w:t>
      </w:r>
      <w:r w:rsidR="00B63B32" w:rsidRPr="00364D88">
        <w:rPr>
          <w:rFonts w:ascii="Arial" w:hAnsi="Arial" w:cs="Arial"/>
          <w:lang w:val="en-GB"/>
        </w:rPr>
        <w:t>species abundance used</w:t>
      </w:r>
      <w:r w:rsidRPr="00364D88">
        <w:rPr>
          <w:rFonts w:ascii="Arial" w:hAnsi="Arial" w:cs="Arial"/>
          <w:lang w:val="en-GB"/>
        </w:rPr>
        <w:t xml:space="preserve"> here is far, in terms of quality, </w:t>
      </w:r>
      <w:r w:rsidR="000B18B4" w:rsidRPr="00364D88">
        <w:rPr>
          <w:rFonts w:ascii="Arial" w:hAnsi="Arial" w:cs="Arial"/>
          <w:lang w:val="en-GB"/>
        </w:rPr>
        <w:t>from</w:t>
      </w:r>
      <w:r w:rsidRPr="00364D88">
        <w:rPr>
          <w:rFonts w:ascii="Arial" w:hAnsi="Arial" w:cs="Arial"/>
          <w:lang w:val="en-GB"/>
        </w:rPr>
        <w:t xml:space="preserve"> the information that standardised botanical surveys would provide.</w:t>
      </w:r>
      <w:r w:rsidR="00191DE8" w:rsidRPr="00364D88">
        <w:rPr>
          <w:rFonts w:ascii="Arial" w:hAnsi="Arial" w:cs="Arial"/>
          <w:lang w:val="en-GB"/>
        </w:rPr>
        <w:t xml:space="preserve"> Openly available standardised botanical surveys at each site would definitely help </w:t>
      </w:r>
      <w:r w:rsidR="00A57678" w:rsidRPr="00364D88">
        <w:rPr>
          <w:rFonts w:ascii="Arial" w:hAnsi="Arial" w:cs="Arial"/>
          <w:lang w:val="en-GB"/>
        </w:rPr>
        <w:t xml:space="preserve">to better elucidate </w:t>
      </w:r>
      <w:r w:rsidR="00191DE8" w:rsidRPr="00364D88">
        <w:rPr>
          <w:rFonts w:ascii="Arial" w:hAnsi="Arial" w:cs="Arial"/>
          <w:lang w:val="en-GB"/>
        </w:rPr>
        <w:t>the role of diversity on ecosystem C balance</w:t>
      </w:r>
      <w:r w:rsidR="00A57678" w:rsidRPr="00364D88">
        <w:rPr>
          <w:rFonts w:ascii="Arial" w:hAnsi="Arial" w:cs="Arial"/>
          <w:lang w:val="en-GB"/>
        </w:rPr>
        <w:t>s</w:t>
      </w:r>
      <w:r w:rsidR="00151A95" w:rsidRPr="00364D88">
        <w:rPr>
          <w:rFonts w:ascii="Arial" w:hAnsi="Arial" w:cs="Arial"/>
          <w:lang w:val="en-GB"/>
        </w:rPr>
        <w:t xml:space="preserve"> and flux networks should promote their broad implementation</w:t>
      </w:r>
      <w:r w:rsidR="00191DE8" w:rsidRPr="00364D88">
        <w:rPr>
          <w:rFonts w:ascii="Arial" w:hAnsi="Arial" w:cs="Arial"/>
          <w:lang w:val="en-GB"/>
        </w:rPr>
        <w:t>.</w:t>
      </w:r>
      <w:r w:rsidRPr="00364D88">
        <w:rPr>
          <w:rFonts w:ascii="Arial" w:hAnsi="Arial" w:cs="Arial"/>
          <w:lang w:val="en-GB"/>
        </w:rPr>
        <w:t xml:space="preserve"> Third, the elemental composition of the species within a site was reconstructed based on species identity for </w:t>
      </w:r>
      <w:r w:rsidR="00BC510F" w:rsidRPr="00364D88">
        <w:rPr>
          <w:rFonts w:ascii="Arial" w:hAnsi="Arial" w:cs="Arial"/>
          <w:lang w:val="en-GB"/>
        </w:rPr>
        <w:t>the majority</w:t>
      </w:r>
      <w:r w:rsidRPr="00364D88">
        <w:rPr>
          <w:rFonts w:ascii="Arial" w:hAnsi="Arial" w:cs="Arial"/>
          <w:lang w:val="en-GB"/>
        </w:rPr>
        <w:t xml:space="preserve"> of the sites. </w:t>
      </w:r>
      <w:r w:rsidR="000B18B4" w:rsidRPr="00364D88">
        <w:rPr>
          <w:rFonts w:ascii="Arial" w:hAnsi="Arial" w:cs="Arial"/>
          <w:lang w:val="en-GB"/>
        </w:rPr>
        <w:t>F</w:t>
      </w:r>
      <w:r w:rsidRPr="00364D88">
        <w:rPr>
          <w:rFonts w:ascii="Arial" w:hAnsi="Arial" w:cs="Arial"/>
          <w:lang w:val="en-GB"/>
        </w:rPr>
        <w:t xml:space="preserve">or several species we had to use elemental composition data </w:t>
      </w:r>
      <w:r w:rsidR="000B18B4" w:rsidRPr="00364D88">
        <w:rPr>
          <w:rFonts w:ascii="Arial" w:hAnsi="Arial" w:cs="Arial"/>
          <w:lang w:val="en-GB"/>
        </w:rPr>
        <w:t xml:space="preserve">inferred from phylogeny, </w:t>
      </w:r>
      <w:r w:rsidRPr="00364D88">
        <w:rPr>
          <w:rFonts w:ascii="Arial" w:hAnsi="Arial" w:cs="Arial"/>
          <w:lang w:val="en-GB"/>
        </w:rPr>
        <w:t xml:space="preserve">because </w:t>
      </w:r>
      <w:r w:rsidR="000B18B4" w:rsidRPr="00364D88">
        <w:rPr>
          <w:rFonts w:ascii="Arial" w:hAnsi="Arial" w:cs="Arial"/>
          <w:lang w:val="en-GB"/>
        </w:rPr>
        <w:t xml:space="preserve">foliar chemistry for </w:t>
      </w:r>
      <w:r w:rsidRPr="00364D88">
        <w:rPr>
          <w:rFonts w:ascii="Arial" w:hAnsi="Arial" w:cs="Arial"/>
          <w:lang w:val="en-GB"/>
        </w:rPr>
        <w:t xml:space="preserve">the target species were </w:t>
      </w:r>
      <w:r w:rsidR="000B18B4" w:rsidRPr="00364D88">
        <w:rPr>
          <w:rFonts w:ascii="Arial" w:hAnsi="Arial" w:cs="Arial"/>
          <w:lang w:val="en-GB"/>
        </w:rPr>
        <w:t>not present</w:t>
      </w:r>
      <w:r w:rsidRPr="00364D88">
        <w:rPr>
          <w:rFonts w:ascii="Arial" w:hAnsi="Arial" w:cs="Arial"/>
          <w:lang w:val="en-GB"/>
        </w:rPr>
        <w:t xml:space="preserve"> in our database.</w:t>
      </w:r>
      <w:r w:rsidR="00161330" w:rsidRPr="00364D88">
        <w:rPr>
          <w:rFonts w:ascii="Arial" w:hAnsi="Arial" w:cs="Arial"/>
          <w:lang w:val="en-GB"/>
        </w:rPr>
        <w:t xml:space="preserve"> The fact that differences in elemental composition is higher amongst species </w:t>
      </w:r>
      <w:r w:rsidR="00161330" w:rsidRPr="00364D88">
        <w:rPr>
          <w:rFonts w:ascii="Arial" w:hAnsi="Arial" w:cs="Arial"/>
          <w:lang w:val="en-GB"/>
        </w:rPr>
        <w:lastRenderedPageBreak/>
        <w:t>than within-species</w:t>
      </w:r>
      <w:r w:rsidR="009E486E" w:rsidRPr="00364D88">
        <w:rPr>
          <w:rFonts w:ascii="Arial" w:hAnsi="Arial" w:cs="Arial"/>
          <w:lang w:val="en-GB"/>
        </w:rPr>
        <w:t xml:space="preserve"> </w:t>
      </w:r>
      <w:r w:rsidR="00161330" w:rsidRPr="00364D88">
        <w:rPr>
          <w:rFonts w:ascii="Arial" w:hAnsi="Arial" w:cs="Arial"/>
          <w:lang w:val="en-GB"/>
        </w:rPr>
        <w:fldChar w:fldCharType="begin" w:fldLock="1"/>
      </w:r>
      <w:r w:rsidR="00114B12" w:rsidRPr="00364D88">
        <w:rPr>
          <w:rFonts w:ascii="Arial" w:hAnsi="Arial" w:cs="Arial"/>
          <w:lang w:val="en-GB"/>
        </w:rPr>
        <w:instrText>ADDIN CSL_CITATION {"citationItems":[{"id":"ITEM-1","itemData":{"DOI":"10.1002/ecy.2652","ISSN":"0012-9658","author":[{"dropping-particle":"","family":"Peñuelas","given":"Josep","non-dropping-particle":"","parse-names":false,"suffix":""},{"dropping-particle":"","family":"Fernández</w:instrText>
      </w:r>
      <w:r w:rsidR="00114B12" w:rsidRPr="00364D88">
        <w:rPr>
          <w:rFonts w:ascii="Cambria Math" w:hAnsi="Cambria Math" w:cs="Cambria Math"/>
          <w:lang w:val="en-GB"/>
        </w:rPr>
        <w:instrText>‐</w:instrText>
      </w:r>
      <w:r w:rsidR="00114B12" w:rsidRPr="00364D88">
        <w:rPr>
          <w:rFonts w:ascii="Arial" w:hAnsi="Arial" w:cs="Arial"/>
          <w:lang w:val="en-GB"/>
        </w:rPr>
        <w:instrText>Martínez","given":"Marcos","non-dropping-particle":"","parse-names":false,"suffix":""},{"dropping-particle":"","family":"Ciais","given":"Philippe","non-dropping-particle":"","parse-names":false,"suffix":""},{"dropping-particle":"","family":"Jou","given":"David","non-dropping-particle":"","parse-names":false,"suffix":""},{"dropping-particle":"","family":"Piao","given":"Shilong","non-dropping-particle":"","parse-names":false,"suffix":""},{"dropping-particle":"","family":"Obersteiner","given":"Michael","non-dropping-particle":"","parse-names":false,"suffix":""},{"dropping-particle":"","family":"Vicca","given":"Sara","non-dropping-particle":"","parse-names":false,"suffix":""},{"dropping-particle":"","family":"Janssens","given":"Ivan A.","non-dropping-particle":"","parse-names":false,"suffix":""},{"dropping-particle":"","family":"Sardans","given":"Jordi","non-dropping-particle":"","parse-names":false,"suffix":""}],"container-title":"Ecology","id":"ITEM-1","issue":"5","issued":{"date-parts":[["2019","5","22"]]},"page":"e02652","title":"The bioelements, the elementome, and the biogeochemical niche","type":"article-journal","volume":"100"},"uris":["http://www.mendeley.com/documents/?uuid=0ad8fbcc-c6e3-4416-b489-19c212f23f9f"]}],"mendeley":{"formattedCitation":"(Peñuelas &lt;i&gt;et al.&lt;/i&gt;, 2019)","plainTextFormattedCitation":"(Peñuelas et al., 2019)","previouslyFormattedCitation":"(Peñuelas &lt;i&gt;et al.&lt;/i&gt;, 2019)"},"properties":{"noteIndex":0},"schema":"https://github.com/citation-style-language/schema/raw/master/csl-citation.json"}</w:instrText>
      </w:r>
      <w:r w:rsidR="00161330" w:rsidRPr="00364D88">
        <w:rPr>
          <w:rFonts w:ascii="Arial" w:hAnsi="Arial" w:cs="Arial"/>
          <w:lang w:val="en-GB"/>
        </w:rPr>
        <w:fldChar w:fldCharType="separate"/>
      </w:r>
      <w:r w:rsidR="009E486E" w:rsidRPr="00364D88">
        <w:rPr>
          <w:rFonts w:ascii="Arial" w:hAnsi="Arial" w:cs="Arial"/>
          <w:noProof/>
          <w:lang w:val="en-GB"/>
        </w:rPr>
        <w:t xml:space="preserve">(Peñuelas </w:t>
      </w:r>
      <w:r w:rsidR="009E486E" w:rsidRPr="00364D88">
        <w:rPr>
          <w:rFonts w:ascii="Arial" w:hAnsi="Arial" w:cs="Arial"/>
          <w:i/>
          <w:noProof/>
          <w:lang w:val="en-GB"/>
        </w:rPr>
        <w:t>et al.</w:t>
      </w:r>
      <w:r w:rsidR="009E486E" w:rsidRPr="00364D88">
        <w:rPr>
          <w:rFonts w:ascii="Arial" w:hAnsi="Arial" w:cs="Arial"/>
          <w:noProof/>
          <w:lang w:val="en-GB"/>
        </w:rPr>
        <w:t>, 2019)</w:t>
      </w:r>
      <w:r w:rsidR="00161330" w:rsidRPr="00364D88">
        <w:rPr>
          <w:rFonts w:ascii="Arial" w:hAnsi="Arial" w:cs="Arial"/>
          <w:lang w:val="en-GB"/>
        </w:rPr>
        <w:fldChar w:fldCharType="end"/>
      </w:r>
      <w:r w:rsidR="00161330" w:rsidRPr="00364D88">
        <w:rPr>
          <w:rFonts w:ascii="Arial" w:hAnsi="Arial" w:cs="Arial"/>
          <w:lang w:val="en-GB"/>
        </w:rPr>
        <w:t>, however, supports the validity of our approach.</w:t>
      </w:r>
      <w:r w:rsidR="0074228D" w:rsidRPr="00364D88">
        <w:rPr>
          <w:rFonts w:ascii="Arial" w:hAnsi="Arial" w:cs="Arial"/>
          <w:lang w:val="en-GB"/>
        </w:rPr>
        <w:t xml:space="preserve"> Additionally, all these abovementioned uncertainties in our data are systematic across sites, which means that it would be very unlikely that any of our findings emerge as a result of them. </w:t>
      </w:r>
      <w:r w:rsidR="000B18B4" w:rsidRPr="00364D88">
        <w:rPr>
          <w:rFonts w:ascii="Arial" w:hAnsi="Arial" w:cs="Arial"/>
          <w:lang w:val="en-GB"/>
        </w:rPr>
        <w:t>D</w:t>
      </w:r>
      <w:r w:rsidRPr="00364D88">
        <w:rPr>
          <w:rFonts w:ascii="Arial" w:hAnsi="Arial" w:cs="Arial"/>
          <w:lang w:val="en-GB"/>
        </w:rPr>
        <w:t xml:space="preserve">espite these </w:t>
      </w:r>
      <w:r w:rsidR="000B18B4" w:rsidRPr="00364D88">
        <w:rPr>
          <w:rFonts w:ascii="Arial" w:hAnsi="Arial" w:cs="Arial"/>
          <w:lang w:val="en-GB"/>
        </w:rPr>
        <w:t>limitations</w:t>
      </w:r>
      <w:r w:rsidRPr="00364D88">
        <w:rPr>
          <w:rFonts w:ascii="Arial" w:hAnsi="Arial" w:cs="Arial"/>
          <w:lang w:val="en-GB"/>
        </w:rPr>
        <w:t>, we f</w:t>
      </w:r>
      <w:r w:rsidR="00BC510F" w:rsidRPr="00364D88">
        <w:rPr>
          <w:rFonts w:ascii="Arial" w:hAnsi="Arial" w:cs="Arial"/>
          <w:lang w:val="en-GB"/>
        </w:rPr>
        <w:t>ound</w:t>
      </w:r>
      <w:r w:rsidRPr="00364D88">
        <w:rPr>
          <w:rFonts w:ascii="Arial" w:hAnsi="Arial" w:cs="Arial"/>
          <w:lang w:val="en-GB"/>
        </w:rPr>
        <w:t xml:space="preserve"> statistically significant differences </w:t>
      </w:r>
      <w:r w:rsidR="000B18B4" w:rsidRPr="00364D88">
        <w:rPr>
          <w:rFonts w:ascii="Arial" w:hAnsi="Arial" w:cs="Arial"/>
          <w:lang w:val="en-GB"/>
        </w:rPr>
        <w:t xml:space="preserve">in ecosystem fluxes and their interannual variability </w:t>
      </w:r>
      <w:r w:rsidR="00A57678" w:rsidRPr="00364D88">
        <w:rPr>
          <w:rFonts w:ascii="Arial" w:hAnsi="Arial" w:cs="Arial"/>
          <w:lang w:val="en-GB"/>
        </w:rPr>
        <w:t>in response to</w:t>
      </w:r>
      <w:r w:rsidRPr="00364D88">
        <w:rPr>
          <w:rFonts w:ascii="Arial" w:hAnsi="Arial" w:cs="Arial"/>
          <w:lang w:val="en-GB"/>
        </w:rPr>
        <w:t xml:space="preserve"> differences in diversity and ecosystem elemental composition.</w:t>
      </w:r>
      <w:r w:rsidR="0074228D" w:rsidRPr="00364D88">
        <w:rPr>
          <w:rFonts w:ascii="Arial" w:hAnsi="Arial" w:cs="Arial"/>
          <w:lang w:val="en-GB"/>
        </w:rPr>
        <w:t xml:space="preserve"> </w:t>
      </w:r>
      <w:r w:rsidRPr="00364D88">
        <w:rPr>
          <w:rFonts w:ascii="Arial" w:hAnsi="Arial" w:cs="Arial"/>
          <w:lang w:val="en-GB"/>
        </w:rPr>
        <w:t xml:space="preserve"> </w:t>
      </w:r>
      <w:r w:rsidR="000B18B4" w:rsidRPr="00364D88">
        <w:rPr>
          <w:rFonts w:ascii="Arial" w:hAnsi="Arial" w:cs="Arial"/>
          <w:lang w:val="en-GB"/>
        </w:rPr>
        <w:t>Hence, we hypothesise that the effect</w:t>
      </w:r>
      <w:r w:rsidRPr="00364D88">
        <w:rPr>
          <w:rFonts w:ascii="Arial" w:hAnsi="Arial" w:cs="Arial"/>
          <w:lang w:val="en-GB"/>
        </w:rPr>
        <w:t xml:space="preserve"> of biodiversity and </w:t>
      </w:r>
      <w:r w:rsidR="00BC510F" w:rsidRPr="00364D88">
        <w:rPr>
          <w:rFonts w:ascii="Arial" w:hAnsi="Arial" w:cs="Arial"/>
          <w:lang w:val="en-GB"/>
        </w:rPr>
        <w:t xml:space="preserve">foliar </w:t>
      </w:r>
      <w:r w:rsidRPr="00364D88">
        <w:rPr>
          <w:rFonts w:ascii="Arial" w:hAnsi="Arial" w:cs="Arial"/>
          <w:lang w:val="en-GB"/>
        </w:rPr>
        <w:t xml:space="preserve">elemental composition on ecosystem C balance </w:t>
      </w:r>
      <w:r w:rsidR="000B18B4" w:rsidRPr="00364D88">
        <w:rPr>
          <w:rFonts w:ascii="Arial" w:hAnsi="Arial" w:cs="Arial"/>
          <w:lang w:val="en-GB"/>
        </w:rPr>
        <w:t>may be</w:t>
      </w:r>
      <w:r w:rsidRPr="00364D88">
        <w:rPr>
          <w:rFonts w:ascii="Arial" w:hAnsi="Arial" w:cs="Arial"/>
          <w:lang w:val="en-GB"/>
        </w:rPr>
        <w:t xml:space="preserve"> stronger than the one that we report here. Our results, point out that global change </w:t>
      </w:r>
      <w:r w:rsidR="000B18B4" w:rsidRPr="00364D88">
        <w:rPr>
          <w:rFonts w:ascii="Arial" w:hAnsi="Arial" w:cs="Arial"/>
          <w:lang w:val="en-GB"/>
        </w:rPr>
        <w:t>is</w:t>
      </w:r>
      <w:r w:rsidRPr="00364D88">
        <w:rPr>
          <w:rFonts w:ascii="Arial" w:hAnsi="Arial" w:cs="Arial"/>
          <w:lang w:val="en-GB"/>
        </w:rPr>
        <w:t xml:space="preserve"> affecting the global C cycle, not only </w:t>
      </w:r>
      <w:r w:rsidR="000B18B4" w:rsidRPr="00364D88">
        <w:rPr>
          <w:rFonts w:ascii="Arial" w:hAnsi="Arial" w:cs="Arial"/>
          <w:lang w:val="en-GB"/>
        </w:rPr>
        <w:t>through</w:t>
      </w:r>
      <w:r w:rsidRPr="00364D88">
        <w:rPr>
          <w:rFonts w:ascii="Arial" w:hAnsi="Arial" w:cs="Arial"/>
          <w:lang w:val="en-GB"/>
        </w:rPr>
        <w:t xml:space="preserve"> climate change, but </w:t>
      </w:r>
      <w:r w:rsidR="000B18B4" w:rsidRPr="00364D88">
        <w:rPr>
          <w:rFonts w:ascii="Arial" w:hAnsi="Arial" w:cs="Arial"/>
          <w:lang w:val="en-GB"/>
        </w:rPr>
        <w:t>also through</w:t>
      </w:r>
      <w:r w:rsidRPr="00364D88">
        <w:rPr>
          <w:rFonts w:ascii="Arial" w:hAnsi="Arial" w:cs="Arial"/>
          <w:lang w:val="en-GB"/>
        </w:rPr>
        <w:t xml:space="preserve"> </w:t>
      </w:r>
      <w:r w:rsidR="00161330" w:rsidRPr="00364D88">
        <w:rPr>
          <w:rFonts w:ascii="Arial" w:hAnsi="Arial" w:cs="Arial"/>
          <w:lang w:val="en-GB"/>
        </w:rPr>
        <w:t xml:space="preserve">shifts in foliar stoichiometry of autotrophs, such as increasing N </w:t>
      </w:r>
      <w:r w:rsidR="002A58B0" w:rsidRPr="00364D88">
        <w:rPr>
          <w:rFonts w:ascii="Arial" w:hAnsi="Arial" w:cs="Arial"/>
          <w:lang w:val="en-GB"/>
        </w:rPr>
        <w:t>and decreasing P concentrations</w:t>
      </w:r>
      <w:r w:rsidR="009E486E" w:rsidRPr="00364D88">
        <w:rPr>
          <w:rFonts w:ascii="Arial" w:hAnsi="Arial" w:cs="Arial"/>
          <w:lang w:val="en-GB"/>
        </w:rPr>
        <w:t xml:space="preserve"> </w:t>
      </w:r>
      <w:r w:rsidR="00161330" w:rsidRPr="00364D88">
        <w:rPr>
          <w:rFonts w:ascii="Arial" w:hAnsi="Arial" w:cs="Arial"/>
          <w:lang w:val="en-GB"/>
        </w:rPr>
        <w:fldChar w:fldCharType="begin" w:fldLock="1"/>
      </w:r>
      <w:r w:rsidR="007D536C" w:rsidRPr="00364D88">
        <w:rPr>
          <w:rFonts w:ascii="Arial" w:hAnsi="Arial" w:cs="Arial"/>
          <w:lang w:val="en-GB"/>
        </w:rPr>
        <w:instrText>ADDIN CSL_CITATION {"citationItems":[{"id":"ITEM-1","itemData":{"DOI":"10.1038/ncomms3934","ISSN":"2041-1723","PMID":"24343268","abstract":"The availability of carbon from rising atmospheric carbon dioxide levels and of nitrogen from various human-induced inputs to ecosystems is continuously increasing; however, these increases are not paralleled by a similar increase in phosphorus inputs. The inexorable change in the stoichiometry of carbon and nitrogen relative to phosphorus has no equivalent in Earth's history. Here we report the profound and yet uncertain consequences of the human imprint on the phosphorus cycle and nitrogen:phosphorus stoichiometry for the structure, functioning and diversity of terrestrial and aquatic organisms and ecosystems. A mass balance approach is used to show that limited phosphorus and nitrogen availability are likely to jointly reduce future carbon storage by natural ecosystems during this century. Further, if phosphorus fertilizers cannot be made increasingly accessible, the crop yields projections of the Millennium Ecosystem Assessment imply an increase of the nutrient deficit in developing regions.","author":[{"dropping-particle":"","family":"Peñuelas","given":"Josep","non-dropping-particle":"","parse-names":false,"suffix":""},{"dropping-particle":"","family":"Poulter","given":"Benjamin","non-dropping-particle":"","parse-names":false,"suffix":""},{"dropping-particle":"","family":"Sardans","given":"Jordi","non-dropping-particle":"","parse-names":false,"suffix":""},{"dropping-particle":"","family":"Ciais","given":"Philippe","non-dropping-particle":"","parse-names":false,"suffix":""},{"dropping-particle":"","family":"Velde","given":"Marijn","non-dropping-particle":"van der","parse-names":false,"suffix":""},{"dropping-particle":"","family":"Bopp","given":"Laurent","non-dropping-particle":"","parse-names":false,"suffix":""},{"dropping-particle":"","family":"Boucher","given":"Olivier","non-dropping-particle":"","parse-names":false,"suffix":""},{"dropping-particle":"","family":"Godderis","given":"Yves","non-dropping-particle":"","parse-names":false,"suffix":""},{"dropping-particle":"","family":"Hinsinger","given":"Philippe","non-dropping-particle":"","parse-names":false,"suffix":""},{"dropping-particle":"","family":"Llusia","given":"Joan","non-dropping-particle":"","parse-names":false,"suffix":""},{"dropping-particle":"","family":"Nardin","given":"Elise","non-dropping-particle":"","parse-names":false,"suffix":""},{"dropping-particle":"","family":"Vicca","given":"Sara","non-dropping-particle":"","parse-names":false,"suffix":""},{"dropping-particle":"","family":"Obersteiner","given":"Michael","non-dropping-particle":"","parse-names":false,"suffix":""},{"dropping-particle":"","family":"Janssens","given":"Ivan A","non-dropping-particle":"","parse-names":false,"suffix":""}],"container-title":"Nature communications","id":"ITEM-1","issued":{"date-parts":[["2013","1","17"]]},"language":"en","page":"2934","publisher":"Nature Publishing Group","title":"Human-induced nitrogen-phosphorus imbalances alter natural and managed ecosystems across the globe.","type":"article-journal","volume":"4"},"uris":["http://www.mendeley.com/documents/?uuid=50e12e44-89fa-447a-a106-459eb4a9f2c5"]},{"id":"ITEM-2","itemData":{"DOI":"10.1038/s42003-020-0839-y","ISSN":"2399-3642","author":[{"dropping-particle":"","family":"Penuelas","given":"Josep","non-dropping-particle":"","parse-names":false,"suffix":""},{"dropping-particle":"","family":"Fernández-Martínez","given":"Marcos","non-dropping-particle":"","parse-names":false,"suffix":""},{"dropping-particle":"","family":"Vallicrosa","given":"Helena","non-dropping-particle":"","parse-names":false,"suffix":""},{"dropping-particle":"","family":"Maspons","given":"Joan","non-dropping-particle":"","parse-names":false,"suffix":""},{"dropping-particle":"","family":"Zuccarini","given":"Paolo","non-dropping-particle":"","parse-names":false,"suffix":""},{"dropping-particle":"","family":"Carnicer","given":"Jofre","non-dropping-particle":"","parse-names":false,"suffix":""},{"dropping-particle":"","family":"Sanders","given":"Tanja G M","non-dropping-particle":"","parse-names":false,"suffix":""},{"dropping-particle":"","family":"Krüger","given":"Inken","non-dropping-particle":"","parse-names":false,"suffix":""},{"dropping-particle":"","family":"Obersteiner","given":"Michael","non-dropping-particle":"","parse-names":false,"suffix":""},{"dropping-particle":"","family":"Janssens","given":"Ivan A","non-dropping-particle":"","parse-names":false,"suffix":""},{"dropping-particle":"","family":"Ciais","given":"Philippe","non-dropping-particle":"","parse-names":false,"suffix":""},{"dropping-particle":"","family":"Sardans","given":"Jordi","non-dropping-particle":"","parse-names":false,"suffix":""}],"container-title":"Communications Biology","id":"ITEM-2","issue":"1","issued":{"date-parts":[["2020","12","13"]]},"page":"125","publisher":"Springer US","title":"Increasing atmospheric CO2 concentrations correlate with declining nutritional status of European forests","type":"article-journal","volume":"3"},"uris":["http://www.mendeley.com/documents/?uuid=446137fa-f642-47d8-87d5-1cd4a93e5c27"]}],"mendeley":{"formattedCitation":"(Peñuelas &lt;i&gt;et al.&lt;/i&gt;, 2013; Penuelas &lt;i&gt;et al.&lt;/i&gt;, 2020)","plainTextFormattedCitation":"(Peñuelas et al., 2013; Penuelas et al., 2020)","previouslyFormattedCitation":"(Peñuelas &lt;i&gt;et al.&lt;/i&gt;, 2013; Penuelas &lt;i&gt;et al.&lt;/i&gt;, 2020)"},"properties":{"noteIndex":0},"schema":"https://github.com/citation-style-language/schema/raw/master/csl-citation.json"}</w:instrText>
      </w:r>
      <w:r w:rsidR="00161330" w:rsidRPr="00364D88">
        <w:rPr>
          <w:rFonts w:ascii="Arial" w:hAnsi="Arial" w:cs="Arial"/>
          <w:lang w:val="en-GB"/>
        </w:rPr>
        <w:fldChar w:fldCharType="separate"/>
      </w:r>
      <w:r w:rsidR="009E3FDB" w:rsidRPr="00364D88">
        <w:rPr>
          <w:rFonts w:ascii="Arial" w:hAnsi="Arial" w:cs="Arial"/>
          <w:noProof/>
          <w:lang w:val="en-GB"/>
        </w:rPr>
        <w:t xml:space="preserve">(Peñuelas </w:t>
      </w:r>
      <w:r w:rsidR="009E3FDB" w:rsidRPr="00364D88">
        <w:rPr>
          <w:rFonts w:ascii="Arial" w:hAnsi="Arial" w:cs="Arial"/>
          <w:i/>
          <w:noProof/>
          <w:lang w:val="en-GB"/>
        </w:rPr>
        <w:t>et al.</w:t>
      </w:r>
      <w:r w:rsidR="009E3FDB" w:rsidRPr="00364D88">
        <w:rPr>
          <w:rFonts w:ascii="Arial" w:hAnsi="Arial" w:cs="Arial"/>
          <w:noProof/>
          <w:lang w:val="en-GB"/>
        </w:rPr>
        <w:t xml:space="preserve">, 2013; Penuelas </w:t>
      </w:r>
      <w:r w:rsidR="009E3FDB" w:rsidRPr="00364D88">
        <w:rPr>
          <w:rFonts w:ascii="Arial" w:hAnsi="Arial" w:cs="Arial"/>
          <w:i/>
          <w:noProof/>
          <w:lang w:val="en-GB"/>
        </w:rPr>
        <w:t>et al.</w:t>
      </w:r>
      <w:r w:rsidR="009E3FDB" w:rsidRPr="00364D88">
        <w:rPr>
          <w:rFonts w:ascii="Arial" w:hAnsi="Arial" w:cs="Arial"/>
          <w:noProof/>
          <w:lang w:val="en-GB"/>
        </w:rPr>
        <w:t>, 2020)</w:t>
      </w:r>
      <w:r w:rsidR="00161330" w:rsidRPr="00364D88">
        <w:rPr>
          <w:rFonts w:ascii="Arial" w:hAnsi="Arial" w:cs="Arial"/>
          <w:lang w:val="en-GB"/>
        </w:rPr>
        <w:fldChar w:fldCharType="end"/>
      </w:r>
      <w:r w:rsidR="00161330" w:rsidRPr="00364D88">
        <w:rPr>
          <w:rFonts w:ascii="Arial" w:hAnsi="Arial" w:cs="Arial"/>
          <w:lang w:val="en-GB"/>
        </w:rPr>
        <w:t xml:space="preserve">. Whether </w:t>
      </w:r>
      <w:r w:rsidR="00111BC8" w:rsidRPr="00364D88">
        <w:rPr>
          <w:rFonts w:ascii="Arial" w:hAnsi="Arial" w:cs="Arial"/>
          <w:lang w:val="en-GB"/>
        </w:rPr>
        <w:t xml:space="preserve">diversity loss </w:t>
      </w:r>
      <w:r w:rsidR="00475AFC" w:rsidRPr="00364D88">
        <w:rPr>
          <w:rFonts w:ascii="Arial" w:hAnsi="Arial" w:cs="Arial"/>
          <w:lang w:val="en-GB"/>
        </w:rPr>
        <w:t xml:space="preserve">will </w:t>
      </w:r>
      <w:r w:rsidR="00161330" w:rsidRPr="00364D88">
        <w:rPr>
          <w:rFonts w:ascii="Arial" w:hAnsi="Arial" w:cs="Arial"/>
          <w:lang w:val="en-GB"/>
        </w:rPr>
        <w:t xml:space="preserve">have a </w:t>
      </w:r>
      <w:r w:rsidR="00475AFC" w:rsidRPr="00364D88">
        <w:rPr>
          <w:rFonts w:ascii="Arial" w:hAnsi="Arial" w:cs="Arial"/>
          <w:lang w:val="en-GB"/>
        </w:rPr>
        <w:t xml:space="preserve">strong </w:t>
      </w:r>
      <w:r w:rsidR="00161330" w:rsidRPr="00364D88">
        <w:rPr>
          <w:rFonts w:ascii="Arial" w:hAnsi="Arial" w:cs="Arial"/>
          <w:lang w:val="en-GB"/>
        </w:rPr>
        <w:t>impact on global C balance still deserves further attention</w:t>
      </w:r>
      <w:r w:rsidR="00814432" w:rsidRPr="00364D88">
        <w:rPr>
          <w:rFonts w:ascii="Arial" w:hAnsi="Arial" w:cs="Arial"/>
          <w:lang w:val="en-GB"/>
        </w:rPr>
        <w:t>.</w:t>
      </w:r>
    </w:p>
    <w:p w14:paraId="6122683C" w14:textId="77777777" w:rsidR="00C508A5" w:rsidRPr="00364D88" w:rsidRDefault="00C508A5" w:rsidP="00C508A5">
      <w:pPr>
        <w:spacing w:line="360" w:lineRule="auto"/>
        <w:outlineLvl w:val="0"/>
        <w:rPr>
          <w:rFonts w:ascii="Arial" w:hAnsi="Arial"/>
          <w:b/>
          <w:lang w:val="en-GB"/>
        </w:rPr>
      </w:pPr>
      <w:r w:rsidRPr="00364D88">
        <w:rPr>
          <w:rFonts w:ascii="Arial" w:hAnsi="Arial"/>
          <w:b/>
          <w:sz w:val="24"/>
          <w:lang w:val="en-GB"/>
        </w:rPr>
        <w:t>Acknowledgements</w:t>
      </w:r>
    </w:p>
    <w:p w14:paraId="0005B5D2" w14:textId="77777777" w:rsidR="00C508A5" w:rsidRPr="00364D88" w:rsidRDefault="00C508A5" w:rsidP="00C508A5">
      <w:pPr>
        <w:spacing w:line="360" w:lineRule="auto"/>
        <w:jc w:val="both"/>
        <w:rPr>
          <w:rFonts w:ascii="Arial" w:hAnsi="Arial" w:cs="Arial"/>
          <w:lang w:val="en-GB"/>
        </w:rPr>
      </w:pPr>
      <w:r w:rsidRPr="00364D88">
        <w:rPr>
          <w:rFonts w:ascii="Arial" w:hAnsi="Arial"/>
          <w:lang w:val="en-GB"/>
        </w:rPr>
        <w:t>This work used eddy-covariance data acquired and shared by the FLUXNET community, including the networks AmeriFlux, AfriFlux, AsiaFlux, CarboAfrica, CarboEuropeIP, CarboItaly, CarboMont, ChinaFlux, Fluxnet-Canada, GreenGrass, ICOS, KoFlux, LBA, NECC, OzFlux-TERN, TCOS-Siberia, and USCCC. The data from the ERA-Interim reanalysis were provided by ECMWF and processed by LSCE. The FLUXNET eddy-covariance data were processed and harmonised by the European Fluxes Database Cluster, AmeriFlux Management Project, and Fluxdata project of FLUXNET, with the support of CDIAC, the ICOS Ecosystem Thematic Center, and the offices of OzFlux, ChinaFlux, and AsiaFlux. We thank Gabriela Schaepman-Strub and Derek Eamus for contributing with data. We thank Julia Boike, Bob Scholes and Lars Kutzbach for their comments on the manuscript. This research was funded by the Spanish Government project CGL2016-79835-P (FERTWARM), the European Research Council Synergy grant ERC-2013-726 SyG-610028 IMBALANCE-P, and the Catalan Government project SGR 2017-1005. M.F-M. is a postdoctoral fellow of the Research Foundation-Flanders (FWO).</w:t>
      </w:r>
      <w:r w:rsidRPr="00364D88">
        <w:rPr>
          <w:rFonts w:ascii="Arial" w:hAnsi="Arial" w:cs="Arial"/>
          <w:lang w:val="en-GB"/>
        </w:rPr>
        <w:t xml:space="preserve"> </w:t>
      </w:r>
    </w:p>
    <w:p w14:paraId="5B5D1836" w14:textId="77777777" w:rsidR="00C508A5" w:rsidRPr="00364D88" w:rsidRDefault="00C508A5" w:rsidP="00C508A5">
      <w:pPr>
        <w:spacing w:line="480" w:lineRule="auto"/>
        <w:jc w:val="both"/>
        <w:rPr>
          <w:rStyle w:val="pagecontents"/>
          <w:rFonts w:ascii="Arial" w:hAnsi="Arial" w:cs="Arial"/>
          <w:b/>
          <w:sz w:val="24"/>
          <w:szCs w:val="24"/>
        </w:rPr>
      </w:pPr>
      <w:r w:rsidRPr="00364D88">
        <w:rPr>
          <w:rStyle w:val="pagecontents"/>
          <w:rFonts w:ascii="Arial" w:hAnsi="Arial" w:cs="Arial"/>
          <w:b/>
          <w:sz w:val="24"/>
          <w:szCs w:val="24"/>
        </w:rPr>
        <w:t>Competing interests</w:t>
      </w:r>
    </w:p>
    <w:p w14:paraId="1D76C748" w14:textId="77777777" w:rsidR="00C508A5" w:rsidRPr="00364D88" w:rsidRDefault="00C508A5" w:rsidP="00C508A5">
      <w:pPr>
        <w:spacing w:line="480" w:lineRule="auto"/>
        <w:jc w:val="both"/>
        <w:rPr>
          <w:rFonts w:ascii="Arial" w:hAnsi="Arial" w:cs="Arial"/>
          <w:lang w:val="en-GB"/>
        </w:rPr>
      </w:pPr>
      <w:r w:rsidRPr="00364D88">
        <w:rPr>
          <w:rFonts w:ascii="Arial" w:hAnsi="Arial"/>
          <w:lang w:val="en-GB"/>
        </w:rPr>
        <w:t>The authors declare no competing interests.</w:t>
      </w:r>
    </w:p>
    <w:p w14:paraId="761CDB9A" w14:textId="77777777" w:rsidR="00C508A5" w:rsidRPr="00364D88" w:rsidRDefault="00C508A5" w:rsidP="00C508A5">
      <w:pPr>
        <w:spacing w:line="480" w:lineRule="auto"/>
        <w:jc w:val="both"/>
        <w:rPr>
          <w:rStyle w:val="pagecontents"/>
          <w:rFonts w:ascii="Arial" w:hAnsi="Arial" w:cs="Arial"/>
          <w:b/>
          <w:sz w:val="24"/>
          <w:szCs w:val="24"/>
        </w:rPr>
      </w:pPr>
      <w:r w:rsidRPr="00364D88">
        <w:rPr>
          <w:rStyle w:val="pagecontents"/>
          <w:rFonts w:ascii="Arial" w:hAnsi="Arial" w:cs="Arial"/>
          <w:b/>
          <w:sz w:val="24"/>
          <w:szCs w:val="24"/>
        </w:rPr>
        <w:t>Author contributions</w:t>
      </w:r>
    </w:p>
    <w:p w14:paraId="4C21AA7E" w14:textId="77777777" w:rsidR="00C508A5" w:rsidRPr="00364D88" w:rsidRDefault="00C508A5" w:rsidP="00C508A5">
      <w:pPr>
        <w:spacing w:line="480" w:lineRule="auto"/>
        <w:jc w:val="both"/>
        <w:rPr>
          <w:rFonts w:ascii="Arial" w:hAnsi="Arial"/>
        </w:rPr>
      </w:pPr>
      <w:r w:rsidRPr="00364D88">
        <w:rPr>
          <w:rFonts w:ascii="Arial" w:hAnsi="Arial"/>
        </w:rPr>
        <w:lastRenderedPageBreak/>
        <w:t>MFM, JP, and IAJ planned and designed the research. MFM analysed the data. TM, MM, MI and RJS provided data. All authors contributed substantially to the writing of the manuscript.</w:t>
      </w:r>
    </w:p>
    <w:p w14:paraId="4EB654FC" w14:textId="2E617486" w:rsidR="00C508A5" w:rsidRPr="000A70EA" w:rsidRDefault="00C508A5" w:rsidP="00C508A5">
      <w:pPr>
        <w:spacing w:line="480" w:lineRule="auto"/>
        <w:jc w:val="both"/>
        <w:rPr>
          <w:rStyle w:val="pagecontents"/>
          <w:rFonts w:ascii="Arial" w:hAnsi="Arial" w:cs="Arial"/>
          <w:b/>
          <w:sz w:val="24"/>
          <w:szCs w:val="24"/>
          <w:lang w:val="en-GB"/>
        </w:rPr>
      </w:pPr>
      <w:r w:rsidRPr="000A70EA">
        <w:rPr>
          <w:rStyle w:val="pagecontents"/>
          <w:rFonts w:ascii="Arial" w:hAnsi="Arial" w:cs="Arial"/>
          <w:b/>
          <w:sz w:val="24"/>
          <w:szCs w:val="24"/>
          <w:lang w:val="en-GB"/>
        </w:rPr>
        <w:t>Data availability</w:t>
      </w:r>
      <w:r w:rsidR="00B46A06" w:rsidRPr="000A70EA">
        <w:rPr>
          <w:rStyle w:val="pagecontents"/>
          <w:rFonts w:ascii="Arial" w:hAnsi="Arial" w:cs="Arial"/>
          <w:b/>
          <w:sz w:val="24"/>
          <w:szCs w:val="24"/>
          <w:lang w:val="en-GB"/>
        </w:rPr>
        <w:t xml:space="preserve"> statement</w:t>
      </w:r>
      <w:bookmarkStart w:id="0" w:name="_GoBack"/>
      <w:bookmarkEnd w:id="0"/>
    </w:p>
    <w:p w14:paraId="43E73265" w14:textId="27ED24E4" w:rsidR="00C508A5" w:rsidRPr="00364D88" w:rsidRDefault="00B46A06" w:rsidP="00C508A5">
      <w:pPr>
        <w:spacing w:line="480" w:lineRule="auto"/>
        <w:jc w:val="both"/>
        <w:rPr>
          <w:rFonts w:ascii="Arial" w:hAnsi="Arial" w:cs="Arial"/>
          <w:lang w:val="en-GB"/>
        </w:rPr>
      </w:pPr>
      <w:r w:rsidRPr="000A70EA">
        <w:rPr>
          <w:rFonts w:ascii="Arial" w:hAnsi="Arial"/>
        </w:rPr>
        <w:t xml:space="preserve">The data that support the findings of this study are openly available in </w:t>
      </w:r>
      <w:r w:rsidR="000A70EA" w:rsidRPr="000A70EA">
        <w:rPr>
          <w:rFonts w:ascii="Arial" w:hAnsi="Arial"/>
        </w:rPr>
        <w:t>Figshare</w:t>
      </w:r>
      <w:r w:rsidRPr="000A70EA">
        <w:rPr>
          <w:rFonts w:ascii="Arial" w:hAnsi="Arial"/>
        </w:rPr>
        <w:t xml:space="preserve"> at</w:t>
      </w:r>
      <w:r w:rsidR="000A70EA" w:rsidRPr="000A70EA">
        <w:rPr>
          <w:rFonts w:ascii="Arial" w:hAnsi="Arial"/>
        </w:rPr>
        <w:t>:</w:t>
      </w:r>
      <w:r w:rsidRPr="000A70EA">
        <w:rPr>
          <w:rFonts w:ascii="Arial" w:hAnsi="Arial"/>
        </w:rPr>
        <w:t xml:space="preserve"> </w:t>
      </w:r>
      <w:r w:rsidR="000A70EA" w:rsidRPr="000A70EA">
        <w:rPr>
          <w:rFonts w:ascii="Arial" w:hAnsi="Arial"/>
        </w:rPr>
        <w:t>https://doi.org/10.6084/m9.figshare.13047956.v1</w:t>
      </w:r>
      <w:r w:rsidR="00C508A5" w:rsidRPr="000A70EA">
        <w:rPr>
          <w:rFonts w:ascii="Arial" w:hAnsi="Arial"/>
          <w:lang w:val="en-GB"/>
        </w:rPr>
        <w:t>.</w:t>
      </w:r>
    </w:p>
    <w:p w14:paraId="17852748" w14:textId="77777777" w:rsidR="00C508A5" w:rsidRPr="00364D88" w:rsidRDefault="00C508A5" w:rsidP="00C508A5">
      <w:pPr>
        <w:spacing w:line="360" w:lineRule="auto"/>
        <w:jc w:val="both"/>
        <w:rPr>
          <w:rFonts w:ascii="Arial" w:hAnsi="Arial" w:cs="Arial"/>
          <w:lang w:val="en-GB"/>
        </w:rPr>
        <w:sectPr w:rsidR="00C508A5" w:rsidRPr="00364D88" w:rsidSect="00254A3E">
          <w:pgSz w:w="11906" w:h="16838"/>
          <w:pgMar w:top="1417" w:right="1701" w:bottom="1417" w:left="1701" w:header="708" w:footer="708" w:gutter="0"/>
          <w:lnNumType w:countBy="1" w:restart="continuous"/>
          <w:cols w:space="708"/>
          <w:docGrid w:linePitch="360"/>
        </w:sectPr>
      </w:pPr>
    </w:p>
    <w:p w14:paraId="5B10AD88" w14:textId="5F1053EE" w:rsidR="00C83DCE" w:rsidRPr="00B46A06" w:rsidRDefault="00C83DCE" w:rsidP="00C83DCE">
      <w:pPr>
        <w:spacing w:line="360" w:lineRule="auto"/>
        <w:outlineLvl w:val="0"/>
        <w:rPr>
          <w:rFonts w:ascii="Arial" w:hAnsi="Arial"/>
          <w:b/>
          <w:sz w:val="24"/>
          <w:lang w:val="en-US"/>
        </w:rPr>
      </w:pPr>
      <w:r w:rsidRPr="00B46A06">
        <w:rPr>
          <w:rFonts w:ascii="Arial" w:hAnsi="Arial"/>
          <w:b/>
          <w:sz w:val="24"/>
          <w:lang w:val="en-US"/>
        </w:rPr>
        <w:lastRenderedPageBreak/>
        <w:t>References</w:t>
      </w:r>
    </w:p>
    <w:p w14:paraId="57ECD39A" w14:textId="7B8C3442" w:rsidR="001F6B70" w:rsidRPr="00364D88" w:rsidRDefault="00994777"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b/>
          <w:lang w:val="en-GB"/>
        </w:rPr>
        <w:fldChar w:fldCharType="begin" w:fldLock="1"/>
      </w:r>
      <w:r w:rsidRPr="00364D88">
        <w:rPr>
          <w:rFonts w:ascii="Arial" w:hAnsi="Arial"/>
          <w:b/>
          <w:lang w:val="en-US"/>
        </w:rPr>
        <w:instrText xml:space="preserve">ADDIN Mendeley Bibliography CSL_BIBLIOGRAPHY </w:instrText>
      </w:r>
      <w:r w:rsidRPr="00364D88">
        <w:rPr>
          <w:rFonts w:ascii="Arial" w:hAnsi="Arial"/>
          <w:b/>
          <w:lang w:val="en-GB"/>
        </w:rPr>
        <w:fldChar w:fldCharType="separate"/>
      </w:r>
      <w:r w:rsidR="001F6B70" w:rsidRPr="00364D88">
        <w:rPr>
          <w:rFonts w:ascii="Arial" w:hAnsi="Arial" w:cs="Arial"/>
          <w:noProof/>
          <w:szCs w:val="24"/>
        </w:rPr>
        <w:t xml:space="preserve">Ammer C (2019) Diversity and forest productivity in a changing climate. </w:t>
      </w:r>
      <w:r w:rsidR="001F6B70" w:rsidRPr="00364D88">
        <w:rPr>
          <w:rFonts w:ascii="Arial" w:hAnsi="Arial" w:cs="Arial"/>
          <w:i/>
          <w:iCs/>
          <w:noProof/>
          <w:szCs w:val="24"/>
        </w:rPr>
        <w:t>New Phytologist</w:t>
      </w:r>
      <w:r w:rsidR="001F6B70" w:rsidRPr="00364D88">
        <w:rPr>
          <w:rFonts w:ascii="Arial" w:hAnsi="Arial" w:cs="Arial"/>
          <w:noProof/>
          <w:szCs w:val="24"/>
        </w:rPr>
        <w:t xml:space="preserve">, </w:t>
      </w:r>
      <w:r w:rsidR="001F6B70" w:rsidRPr="00364D88">
        <w:rPr>
          <w:rFonts w:ascii="Arial" w:hAnsi="Arial" w:cs="Arial"/>
          <w:b/>
          <w:bCs/>
          <w:noProof/>
          <w:szCs w:val="24"/>
        </w:rPr>
        <w:t>221</w:t>
      </w:r>
      <w:r w:rsidR="001F6B70" w:rsidRPr="00364D88">
        <w:rPr>
          <w:rFonts w:ascii="Arial" w:hAnsi="Arial" w:cs="Arial"/>
          <w:noProof/>
          <w:szCs w:val="24"/>
        </w:rPr>
        <w:t>, 50–66.</w:t>
      </w:r>
    </w:p>
    <w:p w14:paraId="337EA532" w14:textId="70EDED2C"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Andrews M, Sprent JI, Raven JA, Eady PE (1999) Relationships between shoot to root ratio, growth and leaf soluble protein concentration of Pisum sativum, Phaseolus vulgaris and Triticum aestivum under different nutrient deficiencies. </w:t>
      </w:r>
      <w:r w:rsidRPr="00364D88">
        <w:rPr>
          <w:rFonts w:ascii="Arial" w:hAnsi="Arial" w:cs="Arial"/>
          <w:i/>
          <w:iCs/>
          <w:noProof/>
          <w:szCs w:val="24"/>
        </w:rPr>
        <w:t>Plant, Cell and Environment</w:t>
      </w:r>
      <w:r w:rsidRPr="00364D88">
        <w:rPr>
          <w:rFonts w:ascii="Arial" w:hAnsi="Arial" w:cs="Arial"/>
          <w:noProof/>
          <w:szCs w:val="24"/>
        </w:rPr>
        <w:t xml:space="preserve">, </w:t>
      </w:r>
      <w:r w:rsidRPr="00364D88">
        <w:rPr>
          <w:rFonts w:ascii="Arial" w:hAnsi="Arial" w:cs="Arial"/>
          <w:b/>
          <w:bCs/>
          <w:noProof/>
          <w:szCs w:val="24"/>
        </w:rPr>
        <w:t>22</w:t>
      </w:r>
      <w:r w:rsidRPr="00364D88">
        <w:rPr>
          <w:rFonts w:ascii="Arial" w:hAnsi="Arial" w:cs="Arial"/>
          <w:noProof/>
          <w:szCs w:val="24"/>
        </w:rPr>
        <w:t>, 949–958.</w:t>
      </w:r>
    </w:p>
    <w:p w14:paraId="1C94385F"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Barton K (2018) MuMIn: Multi-Model Inference. -R package version 1.40.4.</w:t>
      </w:r>
    </w:p>
    <w:p w14:paraId="7D4359BE"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Bonan GB, Levis S, Kergoat L, Oleson KW (2002) Landscapes as patches of plant functional types: An integrating concept for climate and ecosystem models. </w:t>
      </w:r>
      <w:r w:rsidRPr="00364D88">
        <w:rPr>
          <w:rFonts w:ascii="Arial" w:hAnsi="Arial" w:cs="Arial"/>
          <w:i/>
          <w:iCs/>
          <w:noProof/>
          <w:szCs w:val="24"/>
        </w:rPr>
        <w:t>Global Biogeochemical Cycles</w:t>
      </w:r>
      <w:r w:rsidRPr="00364D88">
        <w:rPr>
          <w:rFonts w:ascii="Arial" w:hAnsi="Arial" w:cs="Arial"/>
          <w:noProof/>
          <w:szCs w:val="24"/>
        </w:rPr>
        <w:t xml:space="preserve">, </w:t>
      </w:r>
      <w:r w:rsidRPr="00364D88">
        <w:rPr>
          <w:rFonts w:ascii="Arial" w:hAnsi="Arial" w:cs="Arial"/>
          <w:b/>
          <w:bCs/>
          <w:noProof/>
          <w:szCs w:val="24"/>
        </w:rPr>
        <w:t>16</w:t>
      </w:r>
      <w:r w:rsidRPr="00364D88">
        <w:rPr>
          <w:rFonts w:ascii="Arial" w:hAnsi="Arial" w:cs="Arial"/>
          <w:noProof/>
          <w:szCs w:val="24"/>
        </w:rPr>
        <w:t>, 5-1-5–23.</w:t>
      </w:r>
    </w:p>
    <w:p w14:paraId="1BD6C7EF"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Bond-Lamberty B, Bailey VL, Chen M, Gough CM, Vargas R (2018) Globally rising soil heterotrophic respiration over recent decades. </w:t>
      </w:r>
      <w:r w:rsidRPr="00364D88">
        <w:rPr>
          <w:rFonts w:ascii="Arial" w:hAnsi="Arial" w:cs="Arial"/>
          <w:i/>
          <w:iCs/>
          <w:noProof/>
          <w:szCs w:val="24"/>
        </w:rPr>
        <w:t>Nature</w:t>
      </w:r>
      <w:r w:rsidRPr="00364D88">
        <w:rPr>
          <w:rFonts w:ascii="Arial" w:hAnsi="Arial" w:cs="Arial"/>
          <w:noProof/>
          <w:szCs w:val="24"/>
        </w:rPr>
        <w:t xml:space="preserve">, </w:t>
      </w:r>
      <w:r w:rsidRPr="00364D88">
        <w:rPr>
          <w:rFonts w:ascii="Arial" w:hAnsi="Arial" w:cs="Arial"/>
          <w:b/>
          <w:bCs/>
          <w:noProof/>
          <w:szCs w:val="24"/>
        </w:rPr>
        <w:t>560</w:t>
      </w:r>
      <w:r w:rsidRPr="00364D88">
        <w:rPr>
          <w:rFonts w:ascii="Arial" w:hAnsi="Arial" w:cs="Arial"/>
          <w:noProof/>
          <w:szCs w:val="24"/>
        </w:rPr>
        <w:t>, 80–83.</w:t>
      </w:r>
    </w:p>
    <w:p w14:paraId="19C0E3AF"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Breheny P, Burchett W (2015) Visualization of Regression Models Using visreg, R package version 2.2-0.</w:t>
      </w:r>
    </w:p>
    <w:p w14:paraId="17EB6B78"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Burnham KP (2004) Multimodel Inference: Understanding AIC and BIC in Model Selection. </w:t>
      </w:r>
      <w:r w:rsidRPr="00364D88">
        <w:rPr>
          <w:rFonts w:ascii="Arial" w:hAnsi="Arial" w:cs="Arial"/>
          <w:i/>
          <w:iCs/>
          <w:noProof/>
          <w:szCs w:val="24"/>
        </w:rPr>
        <w:t>Sociological Methods &amp; Research</w:t>
      </w:r>
      <w:r w:rsidRPr="00364D88">
        <w:rPr>
          <w:rFonts w:ascii="Arial" w:hAnsi="Arial" w:cs="Arial"/>
          <w:noProof/>
          <w:szCs w:val="24"/>
        </w:rPr>
        <w:t xml:space="preserve">, </w:t>
      </w:r>
      <w:r w:rsidRPr="00364D88">
        <w:rPr>
          <w:rFonts w:ascii="Arial" w:hAnsi="Arial" w:cs="Arial"/>
          <w:b/>
          <w:bCs/>
          <w:noProof/>
          <w:szCs w:val="24"/>
        </w:rPr>
        <w:t>33</w:t>
      </w:r>
      <w:r w:rsidRPr="00364D88">
        <w:rPr>
          <w:rFonts w:ascii="Arial" w:hAnsi="Arial" w:cs="Arial"/>
          <w:noProof/>
          <w:szCs w:val="24"/>
        </w:rPr>
        <w:t>, 261–304.</w:t>
      </w:r>
    </w:p>
    <w:p w14:paraId="3D86AB97"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Burnham KP, Anderson DR (2004) </w:t>
      </w:r>
      <w:r w:rsidRPr="00364D88">
        <w:rPr>
          <w:rFonts w:ascii="Arial" w:hAnsi="Arial" w:cs="Arial"/>
          <w:i/>
          <w:iCs/>
          <w:noProof/>
          <w:szCs w:val="24"/>
        </w:rPr>
        <w:t>Model Selection and Multimodel Inference: A Practical Information-Theoretic Approach</w:t>
      </w:r>
      <w:r w:rsidRPr="00364D88">
        <w:rPr>
          <w:rFonts w:ascii="Arial" w:hAnsi="Arial" w:cs="Arial"/>
          <w:noProof/>
          <w:szCs w:val="24"/>
        </w:rPr>
        <w:t>. Springer, New York.</w:t>
      </w:r>
    </w:p>
    <w:p w14:paraId="7271A741"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Campioli M, Vicca S, Luyssaert S et al. (2015) Biomass production efficiency controlled by management in temperate and boreal ecosystems. </w:t>
      </w:r>
      <w:r w:rsidRPr="00364D88">
        <w:rPr>
          <w:rFonts w:ascii="Arial" w:hAnsi="Arial" w:cs="Arial"/>
          <w:i/>
          <w:iCs/>
          <w:noProof/>
          <w:szCs w:val="24"/>
        </w:rPr>
        <w:t>Nature Geoscience</w:t>
      </w:r>
      <w:r w:rsidRPr="00364D88">
        <w:rPr>
          <w:rFonts w:ascii="Arial" w:hAnsi="Arial" w:cs="Arial"/>
          <w:noProof/>
          <w:szCs w:val="24"/>
        </w:rPr>
        <w:t xml:space="preserve">, </w:t>
      </w:r>
      <w:r w:rsidRPr="00364D88">
        <w:rPr>
          <w:rFonts w:ascii="Arial" w:hAnsi="Arial" w:cs="Arial"/>
          <w:b/>
          <w:bCs/>
          <w:noProof/>
          <w:szCs w:val="24"/>
        </w:rPr>
        <w:t>8</w:t>
      </w:r>
      <w:r w:rsidRPr="00364D88">
        <w:rPr>
          <w:rFonts w:ascii="Arial" w:hAnsi="Arial" w:cs="Arial"/>
          <w:noProof/>
          <w:szCs w:val="24"/>
        </w:rPr>
        <w:t>, 843–846.</w:t>
      </w:r>
    </w:p>
    <w:p w14:paraId="0D2A5BEE"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Cardinale BJ, Ives AR, Inchausti P (2004) Effects of species diversity on the primary productivity of ecosystems: Extending our spatial and temporal scales of inference. </w:t>
      </w:r>
      <w:r w:rsidRPr="00364D88">
        <w:rPr>
          <w:rFonts w:ascii="Arial" w:hAnsi="Arial" w:cs="Arial"/>
          <w:i/>
          <w:iCs/>
          <w:noProof/>
          <w:szCs w:val="24"/>
        </w:rPr>
        <w:t>Oikos</w:t>
      </w:r>
      <w:r w:rsidRPr="00364D88">
        <w:rPr>
          <w:rFonts w:ascii="Arial" w:hAnsi="Arial" w:cs="Arial"/>
          <w:noProof/>
          <w:szCs w:val="24"/>
        </w:rPr>
        <w:t xml:space="preserve">, </w:t>
      </w:r>
      <w:r w:rsidRPr="00364D88">
        <w:rPr>
          <w:rFonts w:ascii="Arial" w:hAnsi="Arial" w:cs="Arial"/>
          <w:b/>
          <w:bCs/>
          <w:noProof/>
          <w:szCs w:val="24"/>
        </w:rPr>
        <w:t>104</w:t>
      </w:r>
      <w:r w:rsidRPr="00364D88">
        <w:rPr>
          <w:rFonts w:ascii="Arial" w:hAnsi="Arial" w:cs="Arial"/>
          <w:noProof/>
          <w:szCs w:val="24"/>
        </w:rPr>
        <w:t>, 437–450.</w:t>
      </w:r>
    </w:p>
    <w:p w14:paraId="2D1581EB"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Cardinale BJ, Duffy JE, Gonzalez A et al. (2012) Biodiversity loss and its impact on humanity. </w:t>
      </w:r>
      <w:r w:rsidRPr="00364D88">
        <w:rPr>
          <w:rFonts w:ascii="Arial" w:hAnsi="Arial" w:cs="Arial"/>
          <w:i/>
          <w:iCs/>
          <w:noProof/>
          <w:szCs w:val="24"/>
        </w:rPr>
        <w:t>Nature</w:t>
      </w:r>
      <w:r w:rsidRPr="00364D88">
        <w:rPr>
          <w:rFonts w:ascii="Arial" w:hAnsi="Arial" w:cs="Arial"/>
          <w:noProof/>
          <w:szCs w:val="24"/>
        </w:rPr>
        <w:t xml:space="preserve">, </w:t>
      </w:r>
      <w:r w:rsidRPr="00364D88">
        <w:rPr>
          <w:rFonts w:ascii="Arial" w:hAnsi="Arial" w:cs="Arial"/>
          <w:b/>
          <w:bCs/>
          <w:noProof/>
          <w:szCs w:val="24"/>
        </w:rPr>
        <w:t>489</w:t>
      </w:r>
      <w:r w:rsidRPr="00364D88">
        <w:rPr>
          <w:rFonts w:ascii="Arial" w:hAnsi="Arial" w:cs="Arial"/>
          <w:noProof/>
          <w:szCs w:val="24"/>
        </w:rPr>
        <w:t>, 326–326.</w:t>
      </w:r>
    </w:p>
    <w:p w14:paraId="2D25E0A6"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Carey E V., Sala A, Keane R, Callaway RM (2001) Are old forests underestimated as global carbon sinks? </w:t>
      </w:r>
      <w:r w:rsidRPr="00364D88">
        <w:rPr>
          <w:rFonts w:ascii="Arial" w:hAnsi="Arial" w:cs="Arial"/>
          <w:i/>
          <w:iCs/>
          <w:noProof/>
          <w:szCs w:val="24"/>
        </w:rPr>
        <w:t>Global Change Biology</w:t>
      </w:r>
      <w:r w:rsidRPr="00364D88">
        <w:rPr>
          <w:rFonts w:ascii="Arial" w:hAnsi="Arial" w:cs="Arial"/>
          <w:noProof/>
          <w:szCs w:val="24"/>
        </w:rPr>
        <w:t xml:space="preserve">, </w:t>
      </w:r>
      <w:r w:rsidRPr="00364D88">
        <w:rPr>
          <w:rFonts w:ascii="Arial" w:hAnsi="Arial" w:cs="Arial"/>
          <w:b/>
          <w:bCs/>
          <w:noProof/>
          <w:szCs w:val="24"/>
        </w:rPr>
        <w:t>7</w:t>
      </w:r>
      <w:r w:rsidRPr="00364D88">
        <w:rPr>
          <w:rFonts w:ascii="Arial" w:hAnsi="Arial" w:cs="Arial"/>
          <w:noProof/>
          <w:szCs w:val="24"/>
        </w:rPr>
        <w:t>, 339–344.</w:t>
      </w:r>
    </w:p>
    <w:p w14:paraId="212816B3"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Cayuela L, Oksanen J (2016) Taxonstand: Taxonomic Standardization of Plant </w:t>
      </w:r>
      <w:r w:rsidRPr="00364D88">
        <w:rPr>
          <w:rFonts w:ascii="Arial" w:hAnsi="Arial" w:cs="Arial"/>
          <w:noProof/>
          <w:szCs w:val="24"/>
        </w:rPr>
        <w:lastRenderedPageBreak/>
        <w:t>Species Names.</w:t>
      </w:r>
    </w:p>
    <w:p w14:paraId="19FB9511"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Ciais P, Sabine C, Bala G et al. (2013) The physical science basis. Contribution of working group I to the fifth assessment report of the intergovernmental panel on climate change. </w:t>
      </w:r>
      <w:r w:rsidRPr="00364D88">
        <w:rPr>
          <w:rFonts w:ascii="Arial" w:hAnsi="Arial" w:cs="Arial"/>
          <w:i/>
          <w:iCs/>
          <w:noProof/>
          <w:szCs w:val="24"/>
        </w:rPr>
        <w:t>Change, IPCC Climate</w:t>
      </w:r>
      <w:r w:rsidRPr="00364D88">
        <w:rPr>
          <w:rFonts w:ascii="Arial" w:hAnsi="Arial" w:cs="Arial"/>
          <w:noProof/>
          <w:szCs w:val="24"/>
        </w:rPr>
        <w:t>, 465–570.</w:t>
      </w:r>
    </w:p>
    <w:p w14:paraId="63925DF4"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Daly AJ, Baetens JM, De Baets B (2018) Ecological diversity: Measuring the unmeasurable. </w:t>
      </w:r>
      <w:r w:rsidRPr="00364D88">
        <w:rPr>
          <w:rFonts w:ascii="Arial" w:hAnsi="Arial" w:cs="Arial"/>
          <w:i/>
          <w:iCs/>
          <w:noProof/>
          <w:szCs w:val="24"/>
        </w:rPr>
        <w:t>Mathematics</w:t>
      </w:r>
      <w:r w:rsidRPr="00364D88">
        <w:rPr>
          <w:rFonts w:ascii="Arial" w:hAnsi="Arial" w:cs="Arial"/>
          <w:noProof/>
          <w:szCs w:val="24"/>
        </w:rPr>
        <w:t xml:space="preserve">, </w:t>
      </w:r>
      <w:r w:rsidRPr="00364D88">
        <w:rPr>
          <w:rFonts w:ascii="Arial" w:hAnsi="Arial" w:cs="Arial"/>
          <w:b/>
          <w:bCs/>
          <w:noProof/>
          <w:szCs w:val="24"/>
        </w:rPr>
        <w:t>6</w:t>
      </w:r>
      <w:r w:rsidRPr="00364D88">
        <w:rPr>
          <w:rFonts w:ascii="Arial" w:hAnsi="Arial" w:cs="Arial"/>
          <w:noProof/>
          <w:szCs w:val="24"/>
        </w:rPr>
        <w:t>.</w:t>
      </w:r>
    </w:p>
    <w:p w14:paraId="012B3D00"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van Dijk AIJM, Dolman AJ, Schulze ED (2005) Radiation, temperature, and leaf area explain ecosystem carbon fluxes in boreal and temperate European forests. </w:t>
      </w:r>
      <w:r w:rsidRPr="00364D88">
        <w:rPr>
          <w:rFonts w:ascii="Arial" w:hAnsi="Arial" w:cs="Arial"/>
          <w:i/>
          <w:iCs/>
          <w:noProof/>
          <w:szCs w:val="24"/>
        </w:rPr>
        <w:t>Global Biogeochemical Cycles</w:t>
      </w:r>
      <w:r w:rsidRPr="00364D88">
        <w:rPr>
          <w:rFonts w:ascii="Arial" w:hAnsi="Arial" w:cs="Arial"/>
          <w:noProof/>
          <w:szCs w:val="24"/>
        </w:rPr>
        <w:t xml:space="preserve">, </w:t>
      </w:r>
      <w:r w:rsidRPr="00364D88">
        <w:rPr>
          <w:rFonts w:ascii="Arial" w:hAnsi="Arial" w:cs="Arial"/>
          <w:b/>
          <w:bCs/>
          <w:noProof/>
          <w:szCs w:val="24"/>
        </w:rPr>
        <w:t>19</w:t>
      </w:r>
      <w:r w:rsidRPr="00364D88">
        <w:rPr>
          <w:rFonts w:ascii="Arial" w:hAnsi="Arial" w:cs="Arial"/>
          <w:noProof/>
          <w:szCs w:val="24"/>
        </w:rPr>
        <w:t>, 1–15.</w:t>
      </w:r>
    </w:p>
    <w:p w14:paraId="72CFD6EE"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Domingues TF, Meir P, Feldpausch TR et al. (2010) Co-limitation of photosynthetic capacity by nitrogen and phosphorus in West Africa woodlands. </w:t>
      </w:r>
      <w:r w:rsidRPr="00364D88">
        <w:rPr>
          <w:rFonts w:ascii="Arial" w:hAnsi="Arial" w:cs="Arial"/>
          <w:i/>
          <w:iCs/>
          <w:noProof/>
          <w:szCs w:val="24"/>
        </w:rPr>
        <w:t>Plant, Cell and Environment</w:t>
      </w:r>
      <w:r w:rsidRPr="00364D88">
        <w:rPr>
          <w:rFonts w:ascii="Arial" w:hAnsi="Arial" w:cs="Arial"/>
          <w:noProof/>
          <w:szCs w:val="24"/>
        </w:rPr>
        <w:t xml:space="preserve">, </w:t>
      </w:r>
      <w:r w:rsidRPr="00364D88">
        <w:rPr>
          <w:rFonts w:ascii="Arial" w:hAnsi="Arial" w:cs="Arial"/>
          <w:b/>
          <w:bCs/>
          <w:noProof/>
          <w:szCs w:val="24"/>
        </w:rPr>
        <w:t>33</w:t>
      </w:r>
      <w:r w:rsidRPr="00364D88">
        <w:rPr>
          <w:rFonts w:ascii="Arial" w:hAnsi="Arial" w:cs="Arial"/>
          <w:noProof/>
          <w:szCs w:val="24"/>
        </w:rPr>
        <w:t>, 959–980.</w:t>
      </w:r>
    </w:p>
    <w:p w14:paraId="2A754F91"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Enríquez S, Duarte CM, Sand-Jensen K (1993) Patterns in decomposition rates among photosynthetic organisms: the importance of detritus C:N:P content. </w:t>
      </w:r>
      <w:r w:rsidRPr="00364D88">
        <w:rPr>
          <w:rFonts w:ascii="Arial" w:hAnsi="Arial" w:cs="Arial"/>
          <w:i/>
          <w:iCs/>
          <w:noProof/>
          <w:szCs w:val="24"/>
        </w:rPr>
        <w:t>Oecologia</w:t>
      </w:r>
      <w:r w:rsidRPr="00364D88">
        <w:rPr>
          <w:rFonts w:ascii="Arial" w:hAnsi="Arial" w:cs="Arial"/>
          <w:noProof/>
          <w:szCs w:val="24"/>
        </w:rPr>
        <w:t xml:space="preserve">, </w:t>
      </w:r>
      <w:r w:rsidRPr="00364D88">
        <w:rPr>
          <w:rFonts w:ascii="Arial" w:hAnsi="Arial" w:cs="Arial"/>
          <w:b/>
          <w:bCs/>
          <w:noProof/>
          <w:szCs w:val="24"/>
        </w:rPr>
        <w:t>94</w:t>
      </w:r>
      <w:r w:rsidRPr="00364D88">
        <w:rPr>
          <w:rFonts w:ascii="Arial" w:hAnsi="Arial" w:cs="Arial"/>
          <w:noProof/>
          <w:szCs w:val="24"/>
        </w:rPr>
        <w:t>, 457–471.</w:t>
      </w:r>
    </w:p>
    <w:p w14:paraId="717A2A4A"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Faith DP (1992) Conservation evaluation and phylogenetic diversity. </w:t>
      </w:r>
      <w:r w:rsidRPr="00364D88">
        <w:rPr>
          <w:rFonts w:ascii="Arial" w:hAnsi="Arial" w:cs="Arial"/>
          <w:i/>
          <w:iCs/>
          <w:noProof/>
          <w:szCs w:val="24"/>
        </w:rPr>
        <w:t>Biological Conservation</w:t>
      </w:r>
      <w:r w:rsidRPr="00364D88">
        <w:rPr>
          <w:rFonts w:ascii="Arial" w:hAnsi="Arial" w:cs="Arial"/>
          <w:noProof/>
          <w:szCs w:val="24"/>
        </w:rPr>
        <w:t xml:space="preserve">, </w:t>
      </w:r>
      <w:r w:rsidRPr="00364D88">
        <w:rPr>
          <w:rFonts w:ascii="Arial" w:hAnsi="Arial" w:cs="Arial"/>
          <w:b/>
          <w:bCs/>
          <w:noProof/>
          <w:szCs w:val="24"/>
        </w:rPr>
        <w:t>61</w:t>
      </w:r>
      <w:r w:rsidRPr="00364D88">
        <w:rPr>
          <w:rFonts w:ascii="Arial" w:hAnsi="Arial" w:cs="Arial"/>
          <w:noProof/>
          <w:szCs w:val="24"/>
        </w:rPr>
        <w:t>, 1–10.</w:t>
      </w:r>
    </w:p>
    <w:p w14:paraId="76B5570F"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Fernández-Martínez M, Vicca S, Janssens IA et al. (2014a) Nutrient availability as the key regulator of global forest carbon balance. </w:t>
      </w:r>
      <w:r w:rsidRPr="00364D88">
        <w:rPr>
          <w:rFonts w:ascii="Arial" w:hAnsi="Arial" w:cs="Arial"/>
          <w:i/>
          <w:iCs/>
          <w:noProof/>
          <w:szCs w:val="24"/>
        </w:rPr>
        <w:t>Nature Climate Change</w:t>
      </w:r>
      <w:r w:rsidRPr="00364D88">
        <w:rPr>
          <w:rFonts w:ascii="Arial" w:hAnsi="Arial" w:cs="Arial"/>
          <w:noProof/>
          <w:szCs w:val="24"/>
        </w:rPr>
        <w:t xml:space="preserve">, </w:t>
      </w:r>
      <w:r w:rsidRPr="00364D88">
        <w:rPr>
          <w:rFonts w:ascii="Arial" w:hAnsi="Arial" w:cs="Arial"/>
          <w:b/>
          <w:bCs/>
          <w:noProof/>
          <w:szCs w:val="24"/>
        </w:rPr>
        <w:t>4</w:t>
      </w:r>
      <w:r w:rsidRPr="00364D88">
        <w:rPr>
          <w:rFonts w:ascii="Arial" w:hAnsi="Arial" w:cs="Arial"/>
          <w:noProof/>
          <w:szCs w:val="24"/>
        </w:rPr>
        <w:t>, 471–476.</w:t>
      </w:r>
    </w:p>
    <w:p w14:paraId="25D9D628"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Fernández-Martínez M, Vicca S, Janssens IA et al. (2014b) Spatial variability and controls over biomass stocks, carbon fluxes and resource-use efficiencies in forest ecosystems. </w:t>
      </w:r>
      <w:r w:rsidRPr="00364D88">
        <w:rPr>
          <w:rFonts w:ascii="Arial" w:hAnsi="Arial" w:cs="Arial"/>
          <w:i/>
          <w:iCs/>
          <w:noProof/>
          <w:szCs w:val="24"/>
        </w:rPr>
        <w:t>Trees, structure and function</w:t>
      </w:r>
      <w:r w:rsidRPr="00364D88">
        <w:rPr>
          <w:rFonts w:ascii="Arial" w:hAnsi="Arial" w:cs="Arial"/>
          <w:noProof/>
          <w:szCs w:val="24"/>
        </w:rPr>
        <w:t xml:space="preserve">, </w:t>
      </w:r>
      <w:r w:rsidRPr="00364D88">
        <w:rPr>
          <w:rFonts w:ascii="Arial" w:hAnsi="Arial" w:cs="Arial"/>
          <w:b/>
          <w:bCs/>
          <w:noProof/>
          <w:szCs w:val="24"/>
        </w:rPr>
        <w:t>28</w:t>
      </w:r>
      <w:r w:rsidRPr="00364D88">
        <w:rPr>
          <w:rFonts w:ascii="Arial" w:hAnsi="Arial" w:cs="Arial"/>
          <w:noProof/>
          <w:szCs w:val="24"/>
        </w:rPr>
        <w:t>, 597–611.</w:t>
      </w:r>
    </w:p>
    <w:p w14:paraId="30F9922D"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Fernández-Martínez M, Vicca S, Janssens IA, Campioli M, Peñuelas J (2016) Nutrient availability and climate as the main determinants of the ratio of biomass to NPP in woody and non-woody forest compartments. </w:t>
      </w:r>
      <w:r w:rsidRPr="00364D88">
        <w:rPr>
          <w:rFonts w:ascii="Arial" w:hAnsi="Arial" w:cs="Arial"/>
          <w:i/>
          <w:iCs/>
          <w:noProof/>
          <w:szCs w:val="24"/>
        </w:rPr>
        <w:t>Trees, structure and function</w:t>
      </w:r>
      <w:r w:rsidRPr="00364D88">
        <w:rPr>
          <w:rFonts w:ascii="Arial" w:hAnsi="Arial" w:cs="Arial"/>
          <w:noProof/>
          <w:szCs w:val="24"/>
        </w:rPr>
        <w:t xml:space="preserve">, </w:t>
      </w:r>
      <w:r w:rsidRPr="00364D88">
        <w:rPr>
          <w:rFonts w:ascii="Arial" w:hAnsi="Arial" w:cs="Arial"/>
          <w:b/>
          <w:bCs/>
          <w:noProof/>
          <w:szCs w:val="24"/>
        </w:rPr>
        <w:t>30</w:t>
      </w:r>
      <w:r w:rsidRPr="00364D88">
        <w:rPr>
          <w:rFonts w:ascii="Arial" w:hAnsi="Arial" w:cs="Arial"/>
          <w:noProof/>
          <w:szCs w:val="24"/>
        </w:rPr>
        <w:t>, 775–783.</w:t>
      </w:r>
    </w:p>
    <w:p w14:paraId="7169936C"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Fernández-Martínez M, Vicca S, Janssens IA et al. (2017) Atmospheric deposition, CO2, and change in the land carbon sink. </w:t>
      </w:r>
      <w:r w:rsidRPr="00364D88">
        <w:rPr>
          <w:rFonts w:ascii="Arial" w:hAnsi="Arial" w:cs="Arial"/>
          <w:i/>
          <w:iCs/>
          <w:noProof/>
          <w:szCs w:val="24"/>
        </w:rPr>
        <w:t>Scientific Reports</w:t>
      </w:r>
      <w:r w:rsidRPr="00364D88">
        <w:rPr>
          <w:rFonts w:ascii="Arial" w:hAnsi="Arial" w:cs="Arial"/>
          <w:noProof/>
          <w:szCs w:val="24"/>
        </w:rPr>
        <w:t xml:space="preserve">, </w:t>
      </w:r>
      <w:r w:rsidRPr="00364D88">
        <w:rPr>
          <w:rFonts w:ascii="Arial" w:hAnsi="Arial" w:cs="Arial"/>
          <w:b/>
          <w:bCs/>
          <w:noProof/>
          <w:szCs w:val="24"/>
        </w:rPr>
        <w:t>7:9632</w:t>
      </w:r>
      <w:r w:rsidRPr="00364D88">
        <w:rPr>
          <w:rFonts w:ascii="Arial" w:hAnsi="Arial" w:cs="Arial"/>
          <w:noProof/>
          <w:szCs w:val="24"/>
        </w:rPr>
        <w:t>, 1–13.</w:t>
      </w:r>
    </w:p>
    <w:p w14:paraId="7A499695"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Fernández-Martínez M, Llusià J, Filella I et al. (2018a) Nutrient-rich plants emit a less intense blend of volatile isoprenoids. </w:t>
      </w:r>
      <w:r w:rsidRPr="00364D88">
        <w:rPr>
          <w:rFonts w:ascii="Arial" w:hAnsi="Arial" w:cs="Arial"/>
          <w:i/>
          <w:iCs/>
          <w:noProof/>
          <w:szCs w:val="24"/>
        </w:rPr>
        <w:t>New Phytologist</w:t>
      </w:r>
      <w:r w:rsidRPr="00364D88">
        <w:rPr>
          <w:rFonts w:ascii="Arial" w:hAnsi="Arial" w:cs="Arial"/>
          <w:noProof/>
          <w:szCs w:val="24"/>
        </w:rPr>
        <w:t xml:space="preserve">, </w:t>
      </w:r>
      <w:r w:rsidRPr="00364D88">
        <w:rPr>
          <w:rFonts w:ascii="Arial" w:hAnsi="Arial" w:cs="Arial"/>
          <w:b/>
          <w:bCs/>
          <w:noProof/>
          <w:szCs w:val="24"/>
        </w:rPr>
        <w:t>220</w:t>
      </w:r>
      <w:r w:rsidRPr="00364D88">
        <w:rPr>
          <w:rFonts w:ascii="Arial" w:hAnsi="Arial" w:cs="Arial"/>
          <w:noProof/>
          <w:szCs w:val="24"/>
        </w:rPr>
        <w:t>, 773–784.</w:t>
      </w:r>
    </w:p>
    <w:p w14:paraId="7422D82C"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lastRenderedPageBreak/>
        <w:t xml:space="preserve">Fernández-Martínez M, Vicca S, Janssens IA, Martín-Vide J, Peñuelas J (2018b) The consecutive disparity index, D, as measure of temporal variability in ecological studies. </w:t>
      </w:r>
      <w:r w:rsidRPr="00364D88">
        <w:rPr>
          <w:rFonts w:ascii="Arial" w:hAnsi="Arial" w:cs="Arial"/>
          <w:i/>
          <w:iCs/>
          <w:noProof/>
          <w:szCs w:val="24"/>
        </w:rPr>
        <w:t>Ecosphere</w:t>
      </w:r>
      <w:r w:rsidRPr="00364D88">
        <w:rPr>
          <w:rFonts w:ascii="Arial" w:hAnsi="Arial" w:cs="Arial"/>
          <w:noProof/>
          <w:szCs w:val="24"/>
        </w:rPr>
        <w:t xml:space="preserve">, </w:t>
      </w:r>
      <w:r w:rsidRPr="00364D88">
        <w:rPr>
          <w:rFonts w:ascii="Arial" w:hAnsi="Arial" w:cs="Arial"/>
          <w:b/>
          <w:bCs/>
          <w:noProof/>
          <w:szCs w:val="24"/>
        </w:rPr>
        <w:t>9</w:t>
      </w:r>
      <w:r w:rsidRPr="00364D88">
        <w:rPr>
          <w:rFonts w:ascii="Arial" w:hAnsi="Arial" w:cs="Arial"/>
          <w:noProof/>
          <w:szCs w:val="24"/>
        </w:rPr>
        <w:t>, e02527.</w:t>
      </w:r>
    </w:p>
    <w:p w14:paraId="77CC0E89"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Fernández-Martínez M, Sardans J, Chevallier F et al. (2019) Global trends in carbon sinks and their relationships with CO2 and temperature. </w:t>
      </w:r>
      <w:r w:rsidRPr="00364D88">
        <w:rPr>
          <w:rFonts w:ascii="Arial" w:hAnsi="Arial" w:cs="Arial"/>
          <w:i/>
          <w:iCs/>
          <w:noProof/>
          <w:szCs w:val="24"/>
        </w:rPr>
        <w:t>Nature Climate Change</w:t>
      </w:r>
      <w:r w:rsidRPr="00364D88">
        <w:rPr>
          <w:rFonts w:ascii="Arial" w:hAnsi="Arial" w:cs="Arial"/>
          <w:noProof/>
          <w:szCs w:val="24"/>
        </w:rPr>
        <w:t xml:space="preserve">, </w:t>
      </w:r>
      <w:r w:rsidRPr="00364D88">
        <w:rPr>
          <w:rFonts w:ascii="Arial" w:hAnsi="Arial" w:cs="Arial"/>
          <w:b/>
          <w:bCs/>
          <w:noProof/>
          <w:szCs w:val="24"/>
        </w:rPr>
        <w:t>9</w:t>
      </w:r>
      <w:r w:rsidRPr="00364D88">
        <w:rPr>
          <w:rFonts w:ascii="Arial" w:hAnsi="Arial" w:cs="Arial"/>
          <w:noProof/>
          <w:szCs w:val="24"/>
        </w:rPr>
        <w:t>, 73–79.</w:t>
      </w:r>
    </w:p>
    <w:p w14:paraId="6A569607"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Field C, Merino J, Mooney HA (1983) Compromises between water-use efficiency and nitrogen-use efficiency in five species of California evergreens. </w:t>
      </w:r>
      <w:r w:rsidRPr="00364D88">
        <w:rPr>
          <w:rFonts w:ascii="Arial" w:hAnsi="Arial" w:cs="Arial"/>
          <w:i/>
          <w:iCs/>
          <w:noProof/>
          <w:szCs w:val="24"/>
        </w:rPr>
        <w:t>Oecologia</w:t>
      </w:r>
      <w:r w:rsidRPr="00364D88">
        <w:rPr>
          <w:rFonts w:ascii="Arial" w:hAnsi="Arial" w:cs="Arial"/>
          <w:noProof/>
          <w:szCs w:val="24"/>
        </w:rPr>
        <w:t xml:space="preserve">, </w:t>
      </w:r>
      <w:r w:rsidRPr="00364D88">
        <w:rPr>
          <w:rFonts w:ascii="Arial" w:hAnsi="Arial" w:cs="Arial"/>
          <w:b/>
          <w:bCs/>
          <w:noProof/>
          <w:szCs w:val="24"/>
        </w:rPr>
        <w:t>60</w:t>
      </w:r>
      <w:r w:rsidRPr="00364D88">
        <w:rPr>
          <w:rFonts w:ascii="Arial" w:hAnsi="Arial" w:cs="Arial"/>
          <w:noProof/>
          <w:szCs w:val="24"/>
        </w:rPr>
        <w:t>, 384–389.</w:t>
      </w:r>
    </w:p>
    <w:p w14:paraId="16C678EA"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Firn J, McGree JM, Harvey E et al. (2019) Leaf nutrients, not specific leaf area, are consistent indicators of elevated nutrient inputs. </w:t>
      </w:r>
      <w:r w:rsidRPr="00364D88">
        <w:rPr>
          <w:rFonts w:ascii="Arial" w:hAnsi="Arial" w:cs="Arial"/>
          <w:i/>
          <w:iCs/>
          <w:noProof/>
          <w:szCs w:val="24"/>
        </w:rPr>
        <w:t>Nature Ecology &amp; Evolution</w:t>
      </w:r>
      <w:r w:rsidRPr="00364D88">
        <w:rPr>
          <w:rFonts w:ascii="Arial" w:hAnsi="Arial" w:cs="Arial"/>
          <w:noProof/>
          <w:szCs w:val="24"/>
        </w:rPr>
        <w:t xml:space="preserve">, </w:t>
      </w:r>
      <w:r w:rsidRPr="00364D88">
        <w:rPr>
          <w:rFonts w:ascii="Arial" w:hAnsi="Arial" w:cs="Arial"/>
          <w:b/>
          <w:bCs/>
          <w:noProof/>
          <w:szCs w:val="24"/>
        </w:rPr>
        <w:t>3</w:t>
      </w:r>
      <w:r w:rsidRPr="00364D88">
        <w:rPr>
          <w:rFonts w:ascii="Arial" w:hAnsi="Arial" w:cs="Arial"/>
          <w:noProof/>
          <w:szCs w:val="24"/>
        </w:rPr>
        <w:t>, 400–406.</w:t>
      </w:r>
    </w:p>
    <w:p w14:paraId="571971D6"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Fleischer K, Rebel KT, Van Der Molen MK et al. (2013) The contribution of nitrogen deposition to the photosynthetic capacity of forests. </w:t>
      </w:r>
      <w:r w:rsidRPr="00364D88">
        <w:rPr>
          <w:rFonts w:ascii="Arial" w:hAnsi="Arial" w:cs="Arial"/>
          <w:i/>
          <w:iCs/>
          <w:noProof/>
          <w:szCs w:val="24"/>
        </w:rPr>
        <w:t>Global Biogeochemical Cycles</w:t>
      </w:r>
      <w:r w:rsidRPr="00364D88">
        <w:rPr>
          <w:rFonts w:ascii="Arial" w:hAnsi="Arial" w:cs="Arial"/>
          <w:noProof/>
          <w:szCs w:val="24"/>
        </w:rPr>
        <w:t xml:space="preserve">, </w:t>
      </w:r>
      <w:r w:rsidRPr="00364D88">
        <w:rPr>
          <w:rFonts w:ascii="Arial" w:hAnsi="Arial" w:cs="Arial"/>
          <w:b/>
          <w:bCs/>
          <w:noProof/>
          <w:szCs w:val="24"/>
        </w:rPr>
        <w:t>27</w:t>
      </w:r>
      <w:r w:rsidRPr="00364D88">
        <w:rPr>
          <w:rFonts w:ascii="Arial" w:hAnsi="Arial" w:cs="Arial"/>
          <w:noProof/>
          <w:szCs w:val="24"/>
        </w:rPr>
        <w:t>, 187–199.</w:t>
      </w:r>
    </w:p>
    <w:p w14:paraId="06310DDD"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Galloway JN, Dentener FJ, Capone DG et al. (2004) Nitrogen Cycles: Past, Present, and Future. </w:t>
      </w:r>
      <w:r w:rsidRPr="00364D88">
        <w:rPr>
          <w:rFonts w:ascii="Arial" w:hAnsi="Arial" w:cs="Arial"/>
          <w:i/>
          <w:iCs/>
          <w:noProof/>
          <w:szCs w:val="24"/>
        </w:rPr>
        <w:t>Biogeochemistry</w:t>
      </w:r>
      <w:r w:rsidRPr="00364D88">
        <w:rPr>
          <w:rFonts w:ascii="Arial" w:hAnsi="Arial" w:cs="Arial"/>
          <w:noProof/>
          <w:szCs w:val="24"/>
        </w:rPr>
        <w:t xml:space="preserve">, </w:t>
      </w:r>
      <w:r w:rsidRPr="00364D88">
        <w:rPr>
          <w:rFonts w:ascii="Arial" w:hAnsi="Arial" w:cs="Arial"/>
          <w:b/>
          <w:bCs/>
          <w:noProof/>
          <w:szCs w:val="24"/>
        </w:rPr>
        <w:t>70</w:t>
      </w:r>
      <w:r w:rsidRPr="00364D88">
        <w:rPr>
          <w:rFonts w:ascii="Arial" w:hAnsi="Arial" w:cs="Arial"/>
          <w:noProof/>
          <w:szCs w:val="24"/>
        </w:rPr>
        <w:t>, 153–226.</w:t>
      </w:r>
    </w:p>
    <w:p w14:paraId="22ED9913"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Gamfeldt L, Snäll T, Bagchi R et al. (2013) Higher levels of multiple ecosystem services are found in forests with more tree species. </w:t>
      </w:r>
      <w:r w:rsidRPr="00364D88">
        <w:rPr>
          <w:rFonts w:ascii="Arial" w:hAnsi="Arial" w:cs="Arial"/>
          <w:i/>
          <w:iCs/>
          <w:noProof/>
          <w:szCs w:val="24"/>
        </w:rPr>
        <w:t>Nature Communications</w:t>
      </w:r>
      <w:r w:rsidRPr="00364D88">
        <w:rPr>
          <w:rFonts w:ascii="Arial" w:hAnsi="Arial" w:cs="Arial"/>
          <w:noProof/>
          <w:szCs w:val="24"/>
        </w:rPr>
        <w:t xml:space="preserve">, </w:t>
      </w:r>
      <w:r w:rsidRPr="00364D88">
        <w:rPr>
          <w:rFonts w:ascii="Arial" w:hAnsi="Arial" w:cs="Arial"/>
          <w:b/>
          <w:bCs/>
          <w:noProof/>
          <w:szCs w:val="24"/>
        </w:rPr>
        <w:t>4</w:t>
      </w:r>
      <w:r w:rsidRPr="00364D88">
        <w:rPr>
          <w:rFonts w:ascii="Arial" w:hAnsi="Arial" w:cs="Arial"/>
          <w:noProof/>
          <w:szCs w:val="24"/>
        </w:rPr>
        <w:t>.</w:t>
      </w:r>
    </w:p>
    <w:p w14:paraId="101633D0"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Gessner MO, Swan CM, Dang CK, McKie BG, Bardgett RD, Wall DH, Hättenschwiler S (2010) Diversity meets decomposition. </w:t>
      </w:r>
      <w:r w:rsidRPr="00364D88">
        <w:rPr>
          <w:rFonts w:ascii="Arial" w:hAnsi="Arial" w:cs="Arial"/>
          <w:i/>
          <w:iCs/>
          <w:noProof/>
          <w:szCs w:val="24"/>
        </w:rPr>
        <w:t>Trends in Ecology and Evolution</w:t>
      </w:r>
      <w:r w:rsidRPr="00364D88">
        <w:rPr>
          <w:rFonts w:ascii="Arial" w:hAnsi="Arial" w:cs="Arial"/>
          <w:noProof/>
          <w:szCs w:val="24"/>
        </w:rPr>
        <w:t xml:space="preserve">, </w:t>
      </w:r>
      <w:r w:rsidRPr="00364D88">
        <w:rPr>
          <w:rFonts w:ascii="Arial" w:hAnsi="Arial" w:cs="Arial"/>
          <w:b/>
          <w:bCs/>
          <w:noProof/>
          <w:szCs w:val="24"/>
        </w:rPr>
        <w:t>25</w:t>
      </w:r>
      <w:r w:rsidRPr="00364D88">
        <w:rPr>
          <w:rFonts w:ascii="Arial" w:hAnsi="Arial" w:cs="Arial"/>
          <w:noProof/>
          <w:szCs w:val="24"/>
        </w:rPr>
        <w:t>, 372–380.</w:t>
      </w:r>
    </w:p>
    <w:p w14:paraId="3ECE7819"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Goolsby EW, Bruggeman J, Ane C (2016) Rphylopars: Phylogenetic Comparative Tools for Missing Data and Within-Species Variation.</w:t>
      </w:r>
    </w:p>
    <w:p w14:paraId="11E22024"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Grömping U (2006) Relative importance for linear regression in R: the package relaimpo. </w:t>
      </w:r>
      <w:r w:rsidRPr="00364D88">
        <w:rPr>
          <w:rFonts w:ascii="Arial" w:hAnsi="Arial" w:cs="Arial"/>
          <w:i/>
          <w:iCs/>
          <w:noProof/>
          <w:szCs w:val="24"/>
        </w:rPr>
        <w:t>Journal of Statistical Software</w:t>
      </w:r>
      <w:r w:rsidRPr="00364D88">
        <w:rPr>
          <w:rFonts w:ascii="Arial" w:hAnsi="Arial" w:cs="Arial"/>
          <w:noProof/>
          <w:szCs w:val="24"/>
        </w:rPr>
        <w:t xml:space="preserve">, </w:t>
      </w:r>
      <w:r w:rsidRPr="00364D88">
        <w:rPr>
          <w:rFonts w:ascii="Arial" w:hAnsi="Arial" w:cs="Arial"/>
          <w:b/>
          <w:bCs/>
          <w:noProof/>
          <w:szCs w:val="24"/>
        </w:rPr>
        <w:t>17</w:t>
      </w:r>
      <w:r w:rsidRPr="00364D88">
        <w:rPr>
          <w:rFonts w:ascii="Arial" w:hAnsi="Arial" w:cs="Arial"/>
          <w:noProof/>
          <w:szCs w:val="24"/>
        </w:rPr>
        <w:t>, 1–27.</w:t>
      </w:r>
    </w:p>
    <w:p w14:paraId="2AF7BC60"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De Groot CC, Marcelis LFM, Van Den Boogaard R, Kaiser WM, Lambers H (2003) Interaction of nitrogen and phosphorus nutrition in determining growth. </w:t>
      </w:r>
      <w:r w:rsidRPr="00364D88">
        <w:rPr>
          <w:rFonts w:ascii="Arial" w:hAnsi="Arial" w:cs="Arial"/>
          <w:i/>
          <w:iCs/>
          <w:noProof/>
          <w:szCs w:val="24"/>
        </w:rPr>
        <w:t>Plant and Soil</w:t>
      </w:r>
      <w:r w:rsidRPr="00364D88">
        <w:rPr>
          <w:rFonts w:ascii="Arial" w:hAnsi="Arial" w:cs="Arial"/>
          <w:noProof/>
          <w:szCs w:val="24"/>
        </w:rPr>
        <w:t xml:space="preserve">, </w:t>
      </w:r>
      <w:r w:rsidRPr="00364D88">
        <w:rPr>
          <w:rFonts w:ascii="Arial" w:hAnsi="Arial" w:cs="Arial"/>
          <w:b/>
          <w:bCs/>
          <w:noProof/>
          <w:szCs w:val="24"/>
        </w:rPr>
        <w:t>248</w:t>
      </w:r>
      <w:r w:rsidRPr="00364D88">
        <w:rPr>
          <w:rFonts w:ascii="Arial" w:hAnsi="Arial" w:cs="Arial"/>
          <w:noProof/>
          <w:szCs w:val="24"/>
        </w:rPr>
        <w:t>, 257–268.</w:t>
      </w:r>
    </w:p>
    <w:p w14:paraId="7D028AA9"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Gross K, Cardinale BJ, Fox JW et al. (2014) Species Richness and the Temporal Stability of Biomass Production: A New Analysis of Recent Biodiversity </w:t>
      </w:r>
      <w:r w:rsidRPr="00364D88">
        <w:rPr>
          <w:rFonts w:ascii="Arial" w:hAnsi="Arial" w:cs="Arial"/>
          <w:noProof/>
          <w:szCs w:val="24"/>
        </w:rPr>
        <w:lastRenderedPageBreak/>
        <w:t xml:space="preserve">Experiments. </w:t>
      </w:r>
      <w:r w:rsidRPr="00364D88">
        <w:rPr>
          <w:rFonts w:ascii="Arial" w:hAnsi="Arial" w:cs="Arial"/>
          <w:i/>
          <w:iCs/>
          <w:noProof/>
          <w:szCs w:val="24"/>
        </w:rPr>
        <w:t>The American Naturalist</w:t>
      </w:r>
      <w:r w:rsidRPr="00364D88">
        <w:rPr>
          <w:rFonts w:ascii="Arial" w:hAnsi="Arial" w:cs="Arial"/>
          <w:noProof/>
          <w:szCs w:val="24"/>
        </w:rPr>
        <w:t xml:space="preserve">, </w:t>
      </w:r>
      <w:r w:rsidRPr="00364D88">
        <w:rPr>
          <w:rFonts w:ascii="Arial" w:hAnsi="Arial" w:cs="Arial"/>
          <w:b/>
          <w:bCs/>
          <w:noProof/>
          <w:szCs w:val="24"/>
        </w:rPr>
        <w:t>183</w:t>
      </w:r>
      <w:r w:rsidRPr="00364D88">
        <w:rPr>
          <w:rFonts w:ascii="Arial" w:hAnsi="Arial" w:cs="Arial"/>
          <w:noProof/>
          <w:szCs w:val="24"/>
        </w:rPr>
        <w:t>, 1–12.</w:t>
      </w:r>
    </w:p>
    <w:p w14:paraId="658E62CA"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Güsewell S (2004) N:P ratios in terrestrial plants: Variation and functional significance. </w:t>
      </w:r>
      <w:r w:rsidRPr="00364D88">
        <w:rPr>
          <w:rFonts w:ascii="Arial" w:hAnsi="Arial" w:cs="Arial"/>
          <w:i/>
          <w:iCs/>
          <w:noProof/>
          <w:szCs w:val="24"/>
        </w:rPr>
        <w:t>New Phytologist</w:t>
      </w:r>
      <w:r w:rsidRPr="00364D88">
        <w:rPr>
          <w:rFonts w:ascii="Arial" w:hAnsi="Arial" w:cs="Arial"/>
          <w:noProof/>
          <w:szCs w:val="24"/>
        </w:rPr>
        <w:t xml:space="preserve">, </w:t>
      </w:r>
      <w:r w:rsidRPr="00364D88">
        <w:rPr>
          <w:rFonts w:ascii="Arial" w:hAnsi="Arial" w:cs="Arial"/>
          <w:b/>
          <w:bCs/>
          <w:noProof/>
          <w:szCs w:val="24"/>
        </w:rPr>
        <w:t>164</w:t>
      </w:r>
      <w:r w:rsidRPr="00364D88">
        <w:rPr>
          <w:rFonts w:ascii="Arial" w:hAnsi="Arial" w:cs="Arial"/>
          <w:noProof/>
          <w:szCs w:val="24"/>
        </w:rPr>
        <w:t>, 243–266.</w:t>
      </w:r>
    </w:p>
    <w:p w14:paraId="2270C0B7"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Güsewell S, Bollens U (2003) Composition of plant species mixtures grown at various N:P ratios and levels of nutrient supply. </w:t>
      </w:r>
      <w:r w:rsidRPr="00364D88">
        <w:rPr>
          <w:rFonts w:ascii="Arial" w:hAnsi="Arial" w:cs="Arial"/>
          <w:i/>
          <w:iCs/>
          <w:noProof/>
          <w:szCs w:val="24"/>
        </w:rPr>
        <w:t>Basic and Applied Ecology</w:t>
      </w:r>
      <w:r w:rsidRPr="00364D88">
        <w:rPr>
          <w:rFonts w:ascii="Arial" w:hAnsi="Arial" w:cs="Arial"/>
          <w:noProof/>
          <w:szCs w:val="24"/>
        </w:rPr>
        <w:t xml:space="preserve">, </w:t>
      </w:r>
      <w:r w:rsidRPr="00364D88">
        <w:rPr>
          <w:rFonts w:ascii="Arial" w:hAnsi="Arial" w:cs="Arial"/>
          <w:b/>
          <w:bCs/>
          <w:noProof/>
          <w:szCs w:val="24"/>
        </w:rPr>
        <w:t>4</w:t>
      </w:r>
      <w:r w:rsidRPr="00364D88">
        <w:rPr>
          <w:rFonts w:ascii="Arial" w:hAnsi="Arial" w:cs="Arial"/>
          <w:noProof/>
          <w:szCs w:val="24"/>
        </w:rPr>
        <w:t>, 453–466.</w:t>
      </w:r>
    </w:p>
    <w:p w14:paraId="5A9E0472"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Handa IT, Aerts R, Berendse F et al. (2014) Consequences of biodiversity loss for litter decomposition across biomes. </w:t>
      </w:r>
      <w:r w:rsidRPr="00364D88">
        <w:rPr>
          <w:rFonts w:ascii="Arial" w:hAnsi="Arial" w:cs="Arial"/>
          <w:i/>
          <w:iCs/>
          <w:noProof/>
          <w:szCs w:val="24"/>
        </w:rPr>
        <w:t>Nature</w:t>
      </w:r>
      <w:r w:rsidRPr="00364D88">
        <w:rPr>
          <w:rFonts w:ascii="Arial" w:hAnsi="Arial" w:cs="Arial"/>
          <w:noProof/>
          <w:szCs w:val="24"/>
        </w:rPr>
        <w:t xml:space="preserve">, </w:t>
      </w:r>
      <w:r w:rsidRPr="00364D88">
        <w:rPr>
          <w:rFonts w:ascii="Arial" w:hAnsi="Arial" w:cs="Arial"/>
          <w:b/>
          <w:bCs/>
          <w:noProof/>
          <w:szCs w:val="24"/>
        </w:rPr>
        <w:t>509</w:t>
      </w:r>
      <w:r w:rsidRPr="00364D88">
        <w:rPr>
          <w:rFonts w:ascii="Arial" w:hAnsi="Arial" w:cs="Arial"/>
          <w:noProof/>
          <w:szCs w:val="24"/>
        </w:rPr>
        <w:t>, 218–21.</w:t>
      </w:r>
    </w:p>
    <w:p w14:paraId="7B1D6CB1"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Heath JP (2006) Quantifying temporal variability in population abundances. </w:t>
      </w:r>
      <w:r w:rsidRPr="00364D88">
        <w:rPr>
          <w:rFonts w:ascii="Arial" w:hAnsi="Arial" w:cs="Arial"/>
          <w:i/>
          <w:iCs/>
          <w:noProof/>
          <w:szCs w:val="24"/>
        </w:rPr>
        <w:t>Oikos</w:t>
      </w:r>
      <w:r w:rsidRPr="00364D88">
        <w:rPr>
          <w:rFonts w:ascii="Arial" w:hAnsi="Arial" w:cs="Arial"/>
          <w:noProof/>
          <w:szCs w:val="24"/>
        </w:rPr>
        <w:t xml:space="preserve">, </w:t>
      </w:r>
      <w:r w:rsidRPr="00364D88">
        <w:rPr>
          <w:rFonts w:ascii="Arial" w:hAnsi="Arial" w:cs="Arial"/>
          <w:b/>
          <w:bCs/>
          <w:noProof/>
          <w:szCs w:val="24"/>
        </w:rPr>
        <w:t>115</w:t>
      </w:r>
      <w:r w:rsidRPr="00364D88">
        <w:rPr>
          <w:rFonts w:ascii="Arial" w:hAnsi="Arial" w:cs="Arial"/>
          <w:noProof/>
          <w:szCs w:val="24"/>
        </w:rPr>
        <w:t>, 573–581.</w:t>
      </w:r>
    </w:p>
    <w:p w14:paraId="32DFB5FE"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Hill MO (1973) Diversity and Evenness: A Unifying Notation and Its Consequences. </w:t>
      </w:r>
      <w:r w:rsidRPr="00364D88">
        <w:rPr>
          <w:rFonts w:ascii="Arial" w:hAnsi="Arial" w:cs="Arial"/>
          <w:i/>
          <w:iCs/>
          <w:noProof/>
          <w:szCs w:val="24"/>
        </w:rPr>
        <w:t>Ecology</w:t>
      </w:r>
      <w:r w:rsidRPr="00364D88">
        <w:rPr>
          <w:rFonts w:ascii="Arial" w:hAnsi="Arial" w:cs="Arial"/>
          <w:noProof/>
          <w:szCs w:val="24"/>
        </w:rPr>
        <w:t xml:space="preserve">, </w:t>
      </w:r>
      <w:r w:rsidRPr="00364D88">
        <w:rPr>
          <w:rFonts w:ascii="Arial" w:hAnsi="Arial" w:cs="Arial"/>
          <w:b/>
          <w:bCs/>
          <w:noProof/>
          <w:szCs w:val="24"/>
        </w:rPr>
        <w:t>54</w:t>
      </w:r>
      <w:r w:rsidRPr="00364D88">
        <w:rPr>
          <w:rFonts w:ascii="Arial" w:hAnsi="Arial" w:cs="Arial"/>
          <w:noProof/>
          <w:szCs w:val="24"/>
        </w:rPr>
        <w:t>, 427–432.</w:t>
      </w:r>
    </w:p>
    <w:p w14:paraId="4B559622"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Hooper DU, Adair EC, Cardinale BJ et al. (2012) A global synthesis reveals biodiversity loss as a major driver of ecosystem change. </w:t>
      </w:r>
      <w:r w:rsidRPr="00364D88">
        <w:rPr>
          <w:rFonts w:ascii="Arial" w:hAnsi="Arial" w:cs="Arial"/>
          <w:i/>
          <w:iCs/>
          <w:noProof/>
          <w:szCs w:val="24"/>
        </w:rPr>
        <w:t>Nature</w:t>
      </w:r>
      <w:r w:rsidRPr="00364D88">
        <w:rPr>
          <w:rFonts w:ascii="Arial" w:hAnsi="Arial" w:cs="Arial"/>
          <w:noProof/>
          <w:szCs w:val="24"/>
        </w:rPr>
        <w:t xml:space="preserve">, </w:t>
      </w:r>
      <w:r w:rsidRPr="00364D88">
        <w:rPr>
          <w:rFonts w:ascii="Arial" w:hAnsi="Arial" w:cs="Arial"/>
          <w:b/>
          <w:bCs/>
          <w:noProof/>
          <w:szCs w:val="24"/>
        </w:rPr>
        <w:t>486</w:t>
      </w:r>
      <w:r w:rsidRPr="00364D88">
        <w:rPr>
          <w:rFonts w:ascii="Arial" w:hAnsi="Arial" w:cs="Arial"/>
          <w:noProof/>
          <w:szCs w:val="24"/>
        </w:rPr>
        <w:t>, 105–108.</w:t>
      </w:r>
    </w:p>
    <w:p w14:paraId="2D6D6D6B"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Hurlbert SH (1971) The nonconcept of species diversity: a critique and alternative parameters. </w:t>
      </w:r>
      <w:r w:rsidRPr="00364D88">
        <w:rPr>
          <w:rFonts w:ascii="Arial" w:hAnsi="Arial" w:cs="Arial"/>
          <w:i/>
          <w:iCs/>
          <w:noProof/>
          <w:szCs w:val="24"/>
        </w:rPr>
        <w:t>Ecology</w:t>
      </w:r>
      <w:r w:rsidRPr="00364D88">
        <w:rPr>
          <w:rFonts w:ascii="Arial" w:hAnsi="Arial" w:cs="Arial"/>
          <w:noProof/>
          <w:szCs w:val="24"/>
        </w:rPr>
        <w:t xml:space="preserve">, </w:t>
      </w:r>
      <w:r w:rsidRPr="00364D88">
        <w:rPr>
          <w:rFonts w:ascii="Arial" w:hAnsi="Arial" w:cs="Arial"/>
          <w:b/>
          <w:bCs/>
          <w:noProof/>
          <w:szCs w:val="24"/>
        </w:rPr>
        <w:t>52</w:t>
      </w:r>
      <w:r w:rsidRPr="00364D88">
        <w:rPr>
          <w:rFonts w:ascii="Arial" w:hAnsi="Arial" w:cs="Arial"/>
          <w:noProof/>
          <w:szCs w:val="24"/>
        </w:rPr>
        <w:t>, 577–586.</w:t>
      </w:r>
    </w:p>
    <w:p w14:paraId="5A0B7E42"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Janssens IA, Dieleman W, Luyssaert S et al. (2010) Reduction of forest soil respiration in response to nitrogen deposition. </w:t>
      </w:r>
      <w:r w:rsidRPr="00364D88">
        <w:rPr>
          <w:rFonts w:ascii="Arial" w:hAnsi="Arial" w:cs="Arial"/>
          <w:i/>
          <w:iCs/>
          <w:noProof/>
          <w:szCs w:val="24"/>
        </w:rPr>
        <w:t>Nature Geoscience</w:t>
      </w:r>
      <w:r w:rsidRPr="00364D88">
        <w:rPr>
          <w:rFonts w:ascii="Arial" w:hAnsi="Arial" w:cs="Arial"/>
          <w:noProof/>
          <w:szCs w:val="24"/>
        </w:rPr>
        <w:t xml:space="preserve">, </w:t>
      </w:r>
      <w:r w:rsidRPr="00364D88">
        <w:rPr>
          <w:rFonts w:ascii="Arial" w:hAnsi="Arial" w:cs="Arial"/>
          <w:b/>
          <w:bCs/>
          <w:noProof/>
          <w:szCs w:val="24"/>
        </w:rPr>
        <w:t>3</w:t>
      </w:r>
      <w:r w:rsidRPr="00364D88">
        <w:rPr>
          <w:rFonts w:ascii="Arial" w:hAnsi="Arial" w:cs="Arial"/>
          <w:noProof/>
          <w:szCs w:val="24"/>
        </w:rPr>
        <w:t>, 315–322.</w:t>
      </w:r>
    </w:p>
    <w:p w14:paraId="05F78265"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Jin Y, Qian H (2019) V.PhyloMaker: an R package that can generate very large phylogenies for vascular plants. </w:t>
      </w:r>
      <w:r w:rsidRPr="00364D88">
        <w:rPr>
          <w:rFonts w:ascii="Arial" w:hAnsi="Arial" w:cs="Arial"/>
          <w:i/>
          <w:iCs/>
          <w:noProof/>
          <w:szCs w:val="24"/>
        </w:rPr>
        <w:t>Ecography</w:t>
      </w:r>
      <w:r w:rsidRPr="00364D88">
        <w:rPr>
          <w:rFonts w:ascii="Arial" w:hAnsi="Arial" w:cs="Arial"/>
          <w:noProof/>
          <w:szCs w:val="24"/>
        </w:rPr>
        <w:t>, ecog.04434.</w:t>
      </w:r>
    </w:p>
    <w:p w14:paraId="03521D0F"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Kozovits AR, Bustamante MMC, Garofalo CR, Bucci S, Franco AC, Goldstein G, Meinzer FC (2007) Nutrient resorption and patterns of litter production and decomposition in a Neotropical Savanna. </w:t>
      </w:r>
      <w:r w:rsidRPr="00364D88">
        <w:rPr>
          <w:rFonts w:ascii="Arial" w:hAnsi="Arial" w:cs="Arial"/>
          <w:i/>
          <w:iCs/>
          <w:noProof/>
          <w:szCs w:val="24"/>
        </w:rPr>
        <w:t>Functional Ecology</w:t>
      </w:r>
      <w:r w:rsidRPr="00364D88">
        <w:rPr>
          <w:rFonts w:ascii="Arial" w:hAnsi="Arial" w:cs="Arial"/>
          <w:noProof/>
          <w:szCs w:val="24"/>
        </w:rPr>
        <w:t xml:space="preserve">, </w:t>
      </w:r>
      <w:r w:rsidRPr="00364D88">
        <w:rPr>
          <w:rFonts w:ascii="Arial" w:hAnsi="Arial" w:cs="Arial"/>
          <w:b/>
          <w:bCs/>
          <w:noProof/>
          <w:szCs w:val="24"/>
        </w:rPr>
        <w:t>21</w:t>
      </w:r>
      <w:r w:rsidRPr="00364D88">
        <w:rPr>
          <w:rFonts w:ascii="Arial" w:hAnsi="Arial" w:cs="Arial"/>
          <w:noProof/>
          <w:szCs w:val="24"/>
        </w:rPr>
        <w:t>, 1034–1043.</w:t>
      </w:r>
    </w:p>
    <w:p w14:paraId="00317D0E"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Li W, Jin C, Guan D, Wang Q, Wang A, Yuan F, Wu J (2015) The effects of simulated nitrogen deposition on plant root traits: A meta-analysis. </w:t>
      </w:r>
      <w:r w:rsidRPr="00364D88">
        <w:rPr>
          <w:rFonts w:ascii="Arial" w:hAnsi="Arial" w:cs="Arial"/>
          <w:i/>
          <w:iCs/>
          <w:noProof/>
          <w:szCs w:val="24"/>
        </w:rPr>
        <w:t>Soil Biology and Biochemistry</w:t>
      </w:r>
      <w:r w:rsidRPr="00364D88">
        <w:rPr>
          <w:rFonts w:ascii="Arial" w:hAnsi="Arial" w:cs="Arial"/>
          <w:noProof/>
          <w:szCs w:val="24"/>
        </w:rPr>
        <w:t xml:space="preserve">, </w:t>
      </w:r>
      <w:r w:rsidRPr="00364D88">
        <w:rPr>
          <w:rFonts w:ascii="Arial" w:hAnsi="Arial" w:cs="Arial"/>
          <w:b/>
          <w:bCs/>
          <w:noProof/>
          <w:szCs w:val="24"/>
        </w:rPr>
        <w:t>82</w:t>
      </w:r>
      <w:r w:rsidRPr="00364D88">
        <w:rPr>
          <w:rFonts w:ascii="Arial" w:hAnsi="Arial" w:cs="Arial"/>
          <w:noProof/>
          <w:szCs w:val="24"/>
        </w:rPr>
        <w:t>, 112–118.</w:t>
      </w:r>
    </w:p>
    <w:p w14:paraId="059722D6"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Liang J, Crowther TW, Picard N et al. (2016) Positive biodiversity-productivity relationship predominant in global forests. </w:t>
      </w:r>
      <w:r w:rsidRPr="00364D88">
        <w:rPr>
          <w:rFonts w:ascii="Arial" w:hAnsi="Arial" w:cs="Arial"/>
          <w:i/>
          <w:iCs/>
          <w:noProof/>
          <w:szCs w:val="24"/>
        </w:rPr>
        <w:t>Science</w:t>
      </w:r>
      <w:r w:rsidRPr="00364D88">
        <w:rPr>
          <w:rFonts w:ascii="Arial" w:hAnsi="Arial" w:cs="Arial"/>
          <w:noProof/>
          <w:szCs w:val="24"/>
        </w:rPr>
        <w:t xml:space="preserve">, </w:t>
      </w:r>
      <w:r w:rsidRPr="00364D88">
        <w:rPr>
          <w:rFonts w:ascii="Arial" w:hAnsi="Arial" w:cs="Arial"/>
          <w:b/>
          <w:bCs/>
          <w:noProof/>
          <w:szCs w:val="24"/>
        </w:rPr>
        <w:t>354</w:t>
      </w:r>
      <w:r w:rsidRPr="00364D88">
        <w:rPr>
          <w:rFonts w:ascii="Arial" w:hAnsi="Arial" w:cs="Arial"/>
          <w:noProof/>
          <w:szCs w:val="24"/>
        </w:rPr>
        <w:t>, aaf8957–aaf8957.</w:t>
      </w:r>
    </w:p>
    <w:p w14:paraId="12201E51"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Loreau M, de Mazancourt C (2013) Biodiversity and ecosystem stability: A synthesis of underlying mechanisms. </w:t>
      </w:r>
      <w:r w:rsidRPr="00364D88">
        <w:rPr>
          <w:rFonts w:ascii="Arial" w:hAnsi="Arial" w:cs="Arial"/>
          <w:i/>
          <w:iCs/>
          <w:noProof/>
          <w:szCs w:val="24"/>
        </w:rPr>
        <w:t>Ecology Letters</w:t>
      </w:r>
      <w:r w:rsidRPr="00364D88">
        <w:rPr>
          <w:rFonts w:ascii="Arial" w:hAnsi="Arial" w:cs="Arial"/>
          <w:noProof/>
          <w:szCs w:val="24"/>
        </w:rPr>
        <w:t xml:space="preserve">, </w:t>
      </w:r>
      <w:r w:rsidRPr="00364D88">
        <w:rPr>
          <w:rFonts w:ascii="Arial" w:hAnsi="Arial" w:cs="Arial"/>
          <w:b/>
          <w:bCs/>
          <w:noProof/>
          <w:szCs w:val="24"/>
        </w:rPr>
        <w:t>16</w:t>
      </w:r>
      <w:r w:rsidRPr="00364D88">
        <w:rPr>
          <w:rFonts w:ascii="Arial" w:hAnsi="Arial" w:cs="Arial"/>
          <w:noProof/>
          <w:szCs w:val="24"/>
        </w:rPr>
        <w:t>, 106–115.</w:t>
      </w:r>
    </w:p>
    <w:p w14:paraId="7537C3F4"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lastRenderedPageBreak/>
        <w:t xml:space="preserve">Luyssaert S, Janssens IA, Sulkava M et al. (2007a) Photosynthesis drives anomalies in net carbon-exchange of pine forests at different latitudes. </w:t>
      </w:r>
      <w:r w:rsidRPr="00364D88">
        <w:rPr>
          <w:rFonts w:ascii="Arial" w:hAnsi="Arial" w:cs="Arial"/>
          <w:i/>
          <w:iCs/>
          <w:noProof/>
          <w:szCs w:val="24"/>
        </w:rPr>
        <w:t>Global Change Biology</w:t>
      </w:r>
      <w:r w:rsidRPr="00364D88">
        <w:rPr>
          <w:rFonts w:ascii="Arial" w:hAnsi="Arial" w:cs="Arial"/>
          <w:noProof/>
          <w:szCs w:val="24"/>
        </w:rPr>
        <w:t xml:space="preserve">, </w:t>
      </w:r>
      <w:r w:rsidRPr="00364D88">
        <w:rPr>
          <w:rFonts w:ascii="Arial" w:hAnsi="Arial" w:cs="Arial"/>
          <w:b/>
          <w:bCs/>
          <w:noProof/>
          <w:szCs w:val="24"/>
        </w:rPr>
        <w:t>13</w:t>
      </w:r>
      <w:r w:rsidRPr="00364D88">
        <w:rPr>
          <w:rFonts w:ascii="Arial" w:hAnsi="Arial" w:cs="Arial"/>
          <w:noProof/>
          <w:szCs w:val="24"/>
        </w:rPr>
        <w:t>, 2110–2127.</w:t>
      </w:r>
    </w:p>
    <w:p w14:paraId="77654B68"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Luyssaert S, Inglima I, Jung M et al. (2007b) CO 2 balance of boreal, temperate, and tropical forests derived from a global database. </w:t>
      </w:r>
      <w:r w:rsidRPr="00364D88">
        <w:rPr>
          <w:rFonts w:ascii="Arial" w:hAnsi="Arial" w:cs="Arial"/>
          <w:i/>
          <w:iCs/>
          <w:noProof/>
          <w:szCs w:val="24"/>
        </w:rPr>
        <w:t>Global Change Biology</w:t>
      </w:r>
      <w:r w:rsidRPr="00364D88">
        <w:rPr>
          <w:rFonts w:ascii="Arial" w:hAnsi="Arial" w:cs="Arial"/>
          <w:noProof/>
          <w:szCs w:val="24"/>
        </w:rPr>
        <w:t xml:space="preserve">, </w:t>
      </w:r>
      <w:r w:rsidRPr="00364D88">
        <w:rPr>
          <w:rFonts w:ascii="Arial" w:hAnsi="Arial" w:cs="Arial"/>
          <w:b/>
          <w:bCs/>
          <w:noProof/>
          <w:szCs w:val="24"/>
        </w:rPr>
        <w:t>13</w:t>
      </w:r>
      <w:r w:rsidRPr="00364D88">
        <w:rPr>
          <w:rFonts w:ascii="Arial" w:hAnsi="Arial" w:cs="Arial"/>
          <w:noProof/>
          <w:szCs w:val="24"/>
        </w:rPr>
        <w:t>, 2509–2537.</w:t>
      </w:r>
    </w:p>
    <w:p w14:paraId="040ABC43"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Luyssaert S, Schulze E-D, Börner A et al. (2008) Old-growth forests as global carbon sinks. </w:t>
      </w:r>
      <w:r w:rsidRPr="00364D88">
        <w:rPr>
          <w:rFonts w:ascii="Arial" w:hAnsi="Arial" w:cs="Arial"/>
          <w:i/>
          <w:iCs/>
          <w:noProof/>
          <w:szCs w:val="24"/>
        </w:rPr>
        <w:t>Nature</w:t>
      </w:r>
      <w:r w:rsidRPr="00364D88">
        <w:rPr>
          <w:rFonts w:ascii="Arial" w:hAnsi="Arial" w:cs="Arial"/>
          <w:noProof/>
          <w:szCs w:val="24"/>
        </w:rPr>
        <w:t xml:space="preserve">, </w:t>
      </w:r>
      <w:r w:rsidRPr="00364D88">
        <w:rPr>
          <w:rFonts w:ascii="Arial" w:hAnsi="Arial" w:cs="Arial"/>
          <w:b/>
          <w:bCs/>
          <w:noProof/>
          <w:szCs w:val="24"/>
        </w:rPr>
        <w:t>455</w:t>
      </w:r>
      <w:r w:rsidRPr="00364D88">
        <w:rPr>
          <w:rFonts w:ascii="Arial" w:hAnsi="Arial" w:cs="Arial"/>
          <w:noProof/>
          <w:szCs w:val="24"/>
        </w:rPr>
        <w:t>, 213–5.</w:t>
      </w:r>
    </w:p>
    <w:p w14:paraId="2AE503F9"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Musavi T, Migliavacca M, van de Weg MJ et al. (2016) Potential and limitations of inferring ecosystem photosynthetic capacity from leaf functional traits. </w:t>
      </w:r>
      <w:r w:rsidRPr="00364D88">
        <w:rPr>
          <w:rFonts w:ascii="Arial" w:hAnsi="Arial" w:cs="Arial"/>
          <w:i/>
          <w:iCs/>
          <w:noProof/>
          <w:szCs w:val="24"/>
        </w:rPr>
        <w:t>Ecology and Evolution</w:t>
      </w:r>
      <w:r w:rsidRPr="00364D88">
        <w:rPr>
          <w:rFonts w:ascii="Arial" w:hAnsi="Arial" w:cs="Arial"/>
          <w:noProof/>
          <w:szCs w:val="24"/>
        </w:rPr>
        <w:t xml:space="preserve">, </w:t>
      </w:r>
      <w:r w:rsidRPr="00364D88">
        <w:rPr>
          <w:rFonts w:ascii="Arial" w:hAnsi="Arial" w:cs="Arial"/>
          <w:b/>
          <w:bCs/>
          <w:noProof/>
          <w:szCs w:val="24"/>
        </w:rPr>
        <w:t>6</w:t>
      </w:r>
      <w:r w:rsidRPr="00364D88">
        <w:rPr>
          <w:rFonts w:ascii="Arial" w:hAnsi="Arial" w:cs="Arial"/>
          <w:noProof/>
          <w:szCs w:val="24"/>
        </w:rPr>
        <w:t>, 7352–7366.</w:t>
      </w:r>
    </w:p>
    <w:p w14:paraId="2ED632B0"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Musavi T, Migliavacca M, Reichstein M et al. (2017) Stand age and species richness dampen interannual variation of ecosystem-level photosynthetic capacity. </w:t>
      </w:r>
      <w:r w:rsidRPr="00364D88">
        <w:rPr>
          <w:rFonts w:ascii="Arial" w:hAnsi="Arial" w:cs="Arial"/>
          <w:i/>
          <w:iCs/>
          <w:noProof/>
          <w:szCs w:val="24"/>
        </w:rPr>
        <w:t>Nature Ecology &amp; Evolution</w:t>
      </w:r>
      <w:r w:rsidRPr="00364D88">
        <w:rPr>
          <w:rFonts w:ascii="Arial" w:hAnsi="Arial" w:cs="Arial"/>
          <w:noProof/>
          <w:szCs w:val="24"/>
        </w:rPr>
        <w:t xml:space="preserve">, </w:t>
      </w:r>
      <w:r w:rsidRPr="00364D88">
        <w:rPr>
          <w:rFonts w:ascii="Arial" w:hAnsi="Arial" w:cs="Arial"/>
          <w:b/>
          <w:bCs/>
          <w:noProof/>
          <w:szCs w:val="24"/>
        </w:rPr>
        <w:t>1</w:t>
      </w:r>
      <w:r w:rsidRPr="00364D88">
        <w:rPr>
          <w:rFonts w:ascii="Arial" w:hAnsi="Arial" w:cs="Arial"/>
          <w:noProof/>
          <w:szCs w:val="24"/>
        </w:rPr>
        <w:t>, 0048.</w:t>
      </w:r>
    </w:p>
    <w:p w14:paraId="6A634B7F"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Norby RJ, Cotrufo MF, Ineson P, O’Neill EG, Canadell JG (2001) Elevated CO2, litter chemistry, and decomposition: a synthesis. </w:t>
      </w:r>
      <w:r w:rsidRPr="00364D88">
        <w:rPr>
          <w:rFonts w:ascii="Arial" w:hAnsi="Arial" w:cs="Arial"/>
          <w:i/>
          <w:iCs/>
          <w:noProof/>
          <w:szCs w:val="24"/>
        </w:rPr>
        <w:t>Oecologia</w:t>
      </w:r>
      <w:r w:rsidRPr="00364D88">
        <w:rPr>
          <w:rFonts w:ascii="Arial" w:hAnsi="Arial" w:cs="Arial"/>
          <w:noProof/>
          <w:szCs w:val="24"/>
        </w:rPr>
        <w:t xml:space="preserve">, </w:t>
      </w:r>
      <w:r w:rsidRPr="00364D88">
        <w:rPr>
          <w:rFonts w:ascii="Arial" w:hAnsi="Arial" w:cs="Arial"/>
          <w:b/>
          <w:bCs/>
          <w:noProof/>
          <w:szCs w:val="24"/>
        </w:rPr>
        <w:t>127</w:t>
      </w:r>
      <w:r w:rsidRPr="00364D88">
        <w:rPr>
          <w:rFonts w:ascii="Arial" w:hAnsi="Arial" w:cs="Arial"/>
          <w:noProof/>
          <w:szCs w:val="24"/>
        </w:rPr>
        <w:t>, 153–65.</w:t>
      </w:r>
    </w:p>
    <w:p w14:paraId="7E5444DD"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Oehri J, Schmid B, Schaepman-Strub G, Niklaus PA (2017) Biodiversity promotes primary productivity and growing season lengthening at the landscape scale. </w:t>
      </w:r>
      <w:r w:rsidRPr="00364D88">
        <w:rPr>
          <w:rFonts w:ascii="Arial" w:hAnsi="Arial" w:cs="Arial"/>
          <w:i/>
          <w:iCs/>
          <w:noProof/>
          <w:szCs w:val="24"/>
        </w:rPr>
        <w:t>Proceedings of the National Academy of Sciences of the United States of America</w:t>
      </w:r>
      <w:r w:rsidRPr="00364D88">
        <w:rPr>
          <w:rFonts w:ascii="Arial" w:hAnsi="Arial" w:cs="Arial"/>
          <w:noProof/>
          <w:szCs w:val="24"/>
        </w:rPr>
        <w:t xml:space="preserve">, </w:t>
      </w:r>
      <w:r w:rsidRPr="00364D88">
        <w:rPr>
          <w:rFonts w:ascii="Arial" w:hAnsi="Arial" w:cs="Arial"/>
          <w:b/>
          <w:bCs/>
          <w:noProof/>
          <w:szCs w:val="24"/>
        </w:rPr>
        <w:t>114</w:t>
      </w:r>
      <w:r w:rsidRPr="00364D88">
        <w:rPr>
          <w:rFonts w:ascii="Arial" w:hAnsi="Arial" w:cs="Arial"/>
          <w:noProof/>
          <w:szCs w:val="24"/>
        </w:rPr>
        <w:t>, 10160–10165.</w:t>
      </w:r>
    </w:p>
    <w:p w14:paraId="01E2CA8D"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Oksanen J, Guillaume Blanchet F, Friendly M et al. (2018) vegan: Community Ecology Package. R package version 2.4-6.</w:t>
      </w:r>
    </w:p>
    <w:p w14:paraId="748124DD"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Pastorello G, Trotta C, Canfora E et al. (2020) The FLUXNET2015 dataset and the ONEFlux processing pipeline for eddy covariance data. </w:t>
      </w:r>
      <w:r w:rsidRPr="00364D88">
        <w:rPr>
          <w:rFonts w:ascii="Arial" w:hAnsi="Arial" w:cs="Arial"/>
          <w:i/>
          <w:iCs/>
          <w:noProof/>
          <w:szCs w:val="24"/>
        </w:rPr>
        <w:t>Scientific Data</w:t>
      </w:r>
      <w:r w:rsidRPr="00364D88">
        <w:rPr>
          <w:rFonts w:ascii="Arial" w:hAnsi="Arial" w:cs="Arial"/>
          <w:noProof/>
          <w:szCs w:val="24"/>
        </w:rPr>
        <w:t xml:space="preserve">, </w:t>
      </w:r>
      <w:r w:rsidRPr="00364D88">
        <w:rPr>
          <w:rFonts w:ascii="Arial" w:hAnsi="Arial" w:cs="Arial"/>
          <w:b/>
          <w:bCs/>
          <w:noProof/>
          <w:szCs w:val="24"/>
        </w:rPr>
        <w:t>7</w:t>
      </w:r>
      <w:r w:rsidRPr="00364D88">
        <w:rPr>
          <w:rFonts w:ascii="Arial" w:hAnsi="Arial" w:cs="Arial"/>
          <w:noProof/>
          <w:szCs w:val="24"/>
        </w:rPr>
        <w:t>, 225.</w:t>
      </w:r>
    </w:p>
    <w:p w14:paraId="1970217C"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Peng Y, Peng Z, Zeng X, Houx JH (2019) Effects of nitrogen-phosphorus imbalance on plant biomass production: a global perspective. </w:t>
      </w:r>
      <w:r w:rsidRPr="00364D88">
        <w:rPr>
          <w:rFonts w:ascii="Arial" w:hAnsi="Arial" w:cs="Arial"/>
          <w:i/>
          <w:iCs/>
          <w:noProof/>
          <w:szCs w:val="24"/>
        </w:rPr>
        <w:t>Plant and Soil</w:t>
      </w:r>
      <w:r w:rsidRPr="00364D88">
        <w:rPr>
          <w:rFonts w:ascii="Arial" w:hAnsi="Arial" w:cs="Arial"/>
          <w:noProof/>
          <w:szCs w:val="24"/>
        </w:rPr>
        <w:t xml:space="preserve">, </w:t>
      </w:r>
      <w:r w:rsidRPr="00364D88">
        <w:rPr>
          <w:rFonts w:ascii="Arial" w:hAnsi="Arial" w:cs="Arial"/>
          <w:b/>
          <w:bCs/>
          <w:noProof/>
          <w:szCs w:val="24"/>
        </w:rPr>
        <w:t>436</w:t>
      </w:r>
      <w:r w:rsidRPr="00364D88">
        <w:rPr>
          <w:rFonts w:ascii="Arial" w:hAnsi="Arial" w:cs="Arial"/>
          <w:noProof/>
          <w:szCs w:val="24"/>
        </w:rPr>
        <w:t>, 245–252.</w:t>
      </w:r>
    </w:p>
    <w:p w14:paraId="7DC14B83"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Penone C, Davidson AD, Shoemaker KT et al. (2014) Imputation of missing data in life-history trait datasets: Which approach performs the best? </w:t>
      </w:r>
      <w:r w:rsidRPr="00364D88">
        <w:rPr>
          <w:rFonts w:ascii="Arial" w:hAnsi="Arial" w:cs="Arial"/>
          <w:i/>
          <w:iCs/>
          <w:noProof/>
          <w:szCs w:val="24"/>
        </w:rPr>
        <w:t>Methods in Ecology and Evolution</w:t>
      </w:r>
      <w:r w:rsidRPr="00364D88">
        <w:rPr>
          <w:rFonts w:ascii="Arial" w:hAnsi="Arial" w:cs="Arial"/>
          <w:noProof/>
          <w:szCs w:val="24"/>
        </w:rPr>
        <w:t xml:space="preserve">, </w:t>
      </w:r>
      <w:r w:rsidRPr="00364D88">
        <w:rPr>
          <w:rFonts w:ascii="Arial" w:hAnsi="Arial" w:cs="Arial"/>
          <w:b/>
          <w:bCs/>
          <w:noProof/>
          <w:szCs w:val="24"/>
        </w:rPr>
        <w:t>5</w:t>
      </w:r>
      <w:r w:rsidRPr="00364D88">
        <w:rPr>
          <w:rFonts w:ascii="Arial" w:hAnsi="Arial" w:cs="Arial"/>
          <w:noProof/>
          <w:szCs w:val="24"/>
        </w:rPr>
        <w:t>, 1–10.</w:t>
      </w:r>
    </w:p>
    <w:p w14:paraId="7B7AED01"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Penuelas J, Fernández-Martínez M, Vallicrosa H et al. (2020) Increasing atmospheric CO2 concentrations correlate with declining nutritional status of European forests. </w:t>
      </w:r>
      <w:r w:rsidRPr="00364D88">
        <w:rPr>
          <w:rFonts w:ascii="Arial" w:hAnsi="Arial" w:cs="Arial"/>
          <w:i/>
          <w:iCs/>
          <w:noProof/>
          <w:szCs w:val="24"/>
        </w:rPr>
        <w:lastRenderedPageBreak/>
        <w:t>Communications Biology</w:t>
      </w:r>
      <w:r w:rsidRPr="00364D88">
        <w:rPr>
          <w:rFonts w:ascii="Arial" w:hAnsi="Arial" w:cs="Arial"/>
          <w:noProof/>
          <w:szCs w:val="24"/>
        </w:rPr>
        <w:t xml:space="preserve">, </w:t>
      </w:r>
      <w:r w:rsidRPr="00364D88">
        <w:rPr>
          <w:rFonts w:ascii="Arial" w:hAnsi="Arial" w:cs="Arial"/>
          <w:b/>
          <w:bCs/>
          <w:noProof/>
          <w:szCs w:val="24"/>
        </w:rPr>
        <w:t>3</w:t>
      </w:r>
      <w:r w:rsidRPr="00364D88">
        <w:rPr>
          <w:rFonts w:ascii="Arial" w:hAnsi="Arial" w:cs="Arial"/>
          <w:noProof/>
          <w:szCs w:val="24"/>
        </w:rPr>
        <w:t>, 125.</w:t>
      </w:r>
    </w:p>
    <w:p w14:paraId="35E3287D"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Peñuelas J, Sardans J, Rivas-Ubach A, Janssens IA (2012) The human-induced imbalance between C, N and P in Earth’s life system. </w:t>
      </w:r>
      <w:r w:rsidRPr="00364D88">
        <w:rPr>
          <w:rFonts w:ascii="Arial" w:hAnsi="Arial" w:cs="Arial"/>
          <w:i/>
          <w:iCs/>
          <w:noProof/>
          <w:szCs w:val="24"/>
        </w:rPr>
        <w:t>Global Change Biology</w:t>
      </w:r>
      <w:r w:rsidRPr="00364D88">
        <w:rPr>
          <w:rFonts w:ascii="Arial" w:hAnsi="Arial" w:cs="Arial"/>
          <w:noProof/>
          <w:szCs w:val="24"/>
        </w:rPr>
        <w:t xml:space="preserve">, </w:t>
      </w:r>
      <w:r w:rsidRPr="00364D88">
        <w:rPr>
          <w:rFonts w:ascii="Arial" w:hAnsi="Arial" w:cs="Arial"/>
          <w:b/>
          <w:bCs/>
          <w:noProof/>
          <w:szCs w:val="24"/>
        </w:rPr>
        <w:t>18</w:t>
      </w:r>
      <w:r w:rsidRPr="00364D88">
        <w:rPr>
          <w:rFonts w:ascii="Arial" w:hAnsi="Arial" w:cs="Arial"/>
          <w:noProof/>
          <w:szCs w:val="24"/>
        </w:rPr>
        <w:t>, 3–6.</w:t>
      </w:r>
    </w:p>
    <w:p w14:paraId="66951741"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Peñuelas J, Poulter B, Sardans J et al. (2013) Human-induced nitrogen-phosphorus imbalances alter natural and managed ecosystems across the globe. </w:t>
      </w:r>
      <w:r w:rsidRPr="00364D88">
        <w:rPr>
          <w:rFonts w:ascii="Arial" w:hAnsi="Arial" w:cs="Arial"/>
          <w:i/>
          <w:iCs/>
          <w:noProof/>
          <w:szCs w:val="24"/>
        </w:rPr>
        <w:t>Nature communications</w:t>
      </w:r>
      <w:r w:rsidRPr="00364D88">
        <w:rPr>
          <w:rFonts w:ascii="Arial" w:hAnsi="Arial" w:cs="Arial"/>
          <w:noProof/>
          <w:szCs w:val="24"/>
        </w:rPr>
        <w:t xml:space="preserve">, </w:t>
      </w:r>
      <w:r w:rsidRPr="00364D88">
        <w:rPr>
          <w:rFonts w:ascii="Arial" w:hAnsi="Arial" w:cs="Arial"/>
          <w:b/>
          <w:bCs/>
          <w:noProof/>
          <w:szCs w:val="24"/>
        </w:rPr>
        <w:t>4</w:t>
      </w:r>
      <w:r w:rsidRPr="00364D88">
        <w:rPr>
          <w:rFonts w:ascii="Arial" w:hAnsi="Arial" w:cs="Arial"/>
          <w:noProof/>
          <w:szCs w:val="24"/>
        </w:rPr>
        <w:t>, 2934.</w:t>
      </w:r>
    </w:p>
    <w:p w14:paraId="00A9FC46"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Peñuelas J, Fernández</w:t>
      </w:r>
      <w:r w:rsidRPr="00364D88">
        <w:rPr>
          <w:rFonts w:ascii="Cambria Math" w:hAnsi="Cambria Math" w:cs="Cambria Math"/>
          <w:noProof/>
          <w:szCs w:val="24"/>
        </w:rPr>
        <w:t>‐</w:t>
      </w:r>
      <w:r w:rsidRPr="00364D88">
        <w:rPr>
          <w:rFonts w:ascii="Arial" w:hAnsi="Arial" w:cs="Arial"/>
          <w:noProof/>
          <w:szCs w:val="24"/>
        </w:rPr>
        <w:t xml:space="preserve">Martínez M, Ciais P et al. (2019) The bioelements, the elementome, and the biogeochemical niche. </w:t>
      </w:r>
      <w:r w:rsidRPr="00364D88">
        <w:rPr>
          <w:rFonts w:ascii="Arial" w:hAnsi="Arial" w:cs="Arial"/>
          <w:i/>
          <w:iCs/>
          <w:noProof/>
          <w:szCs w:val="24"/>
        </w:rPr>
        <w:t>Ecology</w:t>
      </w:r>
      <w:r w:rsidRPr="00364D88">
        <w:rPr>
          <w:rFonts w:ascii="Arial" w:hAnsi="Arial" w:cs="Arial"/>
          <w:noProof/>
          <w:szCs w:val="24"/>
        </w:rPr>
        <w:t xml:space="preserve">, </w:t>
      </w:r>
      <w:r w:rsidRPr="00364D88">
        <w:rPr>
          <w:rFonts w:ascii="Arial" w:hAnsi="Arial" w:cs="Arial"/>
          <w:b/>
          <w:bCs/>
          <w:noProof/>
          <w:szCs w:val="24"/>
        </w:rPr>
        <w:t>100</w:t>
      </w:r>
      <w:r w:rsidRPr="00364D88">
        <w:rPr>
          <w:rFonts w:ascii="Arial" w:hAnsi="Arial" w:cs="Arial"/>
          <w:noProof/>
          <w:szCs w:val="24"/>
        </w:rPr>
        <w:t>, e02652.</w:t>
      </w:r>
    </w:p>
    <w:p w14:paraId="143FACE0"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Peñuelas J, Janssens IA, Ciais P, Obersteiner M, Sardans J (2020) Anthropogenic global shifts in biospheric N and P concentrations and ratios and their impacts on biodiversity, ecosystem productivity, food security, and human health. </w:t>
      </w:r>
      <w:r w:rsidRPr="00364D88">
        <w:rPr>
          <w:rFonts w:ascii="Arial" w:hAnsi="Arial" w:cs="Arial"/>
          <w:i/>
          <w:iCs/>
          <w:noProof/>
          <w:szCs w:val="24"/>
        </w:rPr>
        <w:t>Global Change Biology</w:t>
      </w:r>
      <w:r w:rsidRPr="00364D88">
        <w:rPr>
          <w:rFonts w:ascii="Arial" w:hAnsi="Arial" w:cs="Arial"/>
          <w:noProof/>
          <w:szCs w:val="24"/>
        </w:rPr>
        <w:t>, gcb.14981.</w:t>
      </w:r>
    </w:p>
    <w:p w14:paraId="69D7BDA1"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Qian H, Jin Y (2016) An updated megaphylogeny of plants, a tool for generating plant phylogenies and an analysis of phylogenetic community structure. </w:t>
      </w:r>
      <w:r w:rsidRPr="00364D88">
        <w:rPr>
          <w:rFonts w:ascii="Arial" w:hAnsi="Arial" w:cs="Arial"/>
          <w:i/>
          <w:iCs/>
          <w:noProof/>
          <w:szCs w:val="24"/>
        </w:rPr>
        <w:t>Journal of Plant Ecology</w:t>
      </w:r>
      <w:r w:rsidRPr="00364D88">
        <w:rPr>
          <w:rFonts w:ascii="Arial" w:hAnsi="Arial" w:cs="Arial"/>
          <w:noProof/>
          <w:szCs w:val="24"/>
        </w:rPr>
        <w:t xml:space="preserve">, </w:t>
      </w:r>
      <w:r w:rsidRPr="00364D88">
        <w:rPr>
          <w:rFonts w:ascii="Arial" w:hAnsi="Arial" w:cs="Arial"/>
          <w:b/>
          <w:bCs/>
          <w:noProof/>
          <w:szCs w:val="24"/>
        </w:rPr>
        <w:t>9</w:t>
      </w:r>
      <w:r w:rsidRPr="00364D88">
        <w:rPr>
          <w:rFonts w:ascii="Arial" w:hAnsi="Arial" w:cs="Arial"/>
          <w:noProof/>
          <w:szCs w:val="24"/>
        </w:rPr>
        <w:t>, 233–239.</w:t>
      </w:r>
    </w:p>
    <w:p w14:paraId="1492ADEF"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R Core Team (2019) R: A Language and Environment for Statistical Computing.</w:t>
      </w:r>
    </w:p>
    <w:p w14:paraId="5A275CED"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Reich PB, Oleksyn J, Wright IJ (2009) Leaf phosphorus influences the photosynthesis-nitrogen relation: A cross-biome analysis of 314 species. </w:t>
      </w:r>
      <w:r w:rsidRPr="00364D88">
        <w:rPr>
          <w:rFonts w:ascii="Arial" w:hAnsi="Arial" w:cs="Arial"/>
          <w:i/>
          <w:iCs/>
          <w:noProof/>
          <w:szCs w:val="24"/>
        </w:rPr>
        <w:t>Oecologia</w:t>
      </w:r>
      <w:r w:rsidRPr="00364D88">
        <w:rPr>
          <w:rFonts w:ascii="Arial" w:hAnsi="Arial" w:cs="Arial"/>
          <w:noProof/>
          <w:szCs w:val="24"/>
        </w:rPr>
        <w:t xml:space="preserve">, </w:t>
      </w:r>
      <w:r w:rsidRPr="00364D88">
        <w:rPr>
          <w:rFonts w:ascii="Arial" w:hAnsi="Arial" w:cs="Arial"/>
          <w:b/>
          <w:bCs/>
          <w:noProof/>
          <w:szCs w:val="24"/>
        </w:rPr>
        <w:t>160</w:t>
      </w:r>
      <w:r w:rsidRPr="00364D88">
        <w:rPr>
          <w:rFonts w:ascii="Arial" w:hAnsi="Arial" w:cs="Arial"/>
          <w:noProof/>
          <w:szCs w:val="24"/>
        </w:rPr>
        <w:t>, 207–212.</w:t>
      </w:r>
    </w:p>
    <w:p w14:paraId="3324C54B"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Rockström J, Steffen W, Noone K et al. (2009) A safe operating space for humanity. </w:t>
      </w:r>
      <w:r w:rsidRPr="00364D88">
        <w:rPr>
          <w:rFonts w:ascii="Arial" w:hAnsi="Arial" w:cs="Arial"/>
          <w:i/>
          <w:iCs/>
          <w:noProof/>
          <w:szCs w:val="24"/>
        </w:rPr>
        <w:t>Nature</w:t>
      </w:r>
      <w:r w:rsidRPr="00364D88">
        <w:rPr>
          <w:rFonts w:ascii="Arial" w:hAnsi="Arial" w:cs="Arial"/>
          <w:noProof/>
          <w:szCs w:val="24"/>
        </w:rPr>
        <w:t xml:space="preserve">, </w:t>
      </w:r>
      <w:r w:rsidRPr="00364D88">
        <w:rPr>
          <w:rFonts w:ascii="Arial" w:hAnsi="Arial" w:cs="Arial"/>
          <w:b/>
          <w:bCs/>
          <w:noProof/>
          <w:szCs w:val="24"/>
        </w:rPr>
        <w:t>461</w:t>
      </w:r>
      <w:r w:rsidRPr="00364D88">
        <w:rPr>
          <w:rFonts w:ascii="Arial" w:hAnsi="Arial" w:cs="Arial"/>
          <w:noProof/>
          <w:szCs w:val="24"/>
        </w:rPr>
        <w:t>, 472–475.</w:t>
      </w:r>
    </w:p>
    <w:p w14:paraId="24B195E1"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Sardans J, Alonso R, Janssens I et al. (2016) Foliar and soil concentrations and stoichiometry of nitrogen and phosphorous across European Pinus sylvestris forests: relationships with climate, N deposition and tree growth. </w:t>
      </w:r>
      <w:r w:rsidRPr="00364D88">
        <w:rPr>
          <w:rFonts w:ascii="Arial" w:hAnsi="Arial" w:cs="Arial"/>
          <w:i/>
          <w:iCs/>
          <w:noProof/>
          <w:szCs w:val="24"/>
        </w:rPr>
        <w:t>Functional Ecology</w:t>
      </w:r>
      <w:r w:rsidRPr="00364D88">
        <w:rPr>
          <w:rFonts w:ascii="Arial" w:hAnsi="Arial" w:cs="Arial"/>
          <w:noProof/>
          <w:szCs w:val="24"/>
        </w:rPr>
        <w:t xml:space="preserve">, </w:t>
      </w:r>
      <w:r w:rsidRPr="00364D88">
        <w:rPr>
          <w:rFonts w:ascii="Arial" w:hAnsi="Arial" w:cs="Arial"/>
          <w:b/>
          <w:bCs/>
          <w:noProof/>
          <w:szCs w:val="24"/>
        </w:rPr>
        <w:t>30</w:t>
      </w:r>
      <w:r w:rsidRPr="00364D88">
        <w:rPr>
          <w:rFonts w:ascii="Arial" w:hAnsi="Arial" w:cs="Arial"/>
          <w:noProof/>
          <w:szCs w:val="24"/>
        </w:rPr>
        <w:t>, 676–689.</w:t>
      </w:r>
    </w:p>
    <w:p w14:paraId="4BCFA517"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Steffen W, Richardson K, Rockstrom J et al. (2015) Planetary boundaries: Guiding human development on a changing planet. </w:t>
      </w:r>
      <w:r w:rsidRPr="00364D88">
        <w:rPr>
          <w:rFonts w:ascii="Arial" w:hAnsi="Arial" w:cs="Arial"/>
          <w:i/>
          <w:iCs/>
          <w:noProof/>
          <w:szCs w:val="24"/>
        </w:rPr>
        <w:t>Science</w:t>
      </w:r>
      <w:r w:rsidRPr="00364D88">
        <w:rPr>
          <w:rFonts w:ascii="Arial" w:hAnsi="Arial" w:cs="Arial"/>
          <w:noProof/>
          <w:szCs w:val="24"/>
        </w:rPr>
        <w:t xml:space="preserve">, </w:t>
      </w:r>
      <w:r w:rsidRPr="00364D88">
        <w:rPr>
          <w:rFonts w:ascii="Arial" w:hAnsi="Arial" w:cs="Arial"/>
          <w:b/>
          <w:bCs/>
          <w:noProof/>
          <w:szCs w:val="24"/>
        </w:rPr>
        <w:t>347</w:t>
      </w:r>
      <w:r w:rsidRPr="00364D88">
        <w:rPr>
          <w:rFonts w:ascii="Arial" w:hAnsi="Arial" w:cs="Arial"/>
          <w:noProof/>
          <w:szCs w:val="24"/>
        </w:rPr>
        <w:t>, 1259855–1259855.</w:t>
      </w:r>
    </w:p>
    <w:p w14:paraId="77FD40B7"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Sterner RW, Elser JJ (2002) </w:t>
      </w:r>
      <w:r w:rsidRPr="00364D88">
        <w:rPr>
          <w:rFonts w:ascii="Arial" w:hAnsi="Arial" w:cs="Arial"/>
          <w:i/>
          <w:iCs/>
          <w:noProof/>
          <w:szCs w:val="24"/>
        </w:rPr>
        <w:t>Ecological stoichiometry : the biology of elements from molecules to the biosphere</w:t>
      </w:r>
      <w:r w:rsidRPr="00364D88">
        <w:rPr>
          <w:rFonts w:ascii="Arial" w:hAnsi="Arial" w:cs="Arial"/>
          <w:noProof/>
          <w:szCs w:val="24"/>
        </w:rPr>
        <w:t>. Princeton University Press, 439 pp.</w:t>
      </w:r>
    </w:p>
    <w:p w14:paraId="49A892C2"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lastRenderedPageBreak/>
        <w:t xml:space="preserve">Van Sundert K, Horemans JA, Stendahl J, Vicca S (2018) The influence of soil properties and nutrients on conifer forest growth in Sweden, and the first steps in developing a nutrient availability metric. </w:t>
      </w:r>
      <w:r w:rsidRPr="00364D88">
        <w:rPr>
          <w:rFonts w:ascii="Arial" w:hAnsi="Arial" w:cs="Arial"/>
          <w:i/>
          <w:iCs/>
          <w:noProof/>
          <w:szCs w:val="24"/>
        </w:rPr>
        <w:t>Biogeosciences</w:t>
      </w:r>
      <w:r w:rsidRPr="00364D88">
        <w:rPr>
          <w:rFonts w:ascii="Arial" w:hAnsi="Arial" w:cs="Arial"/>
          <w:noProof/>
          <w:szCs w:val="24"/>
        </w:rPr>
        <w:t xml:space="preserve">, </w:t>
      </w:r>
      <w:r w:rsidRPr="00364D88">
        <w:rPr>
          <w:rFonts w:ascii="Arial" w:hAnsi="Arial" w:cs="Arial"/>
          <w:b/>
          <w:bCs/>
          <w:noProof/>
          <w:szCs w:val="24"/>
        </w:rPr>
        <w:t>15</w:t>
      </w:r>
      <w:r w:rsidRPr="00364D88">
        <w:rPr>
          <w:rFonts w:ascii="Arial" w:hAnsi="Arial" w:cs="Arial"/>
          <w:noProof/>
          <w:szCs w:val="24"/>
        </w:rPr>
        <w:t>, 3475–3496.</w:t>
      </w:r>
    </w:p>
    <w:p w14:paraId="6312F411"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Van Sundert K, Radujković D, Cools N et al. (2019) Towards comparable assessment of the soil nutrient status across scales – review and development of nutrient metrics. </w:t>
      </w:r>
      <w:r w:rsidRPr="00364D88">
        <w:rPr>
          <w:rFonts w:ascii="Arial" w:hAnsi="Arial" w:cs="Arial"/>
          <w:i/>
          <w:iCs/>
          <w:noProof/>
          <w:szCs w:val="24"/>
        </w:rPr>
        <w:t>Global Change Biology</w:t>
      </w:r>
      <w:r w:rsidRPr="00364D88">
        <w:rPr>
          <w:rFonts w:ascii="Arial" w:hAnsi="Arial" w:cs="Arial"/>
          <w:noProof/>
          <w:szCs w:val="24"/>
        </w:rPr>
        <w:t>, gcb.14802.</w:t>
      </w:r>
    </w:p>
    <w:p w14:paraId="692A16FA"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Tian D, Kattge J, Chen Y et al. (2019) A global database of paired leaf nitrogen and phosphorus concentrations of terrestrial plants. </w:t>
      </w:r>
      <w:r w:rsidRPr="00364D88">
        <w:rPr>
          <w:rFonts w:ascii="Arial" w:hAnsi="Arial" w:cs="Arial"/>
          <w:i/>
          <w:iCs/>
          <w:noProof/>
          <w:szCs w:val="24"/>
        </w:rPr>
        <w:t>Ecology</w:t>
      </w:r>
      <w:r w:rsidRPr="00364D88">
        <w:rPr>
          <w:rFonts w:ascii="Arial" w:hAnsi="Arial" w:cs="Arial"/>
          <w:noProof/>
          <w:szCs w:val="24"/>
        </w:rPr>
        <w:t>, ecy.2812.</w:t>
      </w:r>
    </w:p>
    <w:p w14:paraId="0EC056C1"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Tsirogiannis C, Sandel B (2016) PhyloMeasures: a package for computing phylogenetic biodiversity measures and their statistical moments. </w:t>
      </w:r>
      <w:r w:rsidRPr="00364D88">
        <w:rPr>
          <w:rFonts w:ascii="Arial" w:hAnsi="Arial" w:cs="Arial"/>
          <w:i/>
          <w:iCs/>
          <w:noProof/>
          <w:szCs w:val="24"/>
        </w:rPr>
        <w:t>Ecography</w:t>
      </w:r>
      <w:r w:rsidRPr="00364D88">
        <w:rPr>
          <w:rFonts w:ascii="Arial" w:hAnsi="Arial" w:cs="Arial"/>
          <w:noProof/>
          <w:szCs w:val="24"/>
        </w:rPr>
        <w:t xml:space="preserve">, </w:t>
      </w:r>
      <w:r w:rsidRPr="00364D88">
        <w:rPr>
          <w:rFonts w:ascii="Arial" w:hAnsi="Arial" w:cs="Arial"/>
          <w:b/>
          <w:bCs/>
          <w:noProof/>
          <w:szCs w:val="24"/>
        </w:rPr>
        <w:t>39</w:t>
      </w:r>
      <w:r w:rsidRPr="00364D88">
        <w:rPr>
          <w:rFonts w:ascii="Arial" w:hAnsi="Arial" w:cs="Arial"/>
          <w:noProof/>
          <w:szCs w:val="24"/>
        </w:rPr>
        <w:t>, 709–714.</w:t>
      </w:r>
    </w:p>
    <w:p w14:paraId="03CCED1A"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Tsirogiannis C, Sandel B (2017) PhyloMeasures: Fast and Exact Algorithms for Computing Phylogenetic Biodiversity Measures.</w:t>
      </w:r>
    </w:p>
    <w:p w14:paraId="67B0C0C1"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Vicca S, Luyssaert S, Peñuelas J et al. (2012) Fertile forests produce biomass more efficiently. </w:t>
      </w:r>
      <w:r w:rsidRPr="00364D88">
        <w:rPr>
          <w:rFonts w:ascii="Arial" w:hAnsi="Arial" w:cs="Arial"/>
          <w:i/>
          <w:iCs/>
          <w:noProof/>
          <w:szCs w:val="24"/>
        </w:rPr>
        <w:t>Ecology letters</w:t>
      </w:r>
      <w:r w:rsidRPr="00364D88">
        <w:rPr>
          <w:rFonts w:ascii="Arial" w:hAnsi="Arial" w:cs="Arial"/>
          <w:noProof/>
          <w:szCs w:val="24"/>
        </w:rPr>
        <w:t xml:space="preserve">, </w:t>
      </w:r>
      <w:r w:rsidRPr="00364D88">
        <w:rPr>
          <w:rFonts w:ascii="Arial" w:hAnsi="Arial" w:cs="Arial"/>
          <w:b/>
          <w:bCs/>
          <w:noProof/>
          <w:szCs w:val="24"/>
        </w:rPr>
        <w:t>15</w:t>
      </w:r>
      <w:r w:rsidRPr="00364D88">
        <w:rPr>
          <w:rFonts w:ascii="Arial" w:hAnsi="Arial" w:cs="Arial"/>
          <w:noProof/>
          <w:szCs w:val="24"/>
        </w:rPr>
        <w:t>, 520–6.</w:t>
      </w:r>
    </w:p>
    <w:p w14:paraId="02DFA2CE"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de Vries W, Du E, Butterbach-Bahl K (2014) Short and long-term impacts of nitrogen deposition on carbon sequestration by forest ecosystems. </w:t>
      </w:r>
      <w:r w:rsidRPr="00364D88">
        <w:rPr>
          <w:rFonts w:ascii="Arial" w:hAnsi="Arial" w:cs="Arial"/>
          <w:i/>
          <w:iCs/>
          <w:noProof/>
          <w:szCs w:val="24"/>
        </w:rPr>
        <w:t>Current Opinion in Environmental Sustainability</w:t>
      </w:r>
      <w:r w:rsidRPr="00364D88">
        <w:rPr>
          <w:rFonts w:ascii="Arial" w:hAnsi="Arial" w:cs="Arial"/>
          <w:noProof/>
          <w:szCs w:val="24"/>
        </w:rPr>
        <w:t xml:space="preserve">, </w:t>
      </w:r>
      <w:r w:rsidRPr="00364D88">
        <w:rPr>
          <w:rFonts w:ascii="Arial" w:hAnsi="Arial" w:cs="Arial"/>
          <w:b/>
          <w:bCs/>
          <w:noProof/>
          <w:szCs w:val="24"/>
        </w:rPr>
        <w:t>9</w:t>
      </w:r>
      <w:r w:rsidRPr="00364D88">
        <w:rPr>
          <w:rFonts w:ascii="Arial" w:hAnsi="Arial" w:cs="Arial"/>
          <w:noProof/>
          <w:szCs w:val="24"/>
        </w:rPr>
        <w:t>–</w:t>
      </w:r>
      <w:r w:rsidRPr="00364D88">
        <w:rPr>
          <w:rFonts w:ascii="Arial" w:hAnsi="Arial" w:cs="Arial"/>
          <w:b/>
          <w:bCs/>
          <w:noProof/>
          <w:szCs w:val="24"/>
        </w:rPr>
        <w:t>10</w:t>
      </w:r>
      <w:r w:rsidRPr="00364D88">
        <w:rPr>
          <w:rFonts w:ascii="Arial" w:hAnsi="Arial" w:cs="Arial"/>
          <w:noProof/>
          <w:szCs w:val="24"/>
        </w:rPr>
        <w:t>, 90–104.</w:t>
      </w:r>
    </w:p>
    <w:p w14:paraId="58756185"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Webb (2000) Exploring the Phylogenetic Structure of Ecological Communities: An Example for Rain Forest Trees. </w:t>
      </w:r>
      <w:r w:rsidRPr="00364D88">
        <w:rPr>
          <w:rFonts w:ascii="Arial" w:hAnsi="Arial" w:cs="Arial"/>
          <w:i/>
          <w:iCs/>
          <w:noProof/>
          <w:szCs w:val="24"/>
        </w:rPr>
        <w:t>The American Naturalist</w:t>
      </w:r>
      <w:r w:rsidRPr="00364D88">
        <w:rPr>
          <w:rFonts w:ascii="Arial" w:hAnsi="Arial" w:cs="Arial"/>
          <w:noProof/>
          <w:szCs w:val="24"/>
        </w:rPr>
        <w:t xml:space="preserve">, </w:t>
      </w:r>
      <w:r w:rsidRPr="00364D88">
        <w:rPr>
          <w:rFonts w:ascii="Arial" w:hAnsi="Arial" w:cs="Arial"/>
          <w:b/>
          <w:bCs/>
          <w:noProof/>
          <w:szCs w:val="24"/>
        </w:rPr>
        <w:t>156</w:t>
      </w:r>
      <w:r w:rsidRPr="00364D88">
        <w:rPr>
          <w:rFonts w:ascii="Arial" w:hAnsi="Arial" w:cs="Arial"/>
          <w:noProof/>
          <w:szCs w:val="24"/>
        </w:rPr>
        <w:t>, 145.</w:t>
      </w:r>
    </w:p>
    <w:p w14:paraId="2A2B1D5C"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szCs w:val="24"/>
        </w:rPr>
      </w:pPr>
      <w:r w:rsidRPr="00364D88">
        <w:rPr>
          <w:rFonts w:ascii="Arial" w:hAnsi="Arial" w:cs="Arial"/>
          <w:noProof/>
          <w:szCs w:val="24"/>
        </w:rPr>
        <w:t xml:space="preserve">Wright IJ, Reich PB, Westoby M et al. (2004) The worldwide leaf economics spectrum. </w:t>
      </w:r>
      <w:r w:rsidRPr="00364D88">
        <w:rPr>
          <w:rFonts w:ascii="Arial" w:hAnsi="Arial" w:cs="Arial"/>
          <w:i/>
          <w:iCs/>
          <w:noProof/>
          <w:szCs w:val="24"/>
        </w:rPr>
        <w:t>Nature</w:t>
      </w:r>
      <w:r w:rsidRPr="00364D88">
        <w:rPr>
          <w:rFonts w:ascii="Arial" w:hAnsi="Arial" w:cs="Arial"/>
          <w:noProof/>
          <w:szCs w:val="24"/>
        </w:rPr>
        <w:t xml:space="preserve">, </w:t>
      </w:r>
      <w:r w:rsidRPr="00364D88">
        <w:rPr>
          <w:rFonts w:ascii="Arial" w:hAnsi="Arial" w:cs="Arial"/>
          <w:b/>
          <w:bCs/>
          <w:noProof/>
          <w:szCs w:val="24"/>
        </w:rPr>
        <w:t>428</w:t>
      </w:r>
      <w:r w:rsidRPr="00364D88">
        <w:rPr>
          <w:rFonts w:ascii="Arial" w:hAnsi="Arial" w:cs="Arial"/>
          <w:noProof/>
          <w:szCs w:val="24"/>
        </w:rPr>
        <w:t>, 821–7.</w:t>
      </w:r>
    </w:p>
    <w:p w14:paraId="53122E6F" w14:textId="77777777" w:rsidR="001F6B70" w:rsidRPr="00364D88" w:rsidRDefault="001F6B70" w:rsidP="001F6B70">
      <w:pPr>
        <w:widowControl w:val="0"/>
        <w:autoSpaceDE w:val="0"/>
        <w:autoSpaceDN w:val="0"/>
        <w:adjustRightInd w:val="0"/>
        <w:spacing w:line="360" w:lineRule="auto"/>
        <w:ind w:left="480" w:hanging="480"/>
        <w:rPr>
          <w:rFonts w:ascii="Arial" w:hAnsi="Arial" w:cs="Arial"/>
          <w:noProof/>
        </w:rPr>
      </w:pPr>
      <w:r w:rsidRPr="00364D88">
        <w:rPr>
          <w:rFonts w:ascii="Arial" w:hAnsi="Arial" w:cs="Arial"/>
          <w:noProof/>
          <w:szCs w:val="24"/>
        </w:rPr>
        <w:t xml:space="preserve">Yuan ZY, Chen HYH (2012) A global analysis of fine root production as affected by soil nitrogen and phosphorus. </w:t>
      </w:r>
      <w:r w:rsidRPr="00364D88">
        <w:rPr>
          <w:rFonts w:ascii="Arial" w:hAnsi="Arial" w:cs="Arial"/>
          <w:i/>
          <w:iCs/>
          <w:noProof/>
          <w:szCs w:val="24"/>
        </w:rPr>
        <w:t>Proceedings of the Royal Society B: Biological Sciences</w:t>
      </w:r>
      <w:r w:rsidRPr="00364D88">
        <w:rPr>
          <w:rFonts w:ascii="Arial" w:hAnsi="Arial" w:cs="Arial"/>
          <w:noProof/>
          <w:szCs w:val="24"/>
        </w:rPr>
        <w:t xml:space="preserve">, </w:t>
      </w:r>
      <w:r w:rsidRPr="00364D88">
        <w:rPr>
          <w:rFonts w:ascii="Arial" w:hAnsi="Arial" w:cs="Arial"/>
          <w:b/>
          <w:bCs/>
          <w:noProof/>
          <w:szCs w:val="24"/>
        </w:rPr>
        <w:t>279</w:t>
      </w:r>
      <w:r w:rsidRPr="00364D88">
        <w:rPr>
          <w:rFonts w:ascii="Arial" w:hAnsi="Arial" w:cs="Arial"/>
          <w:noProof/>
          <w:szCs w:val="24"/>
        </w:rPr>
        <w:t>, 3796–3802.</w:t>
      </w:r>
    </w:p>
    <w:p w14:paraId="0534F2BE" w14:textId="338ED419" w:rsidR="00994777" w:rsidRPr="00364D88" w:rsidRDefault="00994777" w:rsidP="00CC4118">
      <w:pPr>
        <w:widowControl w:val="0"/>
        <w:autoSpaceDE w:val="0"/>
        <w:autoSpaceDN w:val="0"/>
        <w:adjustRightInd w:val="0"/>
        <w:spacing w:line="360" w:lineRule="auto"/>
        <w:ind w:left="480" w:hanging="480"/>
        <w:rPr>
          <w:rFonts w:ascii="Arial" w:hAnsi="Arial"/>
          <w:b/>
          <w:lang w:val="en-GB"/>
        </w:rPr>
      </w:pPr>
      <w:r w:rsidRPr="00364D88">
        <w:rPr>
          <w:rFonts w:ascii="Arial" w:hAnsi="Arial"/>
          <w:b/>
          <w:lang w:val="en-GB"/>
        </w:rPr>
        <w:fldChar w:fldCharType="end"/>
      </w:r>
    </w:p>
    <w:p w14:paraId="671D0ACA" w14:textId="77777777" w:rsidR="00057EB5" w:rsidRPr="00364D88" w:rsidRDefault="00057EB5" w:rsidP="00C83DCE">
      <w:pPr>
        <w:spacing w:line="360" w:lineRule="auto"/>
        <w:outlineLvl w:val="0"/>
        <w:rPr>
          <w:rFonts w:ascii="Arial" w:hAnsi="Arial"/>
          <w:b/>
          <w:lang w:val="en-GB"/>
        </w:rPr>
      </w:pPr>
      <w:r w:rsidRPr="00364D88">
        <w:rPr>
          <w:rFonts w:ascii="Arial" w:hAnsi="Arial"/>
          <w:b/>
          <w:lang w:val="en-GB"/>
        </w:rPr>
        <w:br w:type="page"/>
      </w:r>
    </w:p>
    <w:p w14:paraId="4332551C" w14:textId="71736F68" w:rsidR="00A94970" w:rsidRPr="00A94970" w:rsidRDefault="00A94970" w:rsidP="00E0744A">
      <w:pPr>
        <w:spacing w:line="360" w:lineRule="auto"/>
        <w:jc w:val="both"/>
        <w:outlineLvl w:val="0"/>
        <w:rPr>
          <w:rFonts w:ascii="Arial" w:hAnsi="Arial"/>
          <w:b/>
          <w:sz w:val="24"/>
          <w:lang w:val="en-GB"/>
        </w:rPr>
      </w:pPr>
      <w:r w:rsidRPr="00A94970">
        <w:rPr>
          <w:rFonts w:ascii="Arial" w:hAnsi="Arial"/>
          <w:b/>
          <w:sz w:val="24"/>
          <w:lang w:val="en-GB"/>
        </w:rPr>
        <w:lastRenderedPageBreak/>
        <w:t>Figure captions</w:t>
      </w:r>
    </w:p>
    <w:p w14:paraId="1C9F3268" w14:textId="7F783FBE" w:rsidR="00E0744A" w:rsidRPr="00364D88" w:rsidRDefault="00A97E1C" w:rsidP="00E0744A">
      <w:pPr>
        <w:spacing w:line="360" w:lineRule="auto"/>
        <w:jc w:val="both"/>
        <w:outlineLvl w:val="0"/>
        <w:rPr>
          <w:rFonts w:ascii="Arial" w:hAnsi="Arial"/>
          <w:lang w:val="en-GB"/>
        </w:rPr>
      </w:pPr>
      <w:r w:rsidRPr="00364D88">
        <w:rPr>
          <w:rFonts w:ascii="Arial" w:hAnsi="Arial"/>
          <w:b/>
          <w:lang w:val="en-GB"/>
        </w:rPr>
        <w:t xml:space="preserve">Figure </w:t>
      </w:r>
      <w:r w:rsidR="00F1299E" w:rsidRPr="00364D88">
        <w:rPr>
          <w:rFonts w:ascii="Arial" w:hAnsi="Arial"/>
          <w:b/>
          <w:lang w:val="en-GB"/>
        </w:rPr>
        <w:t>1</w:t>
      </w:r>
      <w:r w:rsidR="00881DD9" w:rsidRPr="00364D88">
        <w:rPr>
          <w:rFonts w:ascii="Arial" w:hAnsi="Arial"/>
          <w:b/>
          <w:lang w:val="en-GB"/>
        </w:rPr>
        <w:t>:</w:t>
      </w:r>
      <w:r w:rsidR="00881DD9" w:rsidRPr="00364D88">
        <w:rPr>
          <w:rFonts w:ascii="Arial" w:hAnsi="Arial"/>
          <w:lang w:val="en-GB"/>
        </w:rPr>
        <w:t xml:space="preserve"> </w:t>
      </w:r>
      <w:r w:rsidR="001A1B59" w:rsidRPr="00364D88">
        <w:rPr>
          <w:rFonts w:ascii="Arial" w:hAnsi="Arial"/>
          <w:b/>
          <w:lang w:val="en-GB"/>
        </w:rPr>
        <w:t>Contribution of climate, endogenous factors, community-weighted foliar nutrients and diversity on terrestrial C balance.</w:t>
      </w:r>
      <w:r w:rsidR="001A1B59" w:rsidRPr="00364D88">
        <w:rPr>
          <w:rFonts w:ascii="Arial" w:hAnsi="Arial"/>
          <w:lang w:val="en-GB"/>
        </w:rPr>
        <w:t xml:space="preserve"> Panel a shows the relative (R, within each model) and absolute (A) variance explained by four different type of variables (climate, endogenous</w:t>
      </w:r>
      <w:r w:rsidR="00E33650" w:rsidRPr="00364D88">
        <w:rPr>
          <w:rFonts w:ascii="Arial" w:hAnsi="Arial"/>
          <w:lang w:val="en-GB"/>
        </w:rPr>
        <w:t xml:space="preserve"> [site type, productivity]</w:t>
      </w:r>
      <w:r w:rsidR="001A1B59" w:rsidRPr="00364D88">
        <w:rPr>
          <w:rFonts w:ascii="Arial" w:hAnsi="Arial"/>
          <w:lang w:val="en-GB"/>
        </w:rPr>
        <w:t xml:space="preserve">, nutrients and diversity) for models with </w:t>
      </w:r>
      <w:r w:rsidR="001A1B59" w:rsidRPr="00364D88">
        <w:rPr>
          <w:rFonts w:ascii="Calibri" w:hAnsi="Calibri"/>
          <w:lang w:val="en-GB"/>
        </w:rPr>
        <w:t>Δ</w:t>
      </w:r>
      <w:r w:rsidR="001A1B59" w:rsidRPr="00364D88">
        <w:rPr>
          <w:rFonts w:ascii="Arial" w:hAnsi="Arial"/>
          <w:lang w:val="en-GB"/>
        </w:rPr>
        <w:t>AICc &lt; 4. Panel b shows the relative importance of the most relevant variables selected by the models</w:t>
      </w:r>
      <w:r w:rsidR="00B07783" w:rsidRPr="00364D88">
        <w:rPr>
          <w:rFonts w:ascii="Arial" w:hAnsi="Arial"/>
          <w:lang w:val="en-GB"/>
        </w:rPr>
        <w:t xml:space="preserve"> </w:t>
      </w:r>
      <w:r w:rsidR="00281D58" w:rsidRPr="00364D88">
        <w:rPr>
          <w:rFonts w:ascii="Arial" w:hAnsi="Arial"/>
          <w:lang w:val="en-GB"/>
        </w:rPr>
        <w:t>(</w:t>
      </w:r>
      <w:r w:rsidR="00C82683" w:rsidRPr="00364D88">
        <w:rPr>
          <w:rFonts w:ascii="Arial" w:hAnsi="Arial"/>
          <w:lang w:val="en-GB"/>
        </w:rPr>
        <w:t xml:space="preserve">at least one relationship with </w:t>
      </w:r>
      <w:r w:rsidR="00281D58" w:rsidRPr="00364D88">
        <w:rPr>
          <w:rFonts w:ascii="Arial" w:hAnsi="Arial"/>
          <w:lang w:val="en-GB"/>
        </w:rPr>
        <w:t xml:space="preserve">relative importance &gt; 0.5) </w:t>
      </w:r>
      <w:r w:rsidR="00B07783" w:rsidRPr="00364D88">
        <w:rPr>
          <w:rFonts w:ascii="Arial" w:hAnsi="Arial"/>
          <w:lang w:val="en-GB"/>
        </w:rPr>
        <w:t>and the direction of their effect</w:t>
      </w:r>
      <w:r w:rsidR="001A1B59" w:rsidRPr="00364D88">
        <w:rPr>
          <w:rFonts w:ascii="Arial" w:hAnsi="Arial"/>
          <w:lang w:val="en-GB"/>
        </w:rPr>
        <w:t>.</w:t>
      </w:r>
      <w:r w:rsidR="00C82683" w:rsidRPr="00364D88">
        <w:rPr>
          <w:rFonts w:ascii="Arial" w:hAnsi="Arial"/>
          <w:lang w:val="en-GB"/>
        </w:rPr>
        <w:t xml:space="preserve"> Empty and filled dots indicate, respectively, </w:t>
      </w:r>
      <w:r w:rsidR="00C82683" w:rsidRPr="00364D88">
        <w:rPr>
          <w:rFonts w:ascii="Arial" w:hAnsi="Arial"/>
          <w:i/>
          <w:lang w:val="en-GB"/>
        </w:rPr>
        <w:t>P</w:t>
      </w:r>
      <w:r w:rsidR="00C82683" w:rsidRPr="00364D88">
        <w:rPr>
          <w:rFonts w:ascii="Arial" w:hAnsi="Arial"/>
          <w:lang w:val="en-GB"/>
        </w:rPr>
        <w:t xml:space="preserve">&lt;0.1 and </w:t>
      </w:r>
      <w:r w:rsidR="00C82683" w:rsidRPr="00364D88">
        <w:rPr>
          <w:rFonts w:ascii="Arial" w:hAnsi="Arial"/>
          <w:i/>
          <w:lang w:val="en-GB"/>
        </w:rPr>
        <w:t>P</w:t>
      </w:r>
      <w:r w:rsidR="00C82683" w:rsidRPr="00364D88">
        <w:rPr>
          <w:rFonts w:ascii="Arial" w:hAnsi="Arial"/>
          <w:lang w:val="en-GB"/>
        </w:rPr>
        <w:t xml:space="preserve">&lt;0.05 in the average model (see </w:t>
      </w:r>
      <w:r w:rsidR="00C82683" w:rsidRPr="00364D88">
        <w:rPr>
          <w:rFonts w:ascii="Arial" w:hAnsi="Arial"/>
          <w:b/>
          <w:lang w:val="en-GB"/>
        </w:rPr>
        <w:t xml:space="preserve">Supplementary </w:t>
      </w:r>
      <w:r w:rsidR="00B9438B">
        <w:rPr>
          <w:rFonts w:ascii="Arial" w:hAnsi="Arial"/>
          <w:b/>
          <w:lang w:val="en-GB"/>
        </w:rPr>
        <w:t>Information</w:t>
      </w:r>
      <w:r w:rsidR="00C82683" w:rsidRPr="00364D88">
        <w:rPr>
          <w:rFonts w:ascii="Arial" w:hAnsi="Arial"/>
          <w:b/>
          <w:lang w:val="en-GB"/>
        </w:rPr>
        <w:t xml:space="preserve"> – Models</w:t>
      </w:r>
      <w:r w:rsidR="00C82683" w:rsidRPr="00364D88">
        <w:rPr>
          <w:rFonts w:ascii="Arial" w:hAnsi="Arial"/>
          <w:lang w:val="en-GB"/>
        </w:rPr>
        <w:t>).</w:t>
      </w:r>
      <w:r w:rsidR="00DA6295" w:rsidRPr="00364D88">
        <w:rPr>
          <w:rFonts w:ascii="Arial" w:hAnsi="Arial"/>
          <w:lang w:val="en-GB"/>
        </w:rPr>
        <w:t xml:space="preserve"> </w:t>
      </w:r>
      <w:r w:rsidR="00DA6295" w:rsidRPr="00364D88">
        <w:rPr>
          <w:rFonts w:ascii="Arial" w:hAnsi="Arial"/>
          <w:i/>
          <w:lang w:val="en-GB"/>
        </w:rPr>
        <w:t>Acronyms</w:t>
      </w:r>
      <w:r w:rsidR="00DA6295" w:rsidRPr="00364D88">
        <w:rPr>
          <w:rFonts w:ascii="Arial" w:hAnsi="Arial"/>
          <w:lang w:val="en-GB"/>
        </w:rPr>
        <w:t>: gross primary production (GPP), ecosystem respiration (Re), net primary production (NEP)</w:t>
      </w:r>
      <w:r w:rsidR="00BB4739" w:rsidRPr="00364D88">
        <w:rPr>
          <w:rFonts w:ascii="Arial" w:hAnsi="Arial"/>
          <w:lang w:val="en-GB"/>
        </w:rPr>
        <w:t>, mean annual precipitation (MAP), mean annual temperature (MAT)</w:t>
      </w:r>
      <w:r w:rsidR="00E0744A" w:rsidRPr="00364D88">
        <w:rPr>
          <w:rFonts w:ascii="Arial" w:hAnsi="Arial"/>
          <w:lang w:val="en-GB"/>
        </w:rPr>
        <w:t>, interannual variability (IAV)</w:t>
      </w:r>
      <w:r w:rsidR="001D52D8" w:rsidRPr="00364D88">
        <w:rPr>
          <w:rFonts w:ascii="Arial" w:hAnsi="Arial"/>
          <w:lang w:val="en-GB"/>
        </w:rPr>
        <w:t xml:space="preserve"> and</w:t>
      </w:r>
      <w:r w:rsidR="00E0744A" w:rsidRPr="00364D88">
        <w:rPr>
          <w:rFonts w:ascii="Arial" w:hAnsi="Arial"/>
          <w:lang w:val="en-GB"/>
        </w:rPr>
        <w:t xml:space="preserve"> species diversity (Diversity</w:t>
      </w:r>
      <w:r w:rsidR="00E0744A" w:rsidRPr="00364D88">
        <w:rPr>
          <w:rFonts w:ascii="Arial" w:hAnsi="Arial"/>
          <w:vertAlign w:val="subscript"/>
          <w:lang w:val="en-GB"/>
        </w:rPr>
        <w:t>Sp</w:t>
      </w:r>
      <w:r w:rsidR="00E0744A" w:rsidRPr="00364D88">
        <w:rPr>
          <w:rFonts w:ascii="Arial" w:hAnsi="Arial"/>
          <w:lang w:val="en-GB"/>
        </w:rPr>
        <w:t>).</w:t>
      </w:r>
    </w:p>
    <w:p w14:paraId="13E32353" w14:textId="761907A2" w:rsidR="00ED3336" w:rsidRDefault="00ED3336" w:rsidP="00ED3336">
      <w:pPr>
        <w:spacing w:line="360" w:lineRule="auto"/>
        <w:jc w:val="both"/>
        <w:outlineLvl w:val="0"/>
        <w:rPr>
          <w:rFonts w:ascii="Arial" w:hAnsi="Arial"/>
          <w:lang w:val="en-GB"/>
        </w:rPr>
      </w:pPr>
      <w:r w:rsidRPr="00364D88">
        <w:rPr>
          <w:rFonts w:ascii="Arial" w:hAnsi="Arial"/>
          <w:b/>
          <w:lang w:val="en-GB"/>
        </w:rPr>
        <w:t>Figure 2:</w:t>
      </w:r>
      <w:r w:rsidRPr="00364D88">
        <w:rPr>
          <w:rFonts w:ascii="Arial" w:hAnsi="Arial"/>
          <w:lang w:val="en-GB"/>
        </w:rPr>
        <w:t xml:space="preserve"> </w:t>
      </w:r>
      <w:r w:rsidRPr="00364D88">
        <w:rPr>
          <w:rFonts w:ascii="Arial" w:hAnsi="Arial"/>
          <w:b/>
          <w:lang w:val="en-GB"/>
        </w:rPr>
        <w:t xml:space="preserve">Partial residuals plots showing the </w:t>
      </w:r>
      <w:r w:rsidR="00152528" w:rsidRPr="00364D88">
        <w:rPr>
          <w:rFonts w:ascii="Arial" w:hAnsi="Arial"/>
          <w:b/>
          <w:lang w:val="en-GB"/>
        </w:rPr>
        <w:t>predictors of interannual variability in</w:t>
      </w:r>
      <w:r w:rsidRPr="00364D88">
        <w:rPr>
          <w:rFonts w:ascii="Arial" w:hAnsi="Arial"/>
          <w:b/>
          <w:lang w:val="en-GB"/>
        </w:rPr>
        <w:t xml:space="preserve"> annual fluxes</w:t>
      </w:r>
      <w:r w:rsidRPr="00364D88">
        <w:rPr>
          <w:rFonts w:ascii="Arial" w:hAnsi="Arial"/>
          <w:lang w:val="en-GB"/>
        </w:rPr>
        <w:t xml:space="preserve">. </w:t>
      </w:r>
      <w:r w:rsidR="000479A4" w:rsidRPr="00364D88">
        <w:rPr>
          <w:rFonts w:ascii="Arial" w:hAnsi="Arial"/>
          <w:lang w:val="en-GB"/>
        </w:rPr>
        <w:t>Y-axes in p</w:t>
      </w:r>
      <w:r w:rsidR="0074228D" w:rsidRPr="00364D88">
        <w:rPr>
          <w:rFonts w:ascii="Arial" w:hAnsi="Arial"/>
          <w:lang w:val="en-GB"/>
        </w:rPr>
        <w:t xml:space="preserve">anels a and d </w:t>
      </w:r>
      <w:r w:rsidR="00301914" w:rsidRPr="00364D88">
        <w:rPr>
          <w:rFonts w:ascii="Arial" w:hAnsi="Arial"/>
          <w:lang w:val="en-GB"/>
        </w:rPr>
        <w:t>show</w:t>
      </w:r>
      <w:r w:rsidR="0074228D" w:rsidRPr="00364D88">
        <w:rPr>
          <w:rFonts w:ascii="Arial" w:hAnsi="Arial"/>
          <w:lang w:val="en-GB"/>
        </w:rPr>
        <w:t xml:space="preserve"> GPP</w:t>
      </w:r>
      <w:r w:rsidR="0074228D" w:rsidRPr="00364D88">
        <w:rPr>
          <w:rFonts w:ascii="Arial" w:hAnsi="Arial"/>
          <w:vertAlign w:val="subscript"/>
          <w:lang w:val="en-GB"/>
        </w:rPr>
        <w:t>IAV</w:t>
      </w:r>
      <w:r w:rsidR="0074228D" w:rsidRPr="00364D88">
        <w:rPr>
          <w:rFonts w:ascii="Arial" w:hAnsi="Arial"/>
          <w:lang w:val="en-GB"/>
        </w:rPr>
        <w:t xml:space="preserve">, panels </w:t>
      </w:r>
      <w:r w:rsidR="001A48AF" w:rsidRPr="00364D88">
        <w:rPr>
          <w:rFonts w:ascii="Arial" w:hAnsi="Arial"/>
          <w:lang w:val="en-GB"/>
        </w:rPr>
        <w:t>b</w:t>
      </w:r>
      <w:r w:rsidR="0074228D" w:rsidRPr="00364D88">
        <w:rPr>
          <w:rFonts w:ascii="Arial" w:hAnsi="Arial"/>
          <w:lang w:val="en-GB"/>
        </w:rPr>
        <w:t xml:space="preserve"> and </w:t>
      </w:r>
      <w:r w:rsidR="001A48AF" w:rsidRPr="00364D88">
        <w:rPr>
          <w:rFonts w:ascii="Arial" w:hAnsi="Arial"/>
          <w:lang w:val="en-GB"/>
        </w:rPr>
        <w:t>e</w:t>
      </w:r>
      <w:r w:rsidR="0074228D" w:rsidRPr="00364D88">
        <w:rPr>
          <w:rFonts w:ascii="Arial" w:hAnsi="Arial"/>
          <w:lang w:val="en-GB"/>
        </w:rPr>
        <w:t xml:space="preserve"> </w:t>
      </w:r>
      <w:r w:rsidR="00301914" w:rsidRPr="00364D88">
        <w:rPr>
          <w:rFonts w:ascii="Arial" w:hAnsi="Arial"/>
          <w:lang w:val="en-GB"/>
        </w:rPr>
        <w:t>show</w:t>
      </w:r>
      <w:r w:rsidR="0074228D" w:rsidRPr="00364D88">
        <w:rPr>
          <w:rFonts w:ascii="Arial" w:hAnsi="Arial"/>
          <w:lang w:val="en-GB"/>
        </w:rPr>
        <w:t xml:space="preserve"> </w:t>
      </w:r>
      <w:r w:rsidR="000479A4" w:rsidRPr="00364D88">
        <w:rPr>
          <w:rFonts w:ascii="Arial" w:hAnsi="Arial"/>
          <w:lang w:val="en-GB"/>
        </w:rPr>
        <w:t>Re</w:t>
      </w:r>
      <w:r w:rsidR="000479A4" w:rsidRPr="00364D88">
        <w:rPr>
          <w:rFonts w:ascii="Arial" w:hAnsi="Arial"/>
          <w:vertAlign w:val="subscript"/>
          <w:lang w:val="en-GB"/>
        </w:rPr>
        <w:t>IAV</w:t>
      </w:r>
      <w:r w:rsidR="0074228D" w:rsidRPr="00364D88">
        <w:rPr>
          <w:rFonts w:ascii="Arial" w:hAnsi="Arial"/>
          <w:lang w:val="en-GB"/>
        </w:rPr>
        <w:t xml:space="preserve">, and panels c and f </w:t>
      </w:r>
      <w:r w:rsidR="00301914" w:rsidRPr="00364D88">
        <w:rPr>
          <w:rFonts w:ascii="Arial" w:hAnsi="Arial"/>
          <w:lang w:val="en-GB"/>
        </w:rPr>
        <w:t>show</w:t>
      </w:r>
      <w:r w:rsidR="000479A4" w:rsidRPr="00364D88">
        <w:rPr>
          <w:rFonts w:ascii="Arial" w:hAnsi="Arial"/>
          <w:lang w:val="en-GB"/>
        </w:rPr>
        <w:t xml:space="preserve"> NEP</w:t>
      </w:r>
      <w:r w:rsidR="000479A4" w:rsidRPr="00364D88">
        <w:rPr>
          <w:rFonts w:ascii="Arial" w:hAnsi="Arial"/>
          <w:vertAlign w:val="subscript"/>
          <w:lang w:val="en-GB"/>
        </w:rPr>
        <w:t>IAV</w:t>
      </w:r>
      <w:r w:rsidR="0074228D" w:rsidRPr="00364D88">
        <w:rPr>
          <w:rFonts w:ascii="Arial" w:hAnsi="Arial"/>
          <w:lang w:val="en-GB"/>
        </w:rPr>
        <w:t xml:space="preserve">. </w:t>
      </w:r>
      <w:r w:rsidRPr="00364D88">
        <w:rPr>
          <w:rFonts w:ascii="Arial" w:hAnsi="Arial"/>
          <w:i/>
          <w:lang w:val="en-GB"/>
        </w:rPr>
        <w:t>Acronyms</w:t>
      </w:r>
      <w:r w:rsidRPr="00364D88">
        <w:rPr>
          <w:rFonts w:ascii="Arial" w:hAnsi="Arial"/>
          <w:lang w:val="en-GB"/>
        </w:rPr>
        <w:t xml:space="preserve">: gross primary production (GPP), ecosystem respiration (Re), net primary production (NEP), </w:t>
      </w:r>
      <w:r w:rsidR="00237C01" w:rsidRPr="00364D88">
        <w:rPr>
          <w:rFonts w:ascii="Arial" w:hAnsi="Arial"/>
          <w:lang w:val="en-GB"/>
        </w:rPr>
        <w:t>proportional variability (PV)</w:t>
      </w:r>
      <w:r w:rsidR="00152528" w:rsidRPr="00364D88">
        <w:rPr>
          <w:rFonts w:ascii="Arial" w:hAnsi="Arial"/>
          <w:lang w:val="en-GB"/>
        </w:rPr>
        <w:t>, mean annual temperature (MAT), mean annual precipitation (MAP), interannual variability (IAV), proportional variability (PV)</w:t>
      </w:r>
      <w:r w:rsidR="00237C01" w:rsidRPr="00364D88">
        <w:rPr>
          <w:rFonts w:ascii="Arial" w:hAnsi="Arial"/>
          <w:lang w:val="en-GB"/>
        </w:rPr>
        <w:t>.</w:t>
      </w:r>
      <w:r w:rsidRPr="00364D88">
        <w:rPr>
          <w:rFonts w:ascii="Arial" w:hAnsi="Arial"/>
          <w:lang w:val="en-GB"/>
        </w:rPr>
        <w:t xml:space="preserve"> </w:t>
      </w:r>
    </w:p>
    <w:p w14:paraId="15624C91" w14:textId="77777777" w:rsidR="00A94970" w:rsidRDefault="00A94970" w:rsidP="00A94970">
      <w:pPr>
        <w:spacing w:line="360" w:lineRule="auto"/>
        <w:jc w:val="both"/>
        <w:outlineLvl w:val="0"/>
        <w:rPr>
          <w:rFonts w:ascii="Arial" w:hAnsi="Arial"/>
          <w:lang w:val="en-GB"/>
        </w:rPr>
      </w:pPr>
      <w:r w:rsidRPr="00364D88">
        <w:rPr>
          <w:rFonts w:ascii="Arial" w:hAnsi="Arial"/>
          <w:b/>
          <w:lang w:val="en-GB"/>
        </w:rPr>
        <w:t>Figure 3:</w:t>
      </w:r>
      <w:r w:rsidRPr="00364D88">
        <w:rPr>
          <w:rFonts w:ascii="Arial" w:hAnsi="Arial"/>
          <w:lang w:val="en-GB"/>
        </w:rPr>
        <w:t xml:space="preserve"> </w:t>
      </w:r>
      <w:r w:rsidRPr="00364D88">
        <w:rPr>
          <w:rFonts w:ascii="Arial" w:hAnsi="Arial"/>
          <w:b/>
          <w:lang w:val="en-GB"/>
        </w:rPr>
        <w:t>Partial residual plots showing the effect of the interaction between foliar N and P concentrations on C fluxes</w:t>
      </w:r>
      <w:r w:rsidRPr="00364D88">
        <w:rPr>
          <w:rFonts w:ascii="Arial" w:hAnsi="Arial"/>
          <w:lang w:val="en-GB"/>
        </w:rPr>
        <w:t xml:space="preserve">. Models can be found in </w:t>
      </w:r>
      <w:r w:rsidRPr="00364D88">
        <w:rPr>
          <w:rFonts w:ascii="Arial" w:hAnsi="Arial"/>
          <w:b/>
          <w:lang w:val="en-GB"/>
        </w:rPr>
        <w:t>Supplementary Information</w:t>
      </w:r>
      <w:r w:rsidRPr="00364D88">
        <w:rPr>
          <w:rFonts w:ascii="Arial" w:hAnsi="Arial"/>
          <w:lang w:val="en-GB"/>
        </w:rPr>
        <w:t xml:space="preserve">. Nutrient levels that are compared correspond to percentiles 20 and 80 in the nutrient concentration ranges. </w:t>
      </w:r>
      <w:r w:rsidRPr="00364D88">
        <w:rPr>
          <w:rFonts w:ascii="Arial" w:hAnsi="Arial"/>
          <w:i/>
          <w:lang w:val="en-GB"/>
        </w:rPr>
        <w:t>Acronyms</w:t>
      </w:r>
      <w:r w:rsidRPr="00364D88">
        <w:rPr>
          <w:rFonts w:ascii="Arial" w:hAnsi="Arial"/>
          <w:lang w:val="en-GB"/>
        </w:rPr>
        <w:t xml:space="preserve">: gross primary production (GPP), ecosystem respiration (Re), net primary production (NEP) and dry weight (DW). </w:t>
      </w:r>
    </w:p>
    <w:p w14:paraId="3946C95D" w14:textId="17A9D6C9" w:rsidR="00A94970" w:rsidRDefault="00A94970" w:rsidP="00ED3336">
      <w:pPr>
        <w:spacing w:line="360" w:lineRule="auto"/>
        <w:jc w:val="both"/>
        <w:outlineLvl w:val="0"/>
        <w:rPr>
          <w:rFonts w:ascii="Arial" w:hAnsi="Arial"/>
          <w:lang w:val="en-GB"/>
        </w:rPr>
      </w:pPr>
      <w:r w:rsidRPr="00364D88">
        <w:rPr>
          <w:rFonts w:ascii="Arial" w:hAnsi="Arial"/>
          <w:b/>
          <w:lang w:val="en-GB"/>
        </w:rPr>
        <w:t>Figure 4:</w:t>
      </w:r>
      <w:r w:rsidRPr="00364D88">
        <w:rPr>
          <w:rFonts w:ascii="Arial" w:hAnsi="Arial"/>
          <w:lang w:val="en-GB"/>
        </w:rPr>
        <w:t xml:space="preserve"> </w:t>
      </w:r>
      <w:r w:rsidRPr="00364D88">
        <w:rPr>
          <w:rFonts w:ascii="Arial" w:hAnsi="Arial"/>
          <w:b/>
          <w:lang w:val="en-GB"/>
        </w:rPr>
        <w:t>Contribution of climate, endogenous factors, community-weighted foliar nutrients and diversity on ecosystem carbon-use efficiency (CUEe).</w:t>
      </w:r>
      <w:r w:rsidRPr="00364D88">
        <w:rPr>
          <w:rFonts w:ascii="Arial" w:hAnsi="Arial"/>
          <w:lang w:val="en-GB"/>
        </w:rPr>
        <w:t xml:space="preserve"> Panel a shows the relative (R, within each model) and absolute (A) variance explained by four different type of variables (climate, endogenous [site type, productivity], nutrients and diversity) for models with </w:t>
      </w:r>
      <w:r w:rsidRPr="00364D88">
        <w:rPr>
          <w:rFonts w:ascii="Calibri" w:hAnsi="Calibri"/>
          <w:lang w:val="en-GB"/>
        </w:rPr>
        <w:t>Δ</w:t>
      </w:r>
      <w:r w:rsidRPr="00364D88">
        <w:rPr>
          <w:rFonts w:ascii="Arial" w:hAnsi="Arial"/>
          <w:lang w:val="en-GB"/>
        </w:rPr>
        <w:t xml:space="preserve">AICc &lt; 4. Panel b shows the relative importance of the most relevant variables selected by the models (at least one relationship with relative importance &gt; 0.5) and the direction of their effect. Empty and filled dots indicate, respectively, </w:t>
      </w:r>
      <w:r w:rsidRPr="00364D88">
        <w:rPr>
          <w:rFonts w:ascii="Arial" w:hAnsi="Arial"/>
          <w:i/>
          <w:lang w:val="en-GB"/>
        </w:rPr>
        <w:t>P</w:t>
      </w:r>
      <w:r w:rsidRPr="00364D88">
        <w:rPr>
          <w:rFonts w:ascii="Arial" w:hAnsi="Arial"/>
          <w:lang w:val="en-GB"/>
        </w:rPr>
        <w:t xml:space="preserve">&lt;0.1 and </w:t>
      </w:r>
      <w:r w:rsidRPr="00364D88">
        <w:rPr>
          <w:rFonts w:ascii="Arial" w:hAnsi="Arial"/>
          <w:i/>
          <w:lang w:val="en-GB"/>
        </w:rPr>
        <w:t>P</w:t>
      </w:r>
      <w:r w:rsidRPr="00364D88">
        <w:rPr>
          <w:rFonts w:ascii="Arial" w:hAnsi="Arial"/>
          <w:lang w:val="en-GB"/>
        </w:rPr>
        <w:t xml:space="preserve">&lt;0.05 in the average model (see </w:t>
      </w:r>
      <w:r w:rsidRPr="00364D88">
        <w:rPr>
          <w:rFonts w:ascii="Arial" w:hAnsi="Arial"/>
          <w:b/>
          <w:lang w:val="en-GB"/>
        </w:rPr>
        <w:t xml:space="preserve">Supplementary </w:t>
      </w:r>
      <w:r>
        <w:rPr>
          <w:rFonts w:ascii="Arial" w:hAnsi="Arial"/>
          <w:b/>
          <w:lang w:val="en-GB"/>
        </w:rPr>
        <w:t>Information</w:t>
      </w:r>
      <w:r w:rsidRPr="00364D88">
        <w:rPr>
          <w:rFonts w:ascii="Arial" w:hAnsi="Arial"/>
          <w:b/>
          <w:lang w:val="en-GB"/>
        </w:rPr>
        <w:t xml:space="preserve"> – Models</w:t>
      </w:r>
      <w:r w:rsidRPr="00364D88">
        <w:rPr>
          <w:rFonts w:ascii="Arial" w:hAnsi="Arial"/>
          <w:lang w:val="en-GB"/>
        </w:rPr>
        <w:t xml:space="preserve">). Panel c show partial residuals plots showing differences in CUEe amongst ecosystem types. </w:t>
      </w:r>
      <w:r w:rsidRPr="00364D88">
        <w:rPr>
          <w:rFonts w:ascii="Arial" w:hAnsi="Arial"/>
          <w:i/>
          <w:lang w:val="en-GB"/>
        </w:rPr>
        <w:t>Acronyms</w:t>
      </w:r>
      <w:r w:rsidRPr="00364D88">
        <w:rPr>
          <w:rFonts w:ascii="Arial" w:hAnsi="Arial"/>
          <w:lang w:val="en-GB"/>
        </w:rPr>
        <w:t xml:space="preserve">: gross primary production (GPP), ecosystem respiration (Re), net primary production (NEP), mean annual precipitation </w:t>
      </w:r>
      <w:r w:rsidRPr="00364D88">
        <w:rPr>
          <w:rFonts w:ascii="Arial" w:hAnsi="Arial"/>
          <w:lang w:val="en-GB"/>
        </w:rPr>
        <w:lastRenderedPageBreak/>
        <w:t>(MAP), mean annual temperature (MAT), interannual variability (IAV) and savannas, shrublands and grasslands (SSG).</w:t>
      </w:r>
    </w:p>
    <w:p w14:paraId="7DE3BDD9" w14:textId="77777777" w:rsidR="00A94970" w:rsidRDefault="00A94970" w:rsidP="00ED3336">
      <w:pPr>
        <w:spacing w:line="360" w:lineRule="auto"/>
        <w:jc w:val="both"/>
        <w:outlineLvl w:val="0"/>
        <w:rPr>
          <w:rFonts w:ascii="Arial" w:hAnsi="Arial"/>
          <w:lang w:val="en-GB"/>
        </w:rPr>
      </w:pPr>
    </w:p>
    <w:p w14:paraId="771E523E" w14:textId="77777777" w:rsidR="00A94970" w:rsidRDefault="00A94970" w:rsidP="00ED3336">
      <w:pPr>
        <w:spacing w:line="360" w:lineRule="auto"/>
        <w:jc w:val="both"/>
        <w:outlineLvl w:val="0"/>
        <w:rPr>
          <w:rFonts w:ascii="Arial" w:hAnsi="Arial"/>
          <w:b/>
          <w:lang w:val="en-GB"/>
        </w:rPr>
      </w:pPr>
      <w:r>
        <w:rPr>
          <w:rFonts w:ascii="Arial" w:hAnsi="Arial"/>
          <w:b/>
          <w:lang w:val="en-GB"/>
        </w:rPr>
        <w:br w:type="page"/>
      </w:r>
    </w:p>
    <w:p w14:paraId="51F0AB6C" w14:textId="0EE15FA1" w:rsidR="00A94970" w:rsidRPr="00A94970" w:rsidRDefault="00A94970" w:rsidP="00ED3336">
      <w:pPr>
        <w:spacing w:line="360" w:lineRule="auto"/>
        <w:jc w:val="both"/>
        <w:outlineLvl w:val="0"/>
        <w:rPr>
          <w:rFonts w:ascii="Arial" w:hAnsi="Arial"/>
          <w:b/>
          <w:lang w:val="en-GB"/>
        </w:rPr>
      </w:pPr>
      <w:r w:rsidRPr="00A94970">
        <w:rPr>
          <w:rFonts w:ascii="Arial" w:hAnsi="Arial"/>
          <w:b/>
          <w:lang w:val="en-GB"/>
        </w:rPr>
        <w:lastRenderedPageBreak/>
        <w:t>Figure 1</w:t>
      </w:r>
    </w:p>
    <w:p w14:paraId="487E86B0" w14:textId="60C42FC2" w:rsidR="00A94970" w:rsidRPr="00364D88" w:rsidRDefault="00325913" w:rsidP="00ED3336">
      <w:pPr>
        <w:spacing w:line="360" w:lineRule="auto"/>
        <w:jc w:val="both"/>
        <w:outlineLvl w:val="0"/>
        <w:rPr>
          <w:rFonts w:ascii="Arial" w:hAnsi="Arial"/>
          <w:b/>
          <w:lang w:val="en-GB"/>
        </w:rPr>
      </w:pPr>
      <w:r>
        <w:rPr>
          <w:rFonts w:ascii="Arial" w:hAnsi="Arial"/>
          <w:b/>
          <w:noProof/>
          <w:lang w:eastAsia="ca-ES"/>
        </w:rPr>
        <w:pict w14:anchorId="14D0D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9pt;height:223.1pt">
            <v:imagedata r:id="rId10" o:title="figure 1_varexp_allsites"/>
          </v:shape>
        </w:pict>
      </w:r>
    </w:p>
    <w:p w14:paraId="5B9F2EF9" w14:textId="77777777" w:rsidR="00B6314B" w:rsidRDefault="00B6314B" w:rsidP="00ED3336">
      <w:pPr>
        <w:spacing w:line="360" w:lineRule="auto"/>
        <w:jc w:val="both"/>
        <w:rPr>
          <w:rFonts w:ascii="Arial" w:hAnsi="Arial" w:cs="Arial"/>
          <w:b/>
          <w:noProof/>
          <w:sz w:val="24"/>
          <w:lang w:eastAsia="ca-ES"/>
        </w:rPr>
      </w:pPr>
      <w:r>
        <w:rPr>
          <w:rFonts w:ascii="Arial" w:hAnsi="Arial" w:cs="Arial"/>
          <w:b/>
          <w:noProof/>
          <w:sz w:val="24"/>
          <w:lang w:eastAsia="ca-ES"/>
        </w:rPr>
        <w:br w:type="page"/>
      </w:r>
    </w:p>
    <w:p w14:paraId="72636C02" w14:textId="049ED006" w:rsidR="00A94970" w:rsidRDefault="00A94970" w:rsidP="00ED3336">
      <w:pPr>
        <w:spacing w:line="360" w:lineRule="auto"/>
        <w:jc w:val="both"/>
        <w:rPr>
          <w:rFonts w:ascii="Arial" w:hAnsi="Arial" w:cs="Arial"/>
          <w:b/>
          <w:noProof/>
          <w:sz w:val="24"/>
          <w:lang w:eastAsia="ca-ES"/>
        </w:rPr>
      </w:pPr>
      <w:r>
        <w:rPr>
          <w:rFonts w:ascii="Arial" w:hAnsi="Arial" w:cs="Arial"/>
          <w:b/>
          <w:noProof/>
          <w:sz w:val="24"/>
          <w:lang w:eastAsia="ca-ES"/>
        </w:rPr>
        <w:lastRenderedPageBreak/>
        <w:t>Figure 2</w:t>
      </w:r>
    </w:p>
    <w:p w14:paraId="1A4FBC88" w14:textId="2B242DDD" w:rsidR="00ED3336" w:rsidRPr="00364D88" w:rsidRDefault="00325913" w:rsidP="00ED3336">
      <w:pPr>
        <w:spacing w:line="360" w:lineRule="auto"/>
        <w:jc w:val="both"/>
        <w:rPr>
          <w:rFonts w:ascii="Arial" w:hAnsi="Arial" w:cs="Arial"/>
          <w:b/>
          <w:noProof/>
          <w:sz w:val="24"/>
          <w:lang w:eastAsia="ca-ES"/>
        </w:rPr>
      </w:pPr>
      <w:r>
        <w:rPr>
          <w:rFonts w:ascii="Arial" w:hAnsi="Arial" w:cs="Arial"/>
          <w:b/>
          <w:noProof/>
          <w:sz w:val="24"/>
          <w:lang w:eastAsia="ca-ES"/>
        </w:rPr>
        <w:pict w14:anchorId="28850104">
          <v:shape id="_x0000_i1026" type="#_x0000_t75" style="width:424.9pt;height:296.2pt">
            <v:imagedata r:id="rId11" o:title="Figure_flux_iav"/>
          </v:shape>
        </w:pict>
      </w:r>
    </w:p>
    <w:p w14:paraId="28130354" w14:textId="732B9CCB" w:rsidR="00DA6295" w:rsidRPr="00364D88" w:rsidRDefault="00ED3336" w:rsidP="00EA7435">
      <w:pPr>
        <w:spacing w:line="360" w:lineRule="auto"/>
        <w:outlineLvl w:val="0"/>
        <w:rPr>
          <w:rFonts w:ascii="Arial" w:hAnsi="Arial"/>
          <w:b/>
          <w:lang w:val="en-GB"/>
        </w:rPr>
      </w:pPr>
      <w:r w:rsidRPr="00364D88">
        <w:rPr>
          <w:rFonts w:ascii="Arial" w:hAnsi="Arial"/>
          <w:b/>
          <w:lang w:val="en-GB"/>
        </w:rPr>
        <w:br w:type="page"/>
      </w:r>
    </w:p>
    <w:p w14:paraId="3222C425" w14:textId="610778AF" w:rsidR="00A94970" w:rsidRPr="00A94970" w:rsidRDefault="00A94970" w:rsidP="00306F01">
      <w:pPr>
        <w:spacing w:line="360" w:lineRule="auto"/>
        <w:jc w:val="both"/>
        <w:outlineLvl w:val="0"/>
        <w:rPr>
          <w:rFonts w:ascii="Arial" w:hAnsi="Arial"/>
          <w:b/>
          <w:lang w:val="en-GB"/>
        </w:rPr>
      </w:pPr>
      <w:r w:rsidRPr="00A94970">
        <w:rPr>
          <w:rFonts w:ascii="Arial" w:hAnsi="Arial"/>
          <w:b/>
          <w:lang w:val="en-GB"/>
        </w:rPr>
        <w:lastRenderedPageBreak/>
        <w:t>Figure 3</w:t>
      </w:r>
    </w:p>
    <w:p w14:paraId="06BED0FF" w14:textId="7242BDB7" w:rsidR="007048F9" w:rsidRPr="00364D88" w:rsidRDefault="00325913" w:rsidP="00306F01">
      <w:pPr>
        <w:spacing w:line="360" w:lineRule="auto"/>
        <w:jc w:val="both"/>
        <w:outlineLvl w:val="0"/>
        <w:rPr>
          <w:rFonts w:ascii="Arial" w:hAnsi="Arial"/>
          <w:b/>
          <w:lang w:val="en-GB"/>
        </w:rPr>
      </w:pPr>
      <w:r>
        <w:rPr>
          <w:rFonts w:ascii="Arial" w:hAnsi="Arial"/>
          <w:lang w:val="en-GB"/>
        </w:rPr>
        <w:pict w14:anchorId="26533C7D">
          <v:shape id="_x0000_i1027" type="#_x0000_t75" style="width:424.9pt;height:579.8pt">
            <v:imagedata r:id="rId12" o:title="Figure_3"/>
          </v:shape>
        </w:pict>
      </w:r>
    </w:p>
    <w:p w14:paraId="6BD3ECB7" w14:textId="4F18D7DC" w:rsidR="005A3613" w:rsidRDefault="003A156A" w:rsidP="005A3613">
      <w:pPr>
        <w:spacing w:line="360" w:lineRule="auto"/>
        <w:jc w:val="both"/>
        <w:outlineLvl w:val="0"/>
        <w:rPr>
          <w:rFonts w:ascii="Arial" w:hAnsi="Arial"/>
          <w:lang w:val="en-GB"/>
        </w:rPr>
      </w:pPr>
      <w:r w:rsidRPr="00364D88">
        <w:rPr>
          <w:rFonts w:ascii="Arial" w:hAnsi="Arial"/>
          <w:b/>
          <w:sz w:val="28"/>
          <w:lang w:val="en-GB"/>
        </w:rPr>
        <w:br w:type="page"/>
      </w:r>
    </w:p>
    <w:p w14:paraId="3886602F" w14:textId="713D1237" w:rsidR="00A94970" w:rsidRPr="00A94970" w:rsidRDefault="00A94970" w:rsidP="005A3613">
      <w:pPr>
        <w:spacing w:line="360" w:lineRule="auto"/>
        <w:jc w:val="both"/>
        <w:outlineLvl w:val="0"/>
        <w:rPr>
          <w:rFonts w:ascii="Arial" w:hAnsi="Arial"/>
          <w:b/>
          <w:lang w:val="en-GB"/>
        </w:rPr>
      </w:pPr>
      <w:r w:rsidRPr="00A94970">
        <w:rPr>
          <w:rFonts w:ascii="Arial" w:hAnsi="Arial"/>
          <w:b/>
          <w:lang w:val="en-GB"/>
        </w:rPr>
        <w:lastRenderedPageBreak/>
        <w:t>Figure 4</w:t>
      </w:r>
    </w:p>
    <w:p w14:paraId="7EF94F6E" w14:textId="7AEDC04F" w:rsidR="00957932" w:rsidRDefault="00325913" w:rsidP="007A5FDE">
      <w:pPr>
        <w:spacing w:line="360" w:lineRule="auto"/>
        <w:outlineLvl w:val="0"/>
        <w:rPr>
          <w:rFonts w:ascii="Calibri" w:eastAsia="Times New Roman" w:hAnsi="Calibri" w:cs="Calibri"/>
          <w:b/>
          <w:bCs/>
          <w:color w:val="000000"/>
          <w:lang w:eastAsia="ca-ES"/>
        </w:rPr>
      </w:pPr>
      <w:r>
        <w:rPr>
          <w:rFonts w:ascii="Arial" w:hAnsi="Arial"/>
          <w:noProof/>
          <w:lang w:eastAsia="ca-ES"/>
        </w:rPr>
        <w:pict w14:anchorId="087B58BF">
          <v:shape id="_x0000_i1028" type="#_x0000_t75" style="width:424.35pt;height:231.8pt">
            <v:imagedata r:id="rId13" o:title="figure 4_varexp_cue"/>
          </v:shape>
        </w:pict>
      </w:r>
    </w:p>
    <w:sectPr w:rsidR="00957932" w:rsidSect="009326CF">
      <w:pgSz w:w="11906" w:h="16838"/>
      <w:pgMar w:top="1417" w:right="1701" w:bottom="1417" w:left="1701" w:header="708" w:footer="708" w:gutter="0"/>
      <w:lnNumType w:countBy="1" w:restart="continuous"/>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349951" w16cex:dateUtc="2020-04-05T15:52:00Z"/>
  <w16cex:commentExtensible w16cex:durableId="2234DB08" w16cex:dateUtc="2020-04-05T20:32:00Z"/>
  <w16cex:commentExtensible w16cex:durableId="22344D30" w16cex:dateUtc="2020-04-05T10:27:00Z"/>
  <w16cex:commentExtensible w16cex:durableId="22344DA0" w16cex:dateUtc="2020-04-05T10:29:00Z"/>
  <w16cex:commentExtensible w16cex:durableId="2234921A" w16cex:dateUtc="2020-04-05T15:21:00Z"/>
  <w16cex:commentExtensible w16cex:durableId="22344DD2" w16cex:dateUtc="2020-04-05T10:30:00Z"/>
  <w16cex:commentExtensible w16cex:durableId="2234928F" w16cex:dateUtc="2020-04-05T15:23:00Z"/>
  <w16cex:commentExtensible w16cex:durableId="22345530" w16cex:dateUtc="2020-04-05T11:01:00Z"/>
  <w16cex:commentExtensible w16cex:durableId="223455BC" w16cex:dateUtc="2020-04-05T11:03:00Z"/>
  <w16cex:commentExtensible w16cex:durableId="22345609" w16cex:dateUtc="2020-04-05T11:05:00Z"/>
  <w16cex:commentExtensible w16cex:durableId="223456A2" w16cex:dateUtc="2020-04-05T11:07:00Z"/>
  <w16cex:commentExtensible w16cex:durableId="22349D1F" w16cex:dateUtc="2020-04-05T16:08:00Z"/>
  <w16cex:commentExtensible w16cex:durableId="2234573C" w16cex:dateUtc="2020-04-05T11:10:00Z"/>
  <w16cex:commentExtensible w16cex:durableId="2234DD06" w16cex:dateUtc="2020-04-05T20:41:00Z"/>
  <w16cex:commentExtensible w16cex:durableId="22349F98" w16cex:dateUtc="2020-04-05T16:19:00Z"/>
  <w16cex:commentExtensible w16cex:durableId="2234A0AC" w16cex:dateUtc="2020-04-05T16:23:00Z"/>
  <w16cex:commentExtensible w16cex:durableId="22345B5B" w16cex:dateUtc="2020-04-05T11:27:00Z"/>
  <w16cex:commentExtensible w16cex:durableId="22345C1C" w16cex:dateUtc="2020-04-05T11:31:00Z"/>
  <w16cex:commentExtensible w16cex:durableId="2234A18D" w16cex:dateUtc="2020-04-05T16:27:00Z"/>
  <w16cex:commentExtensible w16cex:durableId="2234A230" w16cex:dateUtc="2020-04-05T16:30:00Z"/>
  <w16cex:commentExtensible w16cex:durableId="22348C28" w16cex:dateUtc="2020-04-05T14:56:00Z"/>
  <w16cex:commentExtensible w16cex:durableId="22348F40" w16cex:dateUtc="2020-04-05T15:09:00Z"/>
  <w16cex:commentExtensible w16cex:durableId="22348D0E" w16cex:dateUtc="2020-04-05T14:59:00Z"/>
  <w16cex:commentExtensible w16cex:durableId="2234914B" w16cex:dateUtc="2020-04-05T15: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24A4933" w16cid:durableId="22349951"/>
  <w16cid:commentId w16cid:paraId="4753EA20" w16cid:durableId="2234DB08"/>
  <w16cid:commentId w16cid:paraId="02587462" w16cid:durableId="22344D30"/>
  <w16cid:commentId w16cid:paraId="1706DF59" w16cid:durableId="22344DA0"/>
  <w16cid:commentId w16cid:paraId="79892E45" w16cid:durableId="2234921A"/>
  <w16cid:commentId w16cid:paraId="48D86846" w16cid:durableId="22344DD2"/>
  <w16cid:commentId w16cid:paraId="01CFC5D2" w16cid:durableId="2234928F"/>
  <w16cid:commentId w16cid:paraId="01CBE076" w16cid:durableId="22345530"/>
  <w16cid:commentId w16cid:paraId="5136464D" w16cid:durableId="223455BC"/>
  <w16cid:commentId w16cid:paraId="20FA45E7" w16cid:durableId="22345609"/>
  <w16cid:commentId w16cid:paraId="32E5CDCC" w16cid:durableId="223456A2"/>
  <w16cid:commentId w16cid:paraId="4F4771BC" w16cid:durableId="22349D1F"/>
  <w16cid:commentId w16cid:paraId="046A4615" w16cid:durableId="2234573C"/>
  <w16cid:commentId w16cid:paraId="642846F1" w16cid:durableId="2234DD06"/>
  <w16cid:commentId w16cid:paraId="625499ED" w16cid:durableId="22349F98"/>
  <w16cid:commentId w16cid:paraId="7897E655" w16cid:durableId="2234A0AC"/>
  <w16cid:commentId w16cid:paraId="20C93DB8" w16cid:durableId="22345B5B"/>
  <w16cid:commentId w16cid:paraId="07B0238F" w16cid:durableId="22345C1C"/>
  <w16cid:commentId w16cid:paraId="7B411B5E" w16cid:durableId="2234A18D"/>
  <w16cid:commentId w16cid:paraId="752B16EC" w16cid:durableId="2234A230"/>
  <w16cid:commentId w16cid:paraId="23DF86D8" w16cid:durableId="22348C28"/>
  <w16cid:commentId w16cid:paraId="7C76902E" w16cid:durableId="22348F40"/>
  <w16cid:commentId w16cid:paraId="1C3F3000" w16cid:durableId="22348D0E"/>
  <w16cid:commentId w16cid:paraId="49F23123" w16cid:durableId="2234914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F264C7" w14:textId="77777777" w:rsidR="003F5269" w:rsidRDefault="003F5269" w:rsidP="009E76D2">
      <w:pPr>
        <w:spacing w:after="0" w:line="240" w:lineRule="auto"/>
      </w:pPr>
      <w:r>
        <w:separator/>
      </w:r>
    </w:p>
  </w:endnote>
  <w:endnote w:type="continuationSeparator" w:id="0">
    <w:p w14:paraId="029D433B" w14:textId="77777777" w:rsidR="003F5269" w:rsidRDefault="003F5269" w:rsidP="009E7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EF2EEC" w14:textId="77777777" w:rsidR="003F5269" w:rsidRDefault="003F5269" w:rsidP="009E76D2">
      <w:pPr>
        <w:spacing w:after="0" w:line="240" w:lineRule="auto"/>
      </w:pPr>
      <w:r>
        <w:separator/>
      </w:r>
    </w:p>
  </w:footnote>
  <w:footnote w:type="continuationSeparator" w:id="0">
    <w:p w14:paraId="4CC35268" w14:textId="77777777" w:rsidR="003F5269" w:rsidRDefault="003F5269" w:rsidP="009E76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5175FE"/>
    <w:multiLevelType w:val="hybridMultilevel"/>
    <w:tmpl w:val="11AC5F9C"/>
    <w:lvl w:ilvl="0" w:tplc="3A2C39B4">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388D3471"/>
    <w:multiLevelType w:val="hybridMultilevel"/>
    <w:tmpl w:val="D1240BE4"/>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554B5B04"/>
    <w:multiLevelType w:val="hybridMultilevel"/>
    <w:tmpl w:val="19844F70"/>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hideSpellingErrors/>
  <w:hideGrammaticalErrors/>
  <w:activeWritingStyle w:appName="MSWord" w:lang="en-GB" w:vendorID="64" w:dllVersion="4096" w:nlCheck="1" w:checkStyle="0"/>
  <w:activeWritingStyle w:appName="MSWord" w:lang="en-GB" w:vendorID="64" w:dllVersion="6" w:nlCheck="1" w:checkStyle="0"/>
  <w:activeWritingStyle w:appName="MSWord" w:lang="es-ES" w:vendorID="64" w:dllVersion="6" w:nlCheck="1" w:checkStyle="0"/>
  <w:activeWritingStyle w:appName="MSWord" w:lang="en-US" w:vendorID="64" w:dllVersion="6" w:nlCheck="1" w:checkStyle="0"/>
  <w:activeWritingStyle w:appName="MSWord" w:lang="en-AU" w:vendorID="64" w:dllVersion="6" w:nlCheck="1" w:checkStyle="1"/>
  <w:activeWritingStyle w:appName="MSWord" w:lang="es-ES"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s-ES" w:vendorID="64" w:dllVersion="0" w:nlCheck="1" w:checkStyle="0"/>
  <w:activeWritingStyle w:appName="MSWord" w:lang="en-US" w:vendorID="64" w:dllVersion="0" w:nlCheck="1" w:checkStyle="0"/>
  <w:activeWritingStyle w:appName="MSWord" w:lang="en-GB"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en-ZA"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7B1"/>
    <w:rsid w:val="00000806"/>
    <w:rsid w:val="00001490"/>
    <w:rsid w:val="00004D28"/>
    <w:rsid w:val="000104F4"/>
    <w:rsid w:val="000115CD"/>
    <w:rsid w:val="000117DB"/>
    <w:rsid w:val="000120AB"/>
    <w:rsid w:val="00014D5B"/>
    <w:rsid w:val="00014DB9"/>
    <w:rsid w:val="000173F7"/>
    <w:rsid w:val="0002082C"/>
    <w:rsid w:val="00020B0A"/>
    <w:rsid w:val="000215F0"/>
    <w:rsid w:val="00024300"/>
    <w:rsid w:val="0002452E"/>
    <w:rsid w:val="00027280"/>
    <w:rsid w:val="00031AC1"/>
    <w:rsid w:val="00032B35"/>
    <w:rsid w:val="00033770"/>
    <w:rsid w:val="00033CAC"/>
    <w:rsid w:val="00034FA7"/>
    <w:rsid w:val="00035C00"/>
    <w:rsid w:val="000363F3"/>
    <w:rsid w:val="00041EF4"/>
    <w:rsid w:val="0004209C"/>
    <w:rsid w:val="00042C51"/>
    <w:rsid w:val="00043037"/>
    <w:rsid w:val="00043475"/>
    <w:rsid w:val="0004414E"/>
    <w:rsid w:val="00044538"/>
    <w:rsid w:val="000448A4"/>
    <w:rsid w:val="0004513B"/>
    <w:rsid w:val="000455C0"/>
    <w:rsid w:val="00046560"/>
    <w:rsid w:val="000479A4"/>
    <w:rsid w:val="00047D1B"/>
    <w:rsid w:val="000503D8"/>
    <w:rsid w:val="000507C6"/>
    <w:rsid w:val="00052334"/>
    <w:rsid w:val="00052B2A"/>
    <w:rsid w:val="00053C5C"/>
    <w:rsid w:val="000540CD"/>
    <w:rsid w:val="00054EA7"/>
    <w:rsid w:val="000561AD"/>
    <w:rsid w:val="000561BA"/>
    <w:rsid w:val="00056FBD"/>
    <w:rsid w:val="00057EB5"/>
    <w:rsid w:val="000601C2"/>
    <w:rsid w:val="000612E5"/>
    <w:rsid w:val="00061C28"/>
    <w:rsid w:val="00062026"/>
    <w:rsid w:val="00063B10"/>
    <w:rsid w:val="00066E38"/>
    <w:rsid w:val="00070A18"/>
    <w:rsid w:val="00070DF4"/>
    <w:rsid w:val="000711E9"/>
    <w:rsid w:val="00071D38"/>
    <w:rsid w:val="000726B4"/>
    <w:rsid w:val="00073840"/>
    <w:rsid w:val="00077760"/>
    <w:rsid w:val="00082252"/>
    <w:rsid w:val="0008267E"/>
    <w:rsid w:val="0008667B"/>
    <w:rsid w:val="0008701C"/>
    <w:rsid w:val="00087A4F"/>
    <w:rsid w:val="00090F7A"/>
    <w:rsid w:val="0009171E"/>
    <w:rsid w:val="0009228F"/>
    <w:rsid w:val="00092AB7"/>
    <w:rsid w:val="00093B0C"/>
    <w:rsid w:val="000940E6"/>
    <w:rsid w:val="00095327"/>
    <w:rsid w:val="0009690E"/>
    <w:rsid w:val="00097252"/>
    <w:rsid w:val="000976D5"/>
    <w:rsid w:val="000A004D"/>
    <w:rsid w:val="000A0ED1"/>
    <w:rsid w:val="000A2246"/>
    <w:rsid w:val="000A47D5"/>
    <w:rsid w:val="000A70EA"/>
    <w:rsid w:val="000A7A35"/>
    <w:rsid w:val="000A7CE0"/>
    <w:rsid w:val="000B146A"/>
    <w:rsid w:val="000B18B4"/>
    <w:rsid w:val="000B305B"/>
    <w:rsid w:val="000B35A4"/>
    <w:rsid w:val="000B36B5"/>
    <w:rsid w:val="000B45A8"/>
    <w:rsid w:val="000B4953"/>
    <w:rsid w:val="000B5773"/>
    <w:rsid w:val="000B6925"/>
    <w:rsid w:val="000C015E"/>
    <w:rsid w:val="000C0E34"/>
    <w:rsid w:val="000C1A0A"/>
    <w:rsid w:val="000C620F"/>
    <w:rsid w:val="000C6451"/>
    <w:rsid w:val="000D49CF"/>
    <w:rsid w:val="000D64C0"/>
    <w:rsid w:val="000D77EF"/>
    <w:rsid w:val="000E3DB2"/>
    <w:rsid w:val="000E5BC8"/>
    <w:rsid w:val="000E6648"/>
    <w:rsid w:val="000E7313"/>
    <w:rsid w:val="000F2261"/>
    <w:rsid w:val="000F2481"/>
    <w:rsid w:val="000F39BC"/>
    <w:rsid w:val="000F3DB0"/>
    <w:rsid w:val="000F4319"/>
    <w:rsid w:val="000F5143"/>
    <w:rsid w:val="000F5373"/>
    <w:rsid w:val="000F7348"/>
    <w:rsid w:val="000F7E29"/>
    <w:rsid w:val="000F7FC3"/>
    <w:rsid w:val="001001E8"/>
    <w:rsid w:val="00100498"/>
    <w:rsid w:val="00100A5E"/>
    <w:rsid w:val="00101EDB"/>
    <w:rsid w:val="00102DF8"/>
    <w:rsid w:val="00103339"/>
    <w:rsid w:val="001043B6"/>
    <w:rsid w:val="00104BCF"/>
    <w:rsid w:val="00106B73"/>
    <w:rsid w:val="00107603"/>
    <w:rsid w:val="0011007D"/>
    <w:rsid w:val="00110FE2"/>
    <w:rsid w:val="001117D6"/>
    <w:rsid w:val="00111BC8"/>
    <w:rsid w:val="00112245"/>
    <w:rsid w:val="001127F2"/>
    <w:rsid w:val="001134A7"/>
    <w:rsid w:val="00113519"/>
    <w:rsid w:val="00114069"/>
    <w:rsid w:val="00114B12"/>
    <w:rsid w:val="00114C0A"/>
    <w:rsid w:val="00114DAB"/>
    <w:rsid w:val="00115B67"/>
    <w:rsid w:val="001170AB"/>
    <w:rsid w:val="0012035F"/>
    <w:rsid w:val="00120BFB"/>
    <w:rsid w:val="0012306B"/>
    <w:rsid w:val="001237DA"/>
    <w:rsid w:val="00123855"/>
    <w:rsid w:val="00124255"/>
    <w:rsid w:val="00125249"/>
    <w:rsid w:val="00125C43"/>
    <w:rsid w:val="00130E9E"/>
    <w:rsid w:val="00132F5E"/>
    <w:rsid w:val="00134083"/>
    <w:rsid w:val="001355F4"/>
    <w:rsid w:val="0014109A"/>
    <w:rsid w:val="00141A42"/>
    <w:rsid w:val="0014260B"/>
    <w:rsid w:val="0014378B"/>
    <w:rsid w:val="001442DF"/>
    <w:rsid w:val="00145E94"/>
    <w:rsid w:val="00146627"/>
    <w:rsid w:val="00146B42"/>
    <w:rsid w:val="00146B58"/>
    <w:rsid w:val="00147F01"/>
    <w:rsid w:val="0015197A"/>
    <w:rsid w:val="00151A95"/>
    <w:rsid w:val="00152528"/>
    <w:rsid w:val="0015357B"/>
    <w:rsid w:val="00153C7C"/>
    <w:rsid w:val="00156F2E"/>
    <w:rsid w:val="00157E6E"/>
    <w:rsid w:val="00160C2B"/>
    <w:rsid w:val="00161330"/>
    <w:rsid w:val="00161CA0"/>
    <w:rsid w:val="00162148"/>
    <w:rsid w:val="00162610"/>
    <w:rsid w:val="00165CC1"/>
    <w:rsid w:val="00170683"/>
    <w:rsid w:val="00172952"/>
    <w:rsid w:val="00172CC9"/>
    <w:rsid w:val="00173BB9"/>
    <w:rsid w:val="0017674C"/>
    <w:rsid w:val="001827AC"/>
    <w:rsid w:val="00182BC2"/>
    <w:rsid w:val="00182C9E"/>
    <w:rsid w:val="00182DCB"/>
    <w:rsid w:val="00183888"/>
    <w:rsid w:val="001844B8"/>
    <w:rsid w:val="001866A7"/>
    <w:rsid w:val="001871B1"/>
    <w:rsid w:val="00187C19"/>
    <w:rsid w:val="00191DE8"/>
    <w:rsid w:val="00192E6A"/>
    <w:rsid w:val="00193A8E"/>
    <w:rsid w:val="001947D5"/>
    <w:rsid w:val="001A028C"/>
    <w:rsid w:val="001A05C2"/>
    <w:rsid w:val="001A1B59"/>
    <w:rsid w:val="001A2C23"/>
    <w:rsid w:val="001A467D"/>
    <w:rsid w:val="001A48AF"/>
    <w:rsid w:val="001A639D"/>
    <w:rsid w:val="001A6C55"/>
    <w:rsid w:val="001B62EB"/>
    <w:rsid w:val="001C0687"/>
    <w:rsid w:val="001C0696"/>
    <w:rsid w:val="001C0A6D"/>
    <w:rsid w:val="001C115E"/>
    <w:rsid w:val="001C1DE3"/>
    <w:rsid w:val="001C2336"/>
    <w:rsid w:val="001C2CF8"/>
    <w:rsid w:val="001C42A5"/>
    <w:rsid w:val="001C4791"/>
    <w:rsid w:val="001C5238"/>
    <w:rsid w:val="001C64E8"/>
    <w:rsid w:val="001C6EBF"/>
    <w:rsid w:val="001D039F"/>
    <w:rsid w:val="001D4599"/>
    <w:rsid w:val="001D4B42"/>
    <w:rsid w:val="001D52D8"/>
    <w:rsid w:val="001D6D51"/>
    <w:rsid w:val="001E2204"/>
    <w:rsid w:val="001E2C74"/>
    <w:rsid w:val="001E4329"/>
    <w:rsid w:val="001E44A9"/>
    <w:rsid w:val="001E4860"/>
    <w:rsid w:val="001E51D5"/>
    <w:rsid w:val="001E5570"/>
    <w:rsid w:val="001E684E"/>
    <w:rsid w:val="001E6A44"/>
    <w:rsid w:val="001E73F5"/>
    <w:rsid w:val="001E77D7"/>
    <w:rsid w:val="001E7BF6"/>
    <w:rsid w:val="001F04D9"/>
    <w:rsid w:val="001F0A53"/>
    <w:rsid w:val="001F0C65"/>
    <w:rsid w:val="001F1B33"/>
    <w:rsid w:val="001F323D"/>
    <w:rsid w:val="001F3A4E"/>
    <w:rsid w:val="001F4332"/>
    <w:rsid w:val="001F4636"/>
    <w:rsid w:val="001F487A"/>
    <w:rsid w:val="001F4AA3"/>
    <w:rsid w:val="001F57E9"/>
    <w:rsid w:val="001F6122"/>
    <w:rsid w:val="001F6B70"/>
    <w:rsid w:val="001F7E12"/>
    <w:rsid w:val="002017B2"/>
    <w:rsid w:val="00201F24"/>
    <w:rsid w:val="002045B9"/>
    <w:rsid w:val="00206755"/>
    <w:rsid w:val="002075DD"/>
    <w:rsid w:val="00210191"/>
    <w:rsid w:val="002120BC"/>
    <w:rsid w:val="0022091C"/>
    <w:rsid w:val="002223AD"/>
    <w:rsid w:val="00222EA1"/>
    <w:rsid w:val="00223165"/>
    <w:rsid w:val="00223D49"/>
    <w:rsid w:val="00225304"/>
    <w:rsid w:val="00227527"/>
    <w:rsid w:val="00227D1E"/>
    <w:rsid w:val="002310E6"/>
    <w:rsid w:val="00231358"/>
    <w:rsid w:val="00232E64"/>
    <w:rsid w:val="002340EF"/>
    <w:rsid w:val="00235DA8"/>
    <w:rsid w:val="00237BFD"/>
    <w:rsid w:val="00237C01"/>
    <w:rsid w:val="00237F15"/>
    <w:rsid w:val="00237F80"/>
    <w:rsid w:val="00240D39"/>
    <w:rsid w:val="002418D4"/>
    <w:rsid w:val="00243BF6"/>
    <w:rsid w:val="00244666"/>
    <w:rsid w:val="00244818"/>
    <w:rsid w:val="002455BB"/>
    <w:rsid w:val="0024593E"/>
    <w:rsid w:val="00246080"/>
    <w:rsid w:val="00246500"/>
    <w:rsid w:val="0025067C"/>
    <w:rsid w:val="00254A3E"/>
    <w:rsid w:val="00255B35"/>
    <w:rsid w:val="00255F6E"/>
    <w:rsid w:val="00256312"/>
    <w:rsid w:val="0025678B"/>
    <w:rsid w:val="00256B05"/>
    <w:rsid w:val="00257224"/>
    <w:rsid w:val="00260215"/>
    <w:rsid w:val="00260F10"/>
    <w:rsid w:val="002616F9"/>
    <w:rsid w:val="0026275C"/>
    <w:rsid w:val="002641F9"/>
    <w:rsid w:val="002651B0"/>
    <w:rsid w:val="00265B77"/>
    <w:rsid w:val="00266081"/>
    <w:rsid w:val="0026694E"/>
    <w:rsid w:val="002709D1"/>
    <w:rsid w:val="0027206D"/>
    <w:rsid w:val="00273A5C"/>
    <w:rsid w:val="00276E3D"/>
    <w:rsid w:val="00281D58"/>
    <w:rsid w:val="0028252D"/>
    <w:rsid w:val="00282BA1"/>
    <w:rsid w:val="002836C4"/>
    <w:rsid w:val="002851B2"/>
    <w:rsid w:val="0028762F"/>
    <w:rsid w:val="00287848"/>
    <w:rsid w:val="002879A2"/>
    <w:rsid w:val="00293C98"/>
    <w:rsid w:val="00294091"/>
    <w:rsid w:val="00296A47"/>
    <w:rsid w:val="00296DE2"/>
    <w:rsid w:val="00296FD5"/>
    <w:rsid w:val="00296FE2"/>
    <w:rsid w:val="002A1E7F"/>
    <w:rsid w:val="002A29BE"/>
    <w:rsid w:val="002A3C71"/>
    <w:rsid w:val="002A42D9"/>
    <w:rsid w:val="002A58B0"/>
    <w:rsid w:val="002A59DD"/>
    <w:rsid w:val="002B0C01"/>
    <w:rsid w:val="002B1118"/>
    <w:rsid w:val="002B2C05"/>
    <w:rsid w:val="002B3503"/>
    <w:rsid w:val="002B41C4"/>
    <w:rsid w:val="002B4C2F"/>
    <w:rsid w:val="002B5CCA"/>
    <w:rsid w:val="002B6B5E"/>
    <w:rsid w:val="002B7B18"/>
    <w:rsid w:val="002C03D3"/>
    <w:rsid w:val="002C0AF1"/>
    <w:rsid w:val="002C0EF2"/>
    <w:rsid w:val="002C47FA"/>
    <w:rsid w:val="002C6E36"/>
    <w:rsid w:val="002C7464"/>
    <w:rsid w:val="002C7D7D"/>
    <w:rsid w:val="002D0233"/>
    <w:rsid w:val="002D0D6B"/>
    <w:rsid w:val="002E1278"/>
    <w:rsid w:val="002E2BD2"/>
    <w:rsid w:val="002E2DB2"/>
    <w:rsid w:val="002E330B"/>
    <w:rsid w:val="002E3C9C"/>
    <w:rsid w:val="002E4CED"/>
    <w:rsid w:val="002E59A4"/>
    <w:rsid w:val="002E72C2"/>
    <w:rsid w:val="002F17C6"/>
    <w:rsid w:val="002F2417"/>
    <w:rsid w:val="002F25DA"/>
    <w:rsid w:val="002F50D5"/>
    <w:rsid w:val="002F52F0"/>
    <w:rsid w:val="002F69B3"/>
    <w:rsid w:val="00300684"/>
    <w:rsid w:val="00301914"/>
    <w:rsid w:val="00302BED"/>
    <w:rsid w:val="0030333D"/>
    <w:rsid w:val="003046B6"/>
    <w:rsid w:val="0030582D"/>
    <w:rsid w:val="00305BFE"/>
    <w:rsid w:val="003064ED"/>
    <w:rsid w:val="00306F01"/>
    <w:rsid w:val="00310427"/>
    <w:rsid w:val="003121AA"/>
    <w:rsid w:val="003123C6"/>
    <w:rsid w:val="00313582"/>
    <w:rsid w:val="00313706"/>
    <w:rsid w:val="00313925"/>
    <w:rsid w:val="00313FEC"/>
    <w:rsid w:val="003143AC"/>
    <w:rsid w:val="00314DE9"/>
    <w:rsid w:val="00314F44"/>
    <w:rsid w:val="003173C2"/>
    <w:rsid w:val="003173DE"/>
    <w:rsid w:val="003177C8"/>
    <w:rsid w:val="00317D52"/>
    <w:rsid w:val="003235F5"/>
    <w:rsid w:val="00323C10"/>
    <w:rsid w:val="00325913"/>
    <w:rsid w:val="003272A8"/>
    <w:rsid w:val="00330954"/>
    <w:rsid w:val="00330DFE"/>
    <w:rsid w:val="00332CD0"/>
    <w:rsid w:val="00333915"/>
    <w:rsid w:val="003345D6"/>
    <w:rsid w:val="0033545E"/>
    <w:rsid w:val="00336719"/>
    <w:rsid w:val="00336BAB"/>
    <w:rsid w:val="003371D3"/>
    <w:rsid w:val="003374C7"/>
    <w:rsid w:val="003407F4"/>
    <w:rsid w:val="0034137C"/>
    <w:rsid w:val="00346D29"/>
    <w:rsid w:val="00346F5C"/>
    <w:rsid w:val="0034700A"/>
    <w:rsid w:val="00350EFF"/>
    <w:rsid w:val="003535BE"/>
    <w:rsid w:val="0035702B"/>
    <w:rsid w:val="0035747C"/>
    <w:rsid w:val="003576AF"/>
    <w:rsid w:val="00362C73"/>
    <w:rsid w:val="00363A1F"/>
    <w:rsid w:val="00364D88"/>
    <w:rsid w:val="00364D8D"/>
    <w:rsid w:val="00373B6D"/>
    <w:rsid w:val="00375C0A"/>
    <w:rsid w:val="00376CD0"/>
    <w:rsid w:val="00377DBD"/>
    <w:rsid w:val="00381704"/>
    <w:rsid w:val="003823B4"/>
    <w:rsid w:val="00383A75"/>
    <w:rsid w:val="00383C7B"/>
    <w:rsid w:val="00384D06"/>
    <w:rsid w:val="0038541D"/>
    <w:rsid w:val="00385CF1"/>
    <w:rsid w:val="0038751C"/>
    <w:rsid w:val="00391914"/>
    <w:rsid w:val="0039198A"/>
    <w:rsid w:val="00394C2E"/>
    <w:rsid w:val="00396493"/>
    <w:rsid w:val="003A156A"/>
    <w:rsid w:val="003A158E"/>
    <w:rsid w:val="003A2889"/>
    <w:rsid w:val="003A478F"/>
    <w:rsid w:val="003A488C"/>
    <w:rsid w:val="003A6FCD"/>
    <w:rsid w:val="003B0F2A"/>
    <w:rsid w:val="003B2AD0"/>
    <w:rsid w:val="003B43D3"/>
    <w:rsid w:val="003B535F"/>
    <w:rsid w:val="003B6941"/>
    <w:rsid w:val="003C24F3"/>
    <w:rsid w:val="003C3B6C"/>
    <w:rsid w:val="003C3F22"/>
    <w:rsid w:val="003C449F"/>
    <w:rsid w:val="003C74C2"/>
    <w:rsid w:val="003D0B74"/>
    <w:rsid w:val="003D1EA0"/>
    <w:rsid w:val="003D5845"/>
    <w:rsid w:val="003D663E"/>
    <w:rsid w:val="003D6A3A"/>
    <w:rsid w:val="003E00C7"/>
    <w:rsid w:val="003E1EE8"/>
    <w:rsid w:val="003E22AB"/>
    <w:rsid w:val="003E318A"/>
    <w:rsid w:val="003E3754"/>
    <w:rsid w:val="003E3D2B"/>
    <w:rsid w:val="003E4761"/>
    <w:rsid w:val="003E5457"/>
    <w:rsid w:val="003E76DA"/>
    <w:rsid w:val="003F1770"/>
    <w:rsid w:val="003F212E"/>
    <w:rsid w:val="003F33BF"/>
    <w:rsid w:val="003F3604"/>
    <w:rsid w:val="003F457D"/>
    <w:rsid w:val="003F5269"/>
    <w:rsid w:val="003F5B1C"/>
    <w:rsid w:val="003F7AB1"/>
    <w:rsid w:val="003F7E65"/>
    <w:rsid w:val="00400BA4"/>
    <w:rsid w:val="004058C7"/>
    <w:rsid w:val="00406276"/>
    <w:rsid w:val="0041058E"/>
    <w:rsid w:val="004112BB"/>
    <w:rsid w:val="00411523"/>
    <w:rsid w:val="00412B63"/>
    <w:rsid w:val="00413475"/>
    <w:rsid w:val="0041478B"/>
    <w:rsid w:val="00414E98"/>
    <w:rsid w:val="00415CD8"/>
    <w:rsid w:val="00416B2F"/>
    <w:rsid w:val="004206F5"/>
    <w:rsid w:val="00420D61"/>
    <w:rsid w:val="00420FEA"/>
    <w:rsid w:val="00421ABC"/>
    <w:rsid w:val="00421D09"/>
    <w:rsid w:val="00422CEB"/>
    <w:rsid w:val="004234DC"/>
    <w:rsid w:val="004259C1"/>
    <w:rsid w:val="00425A7F"/>
    <w:rsid w:val="0042653A"/>
    <w:rsid w:val="00426594"/>
    <w:rsid w:val="00427425"/>
    <w:rsid w:val="0042756E"/>
    <w:rsid w:val="00427C8E"/>
    <w:rsid w:val="004300B4"/>
    <w:rsid w:val="004317B7"/>
    <w:rsid w:val="00431AEE"/>
    <w:rsid w:val="00432545"/>
    <w:rsid w:val="004329E3"/>
    <w:rsid w:val="00432D17"/>
    <w:rsid w:val="00434A5E"/>
    <w:rsid w:val="00435844"/>
    <w:rsid w:val="0043608E"/>
    <w:rsid w:val="00437960"/>
    <w:rsid w:val="0044110F"/>
    <w:rsid w:val="0044168A"/>
    <w:rsid w:val="004425BB"/>
    <w:rsid w:val="00442B5D"/>
    <w:rsid w:val="00442E6C"/>
    <w:rsid w:val="004439B5"/>
    <w:rsid w:val="004450B0"/>
    <w:rsid w:val="0044545A"/>
    <w:rsid w:val="00445963"/>
    <w:rsid w:val="00446D8A"/>
    <w:rsid w:val="004520AE"/>
    <w:rsid w:val="00452E2A"/>
    <w:rsid w:val="00454B05"/>
    <w:rsid w:val="004553D5"/>
    <w:rsid w:val="004561A2"/>
    <w:rsid w:val="00456AE9"/>
    <w:rsid w:val="0045742F"/>
    <w:rsid w:val="00457FC8"/>
    <w:rsid w:val="0046062E"/>
    <w:rsid w:val="0046381F"/>
    <w:rsid w:val="00463886"/>
    <w:rsid w:val="00464CB9"/>
    <w:rsid w:val="00465397"/>
    <w:rsid w:val="00465A9B"/>
    <w:rsid w:val="00465DF5"/>
    <w:rsid w:val="00466F28"/>
    <w:rsid w:val="00473871"/>
    <w:rsid w:val="004740D2"/>
    <w:rsid w:val="00475AFC"/>
    <w:rsid w:val="00476C8F"/>
    <w:rsid w:val="00477615"/>
    <w:rsid w:val="004802B7"/>
    <w:rsid w:val="004808CF"/>
    <w:rsid w:val="00480D19"/>
    <w:rsid w:val="00480F53"/>
    <w:rsid w:val="00483F4C"/>
    <w:rsid w:val="004853D9"/>
    <w:rsid w:val="00485614"/>
    <w:rsid w:val="004861BB"/>
    <w:rsid w:val="004861E6"/>
    <w:rsid w:val="00486440"/>
    <w:rsid w:val="0048654F"/>
    <w:rsid w:val="00487AA0"/>
    <w:rsid w:val="00490ACE"/>
    <w:rsid w:val="00492187"/>
    <w:rsid w:val="00492B85"/>
    <w:rsid w:val="004931D5"/>
    <w:rsid w:val="00495A97"/>
    <w:rsid w:val="004968B1"/>
    <w:rsid w:val="004971AC"/>
    <w:rsid w:val="00497834"/>
    <w:rsid w:val="004A2DFB"/>
    <w:rsid w:val="004A3372"/>
    <w:rsid w:val="004A5755"/>
    <w:rsid w:val="004B0A70"/>
    <w:rsid w:val="004B1039"/>
    <w:rsid w:val="004B581F"/>
    <w:rsid w:val="004B5CE8"/>
    <w:rsid w:val="004B78F6"/>
    <w:rsid w:val="004C0ACC"/>
    <w:rsid w:val="004C3DE0"/>
    <w:rsid w:val="004C4816"/>
    <w:rsid w:val="004C6706"/>
    <w:rsid w:val="004C6864"/>
    <w:rsid w:val="004C68ED"/>
    <w:rsid w:val="004D4B86"/>
    <w:rsid w:val="004D5294"/>
    <w:rsid w:val="004D53A6"/>
    <w:rsid w:val="004D61F1"/>
    <w:rsid w:val="004D6E0E"/>
    <w:rsid w:val="004D7858"/>
    <w:rsid w:val="004D7863"/>
    <w:rsid w:val="004E0709"/>
    <w:rsid w:val="004E2390"/>
    <w:rsid w:val="004E2BC1"/>
    <w:rsid w:val="004E303E"/>
    <w:rsid w:val="004E3DEF"/>
    <w:rsid w:val="004E4750"/>
    <w:rsid w:val="004E502E"/>
    <w:rsid w:val="004E5D9C"/>
    <w:rsid w:val="004E6910"/>
    <w:rsid w:val="004E71FA"/>
    <w:rsid w:val="004E7F22"/>
    <w:rsid w:val="004F04DE"/>
    <w:rsid w:val="004F0C52"/>
    <w:rsid w:val="004F16A8"/>
    <w:rsid w:val="004F1A33"/>
    <w:rsid w:val="004F208F"/>
    <w:rsid w:val="004F24F1"/>
    <w:rsid w:val="004F2954"/>
    <w:rsid w:val="004F34E8"/>
    <w:rsid w:val="004F3803"/>
    <w:rsid w:val="004F65BE"/>
    <w:rsid w:val="004F6E50"/>
    <w:rsid w:val="004F6ED0"/>
    <w:rsid w:val="005002D6"/>
    <w:rsid w:val="00500B70"/>
    <w:rsid w:val="005052A9"/>
    <w:rsid w:val="00511252"/>
    <w:rsid w:val="00512411"/>
    <w:rsid w:val="00513310"/>
    <w:rsid w:val="00513313"/>
    <w:rsid w:val="00513D07"/>
    <w:rsid w:val="0051515F"/>
    <w:rsid w:val="00515411"/>
    <w:rsid w:val="005178F1"/>
    <w:rsid w:val="00517C81"/>
    <w:rsid w:val="00520165"/>
    <w:rsid w:val="00521772"/>
    <w:rsid w:val="00522020"/>
    <w:rsid w:val="00522A25"/>
    <w:rsid w:val="00522B50"/>
    <w:rsid w:val="005236F0"/>
    <w:rsid w:val="00527AC6"/>
    <w:rsid w:val="00527D35"/>
    <w:rsid w:val="005301BD"/>
    <w:rsid w:val="005308F4"/>
    <w:rsid w:val="00530CE1"/>
    <w:rsid w:val="00531B98"/>
    <w:rsid w:val="005354DE"/>
    <w:rsid w:val="0053628B"/>
    <w:rsid w:val="00540183"/>
    <w:rsid w:val="005417A9"/>
    <w:rsid w:val="00541C05"/>
    <w:rsid w:val="00542CA2"/>
    <w:rsid w:val="005430C8"/>
    <w:rsid w:val="00543C28"/>
    <w:rsid w:val="00544F2D"/>
    <w:rsid w:val="00547D66"/>
    <w:rsid w:val="005542BE"/>
    <w:rsid w:val="005542D3"/>
    <w:rsid w:val="00555796"/>
    <w:rsid w:val="00555CA1"/>
    <w:rsid w:val="0055611A"/>
    <w:rsid w:val="0055619E"/>
    <w:rsid w:val="00556402"/>
    <w:rsid w:val="00565B04"/>
    <w:rsid w:val="00572447"/>
    <w:rsid w:val="00575070"/>
    <w:rsid w:val="00575C77"/>
    <w:rsid w:val="005812A5"/>
    <w:rsid w:val="005818D0"/>
    <w:rsid w:val="005825DD"/>
    <w:rsid w:val="00582601"/>
    <w:rsid w:val="005844DF"/>
    <w:rsid w:val="005853D7"/>
    <w:rsid w:val="005858DC"/>
    <w:rsid w:val="0058730D"/>
    <w:rsid w:val="00587A6B"/>
    <w:rsid w:val="005905A5"/>
    <w:rsid w:val="00591170"/>
    <w:rsid w:val="0059327D"/>
    <w:rsid w:val="00593412"/>
    <w:rsid w:val="00593C1B"/>
    <w:rsid w:val="00594A5F"/>
    <w:rsid w:val="00594AD5"/>
    <w:rsid w:val="00595534"/>
    <w:rsid w:val="00596B38"/>
    <w:rsid w:val="00596C26"/>
    <w:rsid w:val="00597AF6"/>
    <w:rsid w:val="005A08F1"/>
    <w:rsid w:val="005A11AE"/>
    <w:rsid w:val="005A1400"/>
    <w:rsid w:val="005A3613"/>
    <w:rsid w:val="005A3DE3"/>
    <w:rsid w:val="005A6363"/>
    <w:rsid w:val="005A6D7F"/>
    <w:rsid w:val="005A7529"/>
    <w:rsid w:val="005A7F98"/>
    <w:rsid w:val="005B1641"/>
    <w:rsid w:val="005B5286"/>
    <w:rsid w:val="005B59F7"/>
    <w:rsid w:val="005B5E2D"/>
    <w:rsid w:val="005B7B95"/>
    <w:rsid w:val="005C05D6"/>
    <w:rsid w:val="005C0D52"/>
    <w:rsid w:val="005C1F1C"/>
    <w:rsid w:val="005C2E38"/>
    <w:rsid w:val="005C56FC"/>
    <w:rsid w:val="005C699A"/>
    <w:rsid w:val="005C783E"/>
    <w:rsid w:val="005D1DBE"/>
    <w:rsid w:val="005D444A"/>
    <w:rsid w:val="005D601A"/>
    <w:rsid w:val="005E0BBC"/>
    <w:rsid w:val="005E0CFA"/>
    <w:rsid w:val="005E280D"/>
    <w:rsid w:val="005E2F04"/>
    <w:rsid w:val="005E3BFE"/>
    <w:rsid w:val="005E517A"/>
    <w:rsid w:val="005E6981"/>
    <w:rsid w:val="005F023D"/>
    <w:rsid w:val="005F2156"/>
    <w:rsid w:val="005F28C8"/>
    <w:rsid w:val="005F34FE"/>
    <w:rsid w:val="005F3ABE"/>
    <w:rsid w:val="005F4EDB"/>
    <w:rsid w:val="005F6524"/>
    <w:rsid w:val="0060143B"/>
    <w:rsid w:val="00605081"/>
    <w:rsid w:val="0060702F"/>
    <w:rsid w:val="0060756F"/>
    <w:rsid w:val="00607A2A"/>
    <w:rsid w:val="00607A2F"/>
    <w:rsid w:val="00610B5B"/>
    <w:rsid w:val="00612D1B"/>
    <w:rsid w:val="00613574"/>
    <w:rsid w:val="00614B78"/>
    <w:rsid w:val="006151BE"/>
    <w:rsid w:val="00615697"/>
    <w:rsid w:val="00615A0C"/>
    <w:rsid w:val="006160E5"/>
    <w:rsid w:val="00617579"/>
    <w:rsid w:val="00617672"/>
    <w:rsid w:val="00617E2C"/>
    <w:rsid w:val="0062042C"/>
    <w:rsid w:val="00621E55"/>
    <w:rsid w:val="006257A9"/>
    <w:rsid w:val="0062583A"/>
    <w:rsid w:val="006261E2"/>
    <w:rsid w:val="00627BCA"/>
    <w:rsid w:val="00630A4E"/>
    <w:rsid w:val="006321E0"/>
    <w:rsid w:val="006367E1"/>
    <w:rsid w:val="0064034C"/>
    <w:rsid w:val="00640E56"/>
    <w:rsid w:val="00645384"/>
    <w:rsid w:val="00645A83"/>
    <w:rsid w:val="00647515"/>
    <w:rsid w:val="006511EE"/>
    <w:rsid w:val="00652404"/>
    <w:rsid w:val="0065331C"/>
    <w:rsid w:val="0065443A"/>
    <w:rsid w:val="006548E6"/>
    <w:rsid w:val="006566EB"/>
    <w:rsid w:val="00662BF6"/>
    <w:rsid w:val="0066426D"/>
    <w:rsid w:val="00664468"/>
    <w:rsid w:val="00665406"/>
    <w:rsid w:val="006660E8"/>
    <w:rsid w:val="00670469"/>
    <w:rsid w:val="00675D99"/>
    <w:rsid w:val="00677340"/>
    <w:rsid w:val="00680222"/>
    <w:rsid w:val="006821DC"/>
    <w:rsid w:val="0068305C"/>
    <w:rsid w:val="00683E1F"/>
    <w:rsid w:val="00684502"/>
    <w:rsid w:val="00685739"/>
    <w:rsid w:val="00686B42"/>
    <w:rsid w:val="00687C65"/>
    <w:rsid w:val="00690457"/>
    <w:rsid w:val="00691068"/>
    <w:rsid w:val="006911CA"/>
    <w:rsid w:val="0069547C"/>
    <w:rsid w:val="0069575F"/>
    <w:rsid w:val="00696026"/>
    <w:rsid w:val="006A18DD"/>
    <w:rsid w:val="006A37A0"/>
    <w:rsid w:val="006A41A8"/>
    <w:rsid w:val="006A60E5"/>
    <w:rsid w:val="006A7EA4"/>
    <w:rsid w:val="006B1A74"/>
    <w:rsid w:val="006B2273"/>
    <w:rsid w:val="006B2EEC"/>
    <w:rsid w:val="006B425D"/>
    <w:rsid w:val="006B6039"/>
    <w:rsid w:val="006B6A1C"/>
    <w:rsid w:val="006C0CD8"/>
    <w:rsid w:val="006C0D41"/>
    <w:rsid w:val="006C1662"/>
    <w:rsid w:val="006C2801"/>
    <w:rsid w:val="006C471E"/>
    <w:rsid w:val="006D06F0"/>
    <w:rsid w:val="006D07CD"/>
    <w:rsid w:val="006D2FBC"/>
    <w:rsid w:val="006D3706"/>
    <w:rsid w:val="006D4DD5"/>
    <w:rsid w:val="006D6AA0"/>
    <w:rsid w:val="006D6FBE"/>
    <w:rsid w:val="006E18CD"/>
    <w:rsid w:val="006E1BDA"/>
    <w:rsid w:val="006E1D07"/>
    <w:rsid w:val="006E307A"/>
    <w:rsid w:val="006E3F35"/>
    <w:rsid w:val="006E4A94"/>
    <w:rsid w:val="006E66CF"/>
    <w:rsid w:val="006E779B"/>
    <w:rsid w:val="006E7CD5"/>
    <w:rsid w:val="006F0A79"/>
    <w:rsid w:val="006F0E4E"/>
    <w:rsid w:val="006F1458"/>
    <w:rsid w:val="006F24AE"/>
    <w:rsid w:val="006F2C47"/>
    <w:rsid w:val="006F3595"/>
    <w:rsid w:val="006F47F9"/>
    <w:rsid w:val="006F4D25"/>
    <w:rsid w:val="006F559F"/>
    <w:rsid w:val="006F60CA"/>
    <w:rsid w:val="006F62F7"/>
    <w:rsid w:val="006F6994"/>
    <w:rsid w:val="006F75A9"/>
    <w:rsid w:val="006F7FAA"/>
    <w:rsid w:val="00703C89"/>
    <w:rsid w:val="00703F71"/>
    <w:rsid w:val="007048F9"/>
    <w:rsid w:val="00705E69"/>
    <w:rsid w:val="00710282"/>
    <w:rsid w:val="007125D7"/>
    <w:rsid w:val="007128A4"/>
    <w:rsid w:val="0071302A"/>
    <w:rsid w:val="00715A90"/>
    <w:rsid w:val="007225B0"/>
    <w:rsid w:val="00722793"/>
    <w:rsid w:val="00723781"/>
    <w:rsid w:val="00724F87"/>
    <w:rsid w:val="007253B2"/>
    <w:rsid w:val="00725CB6"/>
    <w:rsid w:val="00734E42"/>
    <w:rsid w:val="00736A9F"/>
    <w:rsid w:val="0073745B"/>
    <w:rsid w:val="00741F38"/>
    <w:rsid w:val="0074228D"/>
    <w:rsid w:val="00744B78"/>
    <w:rsid w:val="00750B02"/>
    <w:rsid w:val="007510D7"/>
    <w:rsid w:val="00752536"/>
    <w:rsid w:val="0075368A"/>
    <w:rsid w:val="007540E6"/>
    <w:rsid w:val="00754C8C"/>
    <w:rsid w:val="00755C14"/>
    <w:rsid w:val="007567B4"/>
    <w:rsid w:val="00760712"/>
    <w:rsid w:val="0076149E"/>
    <w:rsid w:val="00761FE6"/>
    <w:rsid w:val="0076597E"/>
    <w:rsid w:val="00765D82"/>
    <w:rsid w:val="00770035"/>
    <w:rsid w:val="00772762"/>
    <w:rsid w:val="00772A7B"/>
    <w:rsid w:val="00773136"/>
    <w:rsid w:val="00776CAE"/>
    <w:rsid w:val="00780AFB"/>
    <w:rsid w:val="00782204"/>
    <w:rsid w:val="0078366A"/>
    <w:rsid w:val="00783C01"/>
    <w:rsid w:val="007848B6"/>
    <w:rsid w:val="00784A71"/>
    <w:rsid w:val="00784EB4"/>
    <w:rsid w:val="007865E8"/>
    <w:rsid w:val="007869E1"/>
    <w:rsid w:val="00786D0A"/>
    <w:rsid w:val="007876DE"/>
    <w:rsid w:val="00790F6B"/>
    <w:rsid w:val="0079682E"/>
    <w:rsid w:val="007976DC"/>
    <w:rsid w:val="007A27FC"/>
    <w:rsid w:val="007A3EF7"/>
    <w:rsid w:val="007A5FDE"/>
    <w:rsid w:val="007A6CBD"/>
    <w:rsid w:val="007A7E45"/>
    <w:rsid w:val="007B0709"/>
    <w:rsid w:val="007B257B"/>
    <w:rsid w:val="007B2857"/>
    <w:rsid w:val="007B3673"/>
    <w:rsid w:val="007B6E62"/>
    <w:rsid w:val="007B7625"/>
    <w:rsid w:val="007C01BE"/>
    <w:rsid w:val="007C0A73"/>
    <w:rsid w:val="007C0CAB"/>
    <w:rsid w:val="007C1D80"/>
    <w:rsid w:val="007C3E4A"/>
    <w:rsid w:val="007C63DD"/>
    <w:rsid w:val="007C7018"/>
    <w:rsid w:val="007D0DE6"/>
    <w:rsid w:val="007D1736"/>
    <w:rsid w:val="007D2263"/>
    <w:rsid w:val="007D3DF6"/>
    <w:rsid w:val="007D536C"/>
    <w:rsid w:val="007D6CD1"/>
    <w:rsid w:val="007D7FAA"/>
    <w:rsid w:val="007E0A5C"/>
    <w:rsid w:val="007E3331"/>
    <w:rsid w:val="007E33A9"/>
    <w:rsid w:val="007E4879"/>
    <w:rsid w:val="007E4FB8"/>
    <w:rsid w:val="007E56B5"/>
    <w:rsid w:val="007E7596"/>
    <w:rsid w:val="007E7FD0"/>
    <w:rsid w:val="007F26D7"/>
    <w:rsid w:val="007F3F55"/>
    <w:rsid w:val="007F68D0"/>
    <w:rsid w:val="007F6B39"/>
    <w:rsid w:val="007F79C0"/>
    <w:rsid w:val="007F7B7B"/>
    <w:rsid w:val="0080118D"/>
    <w:rsid w:val="00801E7B"/>
    <w:rsid w:val="00803AC7"/>
    <w:rsid w:val="008060B3"/>
    <w:rsid w:val="008060CB"/>
    <w:rsid w:val="00806866"/>
    <w:rsid w:val="00807BBF"/>
    <w:rsid w:val="008113C3"/>
    <w:rsid w:val="008122BB"/>
    <w:rsid w:val="008136E8"/>
    <w:rsid w:val="00813C34"/>
    <w:rsid w:val="00814432"/>
    <w:rsid w:val="00815C26"/>
    <w:rsid w:val="008177A3"/>
    <w:rsid w:val="00817E1A"/>
    <w:rsid w:val="00817FED"/>
    <w:rsid w:val="00821A4E"/>
    <w:rsid w:val="00821B39"/>
    <w:rsid w:val="0082249B"/>
    <w:rsid w:val="008229E0"/>
    <w:rsid w:val="00822AD4"/>
    <w:rsid w:val="00826C24"/>
    <w:rsid w:val="0082790A"/>
    <w:rsid w:val="00831601"/>
    <w:rsid w:val="00832B51"/>
    <w:rsid w:val="008337B7"/>
    <w:rsid w:val="00833A3E"/>
    <w:rsid w:val="00833DFA"/>
    <w:rsid w:val="0084054C"/>
    <w:rsid w:val="00840A66"/>
    <w:rsid w:val="0084422B"/>
    <w:rsid w:val="00845ADE"/>
    <w:rsid w:val="00846A3D"/>
    <w:rsid w:val="008478CA"/>
    <w:rsid w:val="008479E1"/>
    <w:rsid w:val="00850B1C"/>
    <w:rsid w:val="00850DC1"/>
    <w:rsid w:val="008524AD"/>
    <w:rsid w:val="008539F4"/>
    <w:rsid w:val="008548F0"/>
    <w:rsid w:val="00861C39"/>
    <w:rsid w:val="008626F6"/>
    <w:rsid w:val="008629E8"/>
    <w:rsid w:val="00866A4B"/>
    <w:rsid w:val="00866B21"/>
    <w:rsid w:val="0086743A"/>
    <w:rsid w:val="00872F34"/>
    <w:rsid w:val="008748FF"/>
    <w:rsid w:val="00875425"/>
    <w:rsid w:val="0087602E"/>
    <w:rsid w:val="00877201"/>
    <w:rsid w:val="00880A22"/>
    <w:rsid w:val="00880A6F"/>
    <w:rsid w:val="00880AC3"/>
    <w:rsid w:val="00880D3E"/>
    <w:rsid w:val="00881DD9"/>
    <w:rsid w:val="008824AB"/>
    <w:rsid w:val="0088284A"/>
    <w:rsid w:val="00882D2B"/>
    <w:rsid w:val="0088443F"/>
    <w:rsid w:val="0088478C"/>
    <w:rsid w:val="00885C32"/>
    <w:rsid w:val="00885D45"/>
    <w:rsid w:val="00886E2A"/>
    <w:rsid w:val="00887031"/>
    <w:rsid w:val="008876EB"/>
    <w:rsid w:val="00890AB7"/>
    <w:rsid w:val="0089273D"/>
    <w:rsid w:val="00894505"/>
    <w:rsid w:val="0089509A"/>
    <w:rsid w:val="00897EA9"/>
    <w:rsid w:val="008A0091"/>
    <w:rsid w:val="008A02F9"/>
    <w:rsid w:val="008A0860"/>
    <w:rsid w:val="008A1715"/>
    <w:rsid w:val="008A17B1"/>
    <w:rsid w:val="008A278D"/>
    <w:rsid w:val="008A3273"/>
    <w:rsid w:val="008A3697"/>
    <w:rsid w:val="008A4DA1"/>
    <w:rsid w:val="008A65E5"/>
    <w:rsid w:val="008A720F"/>
    <w:rsid w:val="008B045F"/>
    <w:rsid w:val="008B12D0"/>
    <w:rsid w:val="008B2BBB"/>
    <w:rsid w:val="008B2F55"/>
    <w:rsid w:val="008B3B6A"/>
    <w:rsid w:val="008B3D24"/>
    <w:rsid w:val="008B77BB"/>
    <w:rsid w:val="008C1EA7"/>
    <w:rsid w:val="008C2C55"/>
    <w:rsid w:val="008C478C"/>
    <w:rsid w:val="008C5770"/>
    <w:rsid w:val="008C7957"/>
    <w:rsid w:val="008D0366"/>
    <w:rsid w:val="008D07BB"/>
    <w:rsid w:val="008D0A5E"/>
    <w:rsid w:val="008D0E39"/>
    <w:rsid w:val="008D115E"/>
    <w:rsid w:val="008D1CD1"/>
    <w:rsid w:val="008D3030"/>
    <w:rsid w:val="008D5089"/>
    <w:rsid w:val="008E0D1E"/>
    <w:rsid w:val="008E133E"/>
    <w:rsid w:val="008E39DC"/>
    <w:rsid w:val="008E616F"/>
    <w:rsid w:val="008E6CD2"/>
    <w:rsid w:val="008F05A0"/>
    <w:rsid w:val="008F0DE3"/>
    <w:rsid w:val="008F18F6"/>
    <w:rsid w:val="008F2666"/>
    <w:rsid w:val="008F4EBA"/>
    <w:rsid w:val="008F5777"/>
    <w:rsid w:val="008F5F67"/>
    <w:rsid w:val="008F620A"/>
    <w:rsid w:val="008F647A"/>
    <w:rsid w:val="008F6DAB"/>
    <w:rsid w:val="00902A05"/>
    <w:rsid w:val="00903A9A"/>
    <w:rsid w:val="009063A2"/>
    <w:rsid w:val="00906E8A"/>
    <w:rsid w:val="00911655"/>
    <w:rsid w:val="0091166C"/>
    <w:rsid w:val="00911BDF"/>
    <w:rsid w:val="00915890"/>
    <w:rsid w:val="00915E61"/>
    <w:rsid w:val="00916BA8"/>
    <w:rsid w:val="00921061"/>
    <w:rsid w:val="00921636"/>
    <w:rsid w:val="00923721"/>
    <w:rsid w:val="009239E4"/>
    <w:rsid w:val="00927FBF"/>
    <w:rsid w:val="009304B4"/>
    <w:rsid w:val="00931C76"/>
    <w:rsid w:val="00931D01"/>
    <w:rsid w:val="009326CF"/>
    <w:rsid w:val="009328DB"/>
    <w:rsid w:val="00933044"/>
    <w:rsid w:val="00934341"/>
    <w:rsid w:val="0093563F"/>
    <w:rsid w:val="00935CD1"/>
    <w:rsid w:val="00935F9B"/>
    <w:rsid w:val="00937268"/>
    <w:rsid w:val="00940657"/>
    <w:rsid w:val="00942BD1"/>
    <w:rsid w:val="00943197"/>
    <w:rsid w:val="00943D9C"/>
    <w:rsid w:val="009448B6"/>
    <w:rsid w:val="00946330"/>
    <w:rsid w:val="00946761"/>
    <w:rsid w:val="009467A4"/>
    <w:rsid w:val="00946BEF"/>
    <w:rsid w:val="00947B1C"/>
    <w:rsid w:val="00952698"/>
    <w:rsid w:val="009529D9"/>
    <w:rsid w:val="00953643"/>
    <w:rsid w:val="00953B35"/>
    <w:rsid w:val="0095408F"/>
    <w:rsid w:val="00954657"/>
    <w:rsid w:val="00954B65"/>
    <w:rsid w:val="00954EC2"/>
    <w:rsid w:val="00954F38"/>
    <w:rsid w:val="009555EC"/>
    <w:rsid w:val="0095613B"/>
    <w:rsid w:val="009568E1"/>
    <w:rsid w:val="00956DCE"/>
    <w:rsid w:val="00957932"/>
    <w:rsid w:val="00963F0F"/>
    <w:rsid w:val="00965117"/>
    <w:rsid w:val="009653F1"/>
    <w:rsid w:val="00967B6A"/>
    <w:rsid w:val="00970949"/>
    <w:rsid w:val="0097342B"/>
    <w:rsid w:val="009762B3"/>
    <w:rsid w:val="009762B4"/>
    <w:rsid w:val="009818A1"/>
    <w:rsid w:val="009863B3"/>
    <w:rsid w:val="00986607"/>
    <w:rsid w:val="00986DA1"/>
    <w:rsid w:val="009915E8"/>
    <w:rsid w:val="00992720"/>
    <w:rsid w:val="00994777"/>
    <w:rsid w:val="00994FF6"/>
    <w:rsid w:val="009A0007"/>
    <w:rsid w:val="009A08B2"/>
    <w:rsid w:val="009A0A18"/>
    <w:rsid w:val="009A20D1"/>
    <w:rsid w:val="009A35CB"/>
    <w:rsid w:val="009A3E0B"/>
    <w:rsid w:val="009A54DF"/>
    <w:rsid w:val="009A61B1"/>
    <w:rsid w:val="009A644F"/>
    <w:rsid w:val="009A7399"/>
    <w:rsid w:val="009B0BFB"/>
    <w:rsid w:val="009B3E06"/>
    <w:rsid w:val="009B4D11"/>
    <w:rsid w:val="009B5497"/>
    <w:rsid w:val="009B5A76"/>
    <w:rsid w:val="009B7677"/>
    <w:rsid w:val="009B7762"/>
    <w:rsid w:val="009B7E75"/>
    <w:rsid w:val="009C05BA"/>
    <w:rsid w:val="009C18E5"/>
    <w:rsid w:val="009C67A1"/>
    <w:rsid w:val="009C6F80"/>
    <w:rsid w:val="009D0751"/>
    <w:rsid w:val="009D17CB"/>
    <w:rsid w:val="009D193F"/>
    <w:rsid w:val="009D20BA"/>
    <w:rsid w:val="009D3054"/>
    <w:rsid w:val="009D3999"/>
    <w:rsid w:val="009D44F0"/>
    <w:rsid w:val="009D5C72"/>
    <w:rsid w:val="009D5D7E"/>
    <w:rsid w:val="009D6C33"/>
    <w:rsid w:val="009D7C63"/>
    <w:rsid w:val="009E11BB"/>
    <w:rsid w:val="009E12AF"/>
    <w:rsid w:val="009E3403"/>
    <w:rsid w:val="009E3AB9"/>
    <w:rsid w:val="009E3FDB"/>
    <w:rsid w:val="009E486E"/>
    <w:rsid w:val="009E4AC9"/>
    <w:rsid w:val="009E76D2"/>
    <w:rsid w:val="009F10E2"/>
    <w:rsid w:val="009F13A0"/>
    <w:rsid w:val="009F2C32"/>
    <w:rsid w:val="009F33BB"/>
    <w:rsid w:val="009F561B"/>
    <w:rsid w:val="009F5D1C"/>
    <w:rsid w:val="009F5D5F"/>
    <w:rsid w:val="009F6A18"/>
    <w:rsid w:val="00A00F03"/>
    <w:rsid w:val="00A03338"/>
    <w:rsid w:val="00A038EF"/>
    <w:rsid w:val="00A03906"/>
    <w:rsid w:val="00A03B49"/>
    <w:rsid w:val="00A04C8B"/>
    <w:rsid w:val="00A06FC0"/>
    <w:rsid w:val="00A079B6"/>
    <w:rsid w:val="00A11E7C"/>
    <w:rsid w:val="00A121C2"/>
    <w:rsid w:val="00A160EC"/>
    <w:rsid w:val="00A16638"/>
    <w:rsid w:val="00A17C9C"/>
    <w:rsid w:val="00A210B7"/>
    <w:rsid w:val="00A24583"/>
    <w:rsid w:val="00A25607"/>
    <w:rsid w:val="00A257AD"/>
    <w:rsid w:val="00A26AF6"/>
    <w:rsid w:val="00A27B4F"/>
    <w:rsid w:val="00A3187F"/>
    <w:rsid w:val="00A33A91"/>
    <w:rsid w:val="00A3593C"/>
    <w:rsid w:val="00A37E2E"/>
    <w:rsid w:val="00A40316"/>
    <w:rsid w:val="00A425DA"/>
    <w:rsid w:val="00A426F3"/>
    <w:rsid w:val="00A44F76"/>
    <w:rsid w:val="00A50819"/>
    <w:rsid w:val="00A50FB2"/>
    <w:rsid w:val="00A51703"/>
    <w:rsid w:val="00A51E9D"/>
    <w:rsid w:val="00A542F6"/>
    <w:rsid w:val="00A55020"/>
    <w:rsid w:val="00A561CA"/>
    <w:rsid w:val="00A57678"/>
    <w:rsid w:val="00A6010E"/>
    <w:rsid w:val="00A60AC9"/>
    <w:rsid w:val="00A60B3F"/>
    <w:rsid w:val="00A62642"/>
    <w:rsid w:val="00A63A2F"/>
    <w:rsid w:val="00A6472F"/>
    <w:rsid w:val="00A64D8D"/>
    <w:rsid w:val="00A66C22"/>
    <w:rsid w:val="00A66FE4"/>
    <w:rsid w:val="00A72302"/>
    <w:rsid w:val="00A73194"/>
    <w:rsid w:val="00A75EBE"/>
    <w:rsid w:val="00A7634D"/>
    <w:rsid w:val="00A76D2D"/>
    <w:rsid w:val="00A76EB2"/>
    <w:rsid w:val="00A812D0"/>
    <w:rsid w:val="00A90428"/>
    <w:rsid w:val="00A90B60"/>
    <w:rsid w:val="00A91DBF"/>
    <w:rsid w:val="00A94970"/>
    <w:rsid w:val="00A94EFF"/>
    <w:rsid w:val="00A96C40"/>
    <w:rsid w:val="00A97C23"/>
    <w:rsid w:val="00A97E1C"/>
    <w:rsid w:val="00AA0185"/>
    <w:rsid w:val="00AA225F"/>
    <w:rsid w:val="00AA3EB4"/>
    <w:rsid w:val="00AA52BF"/>
    <w:rsid w:val="00AB0DB3"/>
    <w:rsid w:val="00AB2859"/>
    <w:rsid w:val="00AB33EC"/>
    <w:rsid w:val="00AB35DC"/>
    <w:rsid w:val="00AB455C"/>
    <w:rsid w:val="00AB556A"/>
    <w:rsid w:val="00AB5B89"/>
    <w:rsid w:val="00AB6221"/>
    <w:rsid w:val="00AB6EAE"/>
    <w:rsid w:val="00AB7185"/>
    <w:rsid w:val="00AB78EA"/>
    <w:rsid w:val="00AB7BA9"/>
    <w:rsid w:val="00AC0438"/>
    <w:rsid w:val="00AC14ED"/>
    <w:rsid w:val="00AC3E8D"/>
    <w:rsid w:val="00AC5A5B"/>
    <w:rsid w:val="00AD186C"/>
    <w:rsid w:val="00AD2777"/>
    <w:rsid w:val="00AD2973"/>
    <w:rsid w:val="00AD3233"/>
    <w:rsid w:val="00AD6F2E"/>
    <w:rsid w:val="00AD75D1"/>
    <w:rsid w:val="00AE0587"/>
    <w:rsid w:val="00AE0B30"/>
    <w:rsid w:val="00AE27F4"/>
    <w:rsid w:val="00AE2917"/>
    <w:rsid w:val="00AE4622"/>
    <w:rsid w:val="00AE4C17"/>
    <w:rsid w:val="00AE5025"/>
    <w:rsid w:val="00AE588A"/>
    <w:rsid w:val="00AE5FF4"/>
    <w:rsid w:val="00AE6686"/>
    <w:rsid w:val="00AE6CD6"/>
    <w:rsid w:val="00AF11B7"/>
    <w:rsid w:val="00AF2B49"/>
    <w:rsid w:val="00AF2C0C"/>
    <w:rsid w:val="00AF39D2"/>
    <w:rsid w:val="00AF6292"/>
    <w:rsid w:val="00AF74E6"/>
    <w:rsid w:val="00AF74EE"/>
    <w:rsid w:val="00AF76F0"/>
    <w:rsid w:val="00AF7AAF"/>
    <w:rsid w:val="00B00339"/>
    <w:rsid w:val="00B00532"/>
    <w:rsid w:val="00B03A5F"/>
    <w:rsid w:val="00B052E5"/>
    <w:rsid w:val="00B05FE1"/>
    <w:rsid w:val="00B0727D"/>
    <w:rsid w:val="00B0745B"/>
    <w:rsid w:val="00B07783"/>
    <w:rsid w:val="00B13955"/>
    <w:rsid w:val="00B1681B"/>
    <w:rsid w:val="00B205C1"/>
    <w:rsid w:val="00B206AF"/>
    <w:rsid w:val="00B222E7"/>
    <w:rsid w:val="00B23826"/>
    <w:rsid w:val="00B26D59"/>
    <w:rsid w:val="00B27907"/>
    <w:rsid w:val="00B27F0E"/>
    <w:rsid w:val="00B30B02"/>
    <w:rsid w:val="00B32CCA"/>
    <w:rsid w:val="00B35450"/>
    <w:rsid w:val="00B35630"/>
    <w:rsid w:val="00B36BF9"/>
    <w:rsid w:val="00B37F71"/>
    <w:rsid w:val="00B417D3"/>
    <w:rsid w:val="00B4277A"/>
    <w:rsid w:val="00B43D0C"/>
    <w:rsid w:val="00B4576E"/>
    <w:rsid w:val="00B46A06"/>
    <w:rsid w:val="00B46A59"/>
    <w:rsid w:val="00B470C8"/>
    <w:rsid w:val="00B476B9"/>
    <w:rsid w:val="00B47EA5"/>
    <w:rsid w:val="00B501BB"/>
    <w:rsid w:val="00B51DBF"/>
    <w:rsid w:val="00B524B3"/>
    <w:rsid w:val="00B52A8A"/>
    <w:rsid w:val="00B53076"/>
    <w:rsid w:val="00B53408"/>
    <w:rsid w:val="00B53697"/>
    <w:rsid w:val="00B541AF"/>
    <w:rsid w:val="00B5426A"/>
    <w:rsid w:val="00B5495C"/>
    <w:rsid w:val="00B5521D"/>
    <w:rsid w:val="00B552FD"/>
    <w:rsid w:val="00B56145"/>
    <w:rsid w:val="00B5617E"/>
    <w:rsid w:val="00B56CC5"/>
    <w:rsid w:val="00B5743F"/>
    <w:rsid w:val="00B60E16"/>
    <w:rsid w:val="00B629E1"/>
    <w:rsid w:val="00B6314B"/>
    <w:rsid w:val="00B63B32"/>
    <w:rsid w:val="00B63DF1"/>
    <w:rsid w:val="00B647B2"/>
    <w:rsid w:val="00B66179"/>
    <w:rsid w:val="00B663F4"/>
    <w:rsid w:val="00B671C0"/>
    <w:rsid w:val="00B70273"/>
    <w:rsid w:val="00B708B2"/>
    <w:rsid w:val="00B71A37"/>
    <w:rsid w:val="00B731B7"/>
    <w:rsid w:val="00B74238"/>
    <w:rsid w:val="00B745AB"/>
    <w:rsid w:val="00B75695"/>
    <w:rsid w:val="00B757CE"/>
    <w:rsid w:val="00B75B2E"/>
    <w:rsid w:val="00B76258"/>
    <w:rsid w:val="00B7779A"/>
    <w:rsid w:val="00B77D26"/>
    <w:rsid w:val="00B77F1D"/>
    <w:rsid w:val="00B77F7C"/>
    <w:rsid w:val="00B8090A"/>
    <w:rsid w:val="00B809F8"/>
    <w:rsid w:val="00B8285F"/>
    <w:rsid w:val="00B828D5"/>
    <w:rsid w:val="00B8452F"/>
    <w:rsid w:val="00B86051"/>
    <w:rsid w:val="00B86A54"/>
    <w:rsid w:val="00B91146"/>
    <w:rsid w:val="00B919B4"/>
    <w:rsid w:val="00B937BD"/>
    <w:rsid w:val="00B939AF"/>
    <w:rsid w:val="00B9438B"/>
    <w:rsid w:val="00B94395"/>
    <w:rsid w:val="00B95698"/>
    <w:rsid w:val="00BA0E9A"/>
    <w:rsid w:val="00BA0FB2"/>
    <w:rsid w:val="00BA2AB1"/>
    <w:rsid w:val="00BA345C"/>
    <w:rsid w:val="00BA3BBB"/>
    <w:rsid w:val="00BA47C7"/>
    <w:rsid w:val="00BA779C"/>
    <w:rsid w:val="00BB0F63"/>
    <w:rsid w:val="00BB2878"/>
    <w:rsid w:val="00BB2C21"/>
    <w:rsid w:val="00BB32AB"/>
    <w:rsid w:val="00BB3514"/>
    <w:rsid w:val="00BB46F5"/>
    <w:rsid w:val="00BB4739"/>
    <w:rsid w:val="00BB4CC3"/>
    <w:rsid w:val="00BB65A1"/>
    <w:rsid w:val="00BB7398"/>
    <w:rsid w:val="00BB7410"/>
    <w:rsid w:val="00BC0AF8"/>
    <w:rsid w:val="00BC1836"/>
    <w:rsid w:val="00BC26A7"/>
    <w:rsid w:val="00BC2C22"/>
    <w:rsid w:val="00BC3DCB"/>
    <w:rsid w:val="00BC510F"/>
    <w:rsid w:val="00BC5AA5"/>
    <w:rsid w:val="00BC6D3A"/>
    <w:rsid w:val="00BC77E6"/>
    <w:rsid w:val="00BD1260"/>
    <w:rsid w:val="00BD1BE4"/>
    <w:rsid w:val="00BD23B5"/>
    <w:rsid w:val="00BD4758"/>
    <w:rsid w:val="00BD680D"/>
    <w:rsid w:val="00BE2EB7"/>
    <w:rsid w:val="00BE4503"/>
    <w:rsid w:val="00BE45F1"/>
    <w:rsid w:val="00BE52C6"/>
    <w:rsid w:val="00BE64BA"/>
    <w:rsid w:val="00BE6DDD"/>
    <w:rsid w:val="00BF121C"/>
    <w:rsid w:val="00BF1699"/>
    <w:rsid w:val="00BF3217"/>
    <w:rsid w:val="00BF3663"/>
    <w:rsid w:val="00BF432A"/>
    <w:rsid w:val="00BF49C1"/>
    <w:rsid w:val="00BF4B47"/>
    <w:rsid w:val="00BF4D28"/>
    <w:rsid w:val="00BF54AA"/>
    <w:rsid w:val="00BF5D46"/>
    <w:rsid w:val="00BF60A0"/>
    <w:rsid w:val="00BF65B1"/>
    <w:rsid w:val="00C01D0F"/>
    <w:rsid w:val="00C06362"/>
    <w:rsid w:val="00C06A5E"/>
    <w:rsid w:val="00C075D5"/>
    <w:rsid w:val="00C10809"/>
    <w:rsid w:val="00C13B03"/>
    <w:rsid w:val="00C13F5E"/>
    <w:rsid w:val="00C14DE0"/>
    <w:rsid w:val="00C17335"/>
    <w:rsid w:val="00C173D5"/>
    <w:rsid w:val="00C1788F"/>
    <w:rsid w:val="00C17A1A"/>
    <w:rsid w:val="00C22F80"/>
    <w:rsid w:val="00C23423"/>
    <w:rsid w:val="00C25F10"/>
    <w:rsid w:val="00C27B81"/>
    <w:rsid w:val="00C3022D"/>
    <w:rsid w:val="00C31792"/>
    <w:rsid w:val="00C31F20"/>
    <w:rsid w:val="00C32809"/>
    <w:rsid w:val="00C33C77"/>
    <w:rsid w:val="00C33DDB"/>
    <w:rsid w:val="00C34A0C"/>
    <w:rsid w:val="00C34AB2"/>
    <w:rsid w:val="00C40C8E"/>
    <w:rsid w:val="00C448A8"/>
    <w:rsid w:val="00C45260"/>
    <w:rsid w:val="00C45EE1"/>
    <w:rsid w:val="00C46298"/>
    <w:rsid w:val="00C4640A"/>
    <w:rsid w:val="00C46DF4"/>
    <w:rsid w:val="00C5010F"/>
    <w:rsid w:val="00C508A5"/>
    <w:rsid w:val="00C51CD5"/>
    <w:rsid w:val="00C54A94"/>
    <w:rsid w:val="00C56469"/>
    <w:rsid w:val="00C600D9"/>
    <w:rsid w:val="00C66B07"/>
    <w:rsid w:val="00C71292"/>
    <w:rsid w:val="00C71E54"/>
    <w:rsid w:val="00C753E0"/>
    <w:rsid w:val="00C75462"/>
    <w:rsid w:val="00C755F2"/>
    <w:rsid w:val="00C7609F"/>
    <w:rsid w:val="00C76C65"/>
    <w:rsid w:val="00C77674"/>
    <w:rsid w:val="00C7776B"/>
    <w:rsid w:val="00C81D3D"/>
    <w:rsid w:val="00C82267"/>
    <w:rsid w:val="00C82277"/>
    <w:rsid w:val="00C823F7"/>
    <w:rsid w:val="00C82683"/>
    <w:rsid w:val="00C83DCE"/>
    <w:rsid w:val="00C83DEF"/>
    <w:rsid w:val="00C85D94"/>
    <w:rsid w:val="00C90480"/>
    <w:rsid w:val="00C90CC1"/>
    <w:rsid w:val="00C9114F"/>
    <w:rsid w:val="00C9394F"/>
    <w:rsid w:val="00C9415F"/>
    <w:rsid w:val="00C94633"/>
    <w:rsid w:val="00C94FCF"/>
    <w:rsid w:val="00C970AB"/>
    <w:rsid w:val="00CA0C72"/>
    <w:rsid w:val="00CA1B89"/>
    <w:rsid w:val="00CA256D"/>
    <w:rsid w:val="00CA6406"/>
    <w:rsid w:val="00CA68C7"/>
    <w:rsid w:val="00CA7960"/>
    <w:rsid w:val="00CB14E7"/>
    <w:rsid w:val="00CB19AB"/>
    <w:rsid w:val="00CB1B26"/>
    <w:rsid w:val="00CB2B61"/>
    <w:rsid w:val="00CB39B8"/>
    <w:rsid w:val="00CB4449"/>
    <w:rsid w:val="00CB62B8"/>
    <w:rsid w:val="00CB6385"/>
    <w:rsid w:val="00CB784D"/>
    <w:rsid w:val="00CC13EE"/>
    <w:rsid w:val="00CC4118"/>
    <w:rsid w:val="00CC4464"/>
    <w:rsid w:val="00CC6948"/>
    <w:rsid w:val="00CD47BC"/>
    <w:rsid w:val="00CD4A0E"/>
    <w:rsid w:val="00CD4CD3"/>
    <w:rsid w:val="00CD4D9E"/>
    <w:rsid w:val="00CD4F5F"/>
    <w:rsid w:val="00CE1239"/>
    <w:rsid w:val="00CE387A"/>
    <w:rsid w:val="00CE6DA3"/>
    <w:rsid w:val="00CF0645"/>
    <w:rsid w:val="00CF2566"/>
    <w:rsid w:val="00CF2EA8"/>
    <w:rsid w:val="00CF2F12"/>
    <w:rsid w:val="00CF34CC"/>
    <w:rsid w:val="00CF3FEB"/>
    <w:rsid w:val="00CF4BBC"/>
    <w:rsid w:val="00CF7DD2"/>
    <w:rsid w:val="00CF7E0A"/>
    <w:rsid w:val="00D003FF"/>
    <w:rsid w:val="00D00461"/>
    <w:rsid w:val="00D007C6"/>
    <w:rsid w:val="00D0228C"/>
    <w:rsid w:val="00D02B0E"/>
    <w:rsid w:val="00D0362B"/>
    <w:rsid w:val="00D0403B"/>
    <w:rsid w:val="00D04ADD"/>
    <w:rsid w:val="00D04FD7"/>
    <w:rsid w:val="00D05690"/>
    <w:rsid w:val="00D05959"/>
    <w:rsid w:val="00D05C3D"/>
    <w:rsid w:val="00D060DD"/>
    <w:rsid w:val="00D064C2"/>
    <w:rsid w:val="00D1013D"/>
    <w:rsid w:val="00D12902"/>
    <w:rsid w:val="00D139D2"/>
    <w:rsid w:val="00D15459"/>
    <w:rsid w:val="00D221C9"/>
    <w:rsid w:val="00D2236D"/>
    <w:rsid w:val="00D30C1E"/>
    <w:rsid w:val="00D33126"/>
    <w:rsid w:val="00D334A6"/>
    <w:rsid w:val="00D34448"/>
    <w:rsid w:val="00D36703"/>
    <w:rsid w:val="00D4221E"/>
    <w:rsid w:val="00D42655"/>
    <w:rsid w:val="00D42AFF"/>
    <w:rsid w:val="00D44DB8"/>
    <w:rsid w:val="00D45FE0"/>
    <w:rsid w:val="00D46F0D"/>
    <w:rsid w:val="00D505C5"/>
    <w:rsid w:val="00D50FA3"/>
    <w:rsid w:val="00D52DAD"/>
    <w:rsid w:val="00D53AB6"/>
    <w:rsid w:val="00D55002"/>
    <w:rsid w:val="00D56704"/>
    <w:rsid w:val="00D578FA"/>
    <w:rsid w:val="00D60565"/>
    <w:rsid w:val="00D60D10"/>
    <w:rsid w:val="00D61F25"/>
    <w:rsid w:val="00D65E9D"/>
    <w:rsid w:val="00D66220"/>
    <w:rsid w:val="00D66EB1"/>
    <w:rsid w:val="00D673EB"/>
    <w:rsid w:val="00D71636"/>
    <w:rsid w:val="00D71E99"/>
    <w:rsid w:val="00D746E9"/>
    <w:rsid w:val="00D755C5"/>
    <w:rsid w:val="00D76781"/>
    <w:rsid w:val="00D77896"/>
    <w:rsid w:val="00D80505"/>
    <w:rsid w:val="00D808D9"/>
    <w:rsid w:val="00D81702"/>
    <w:rsid w:val="00D81BE8"/>
    <w:rsid w:val="00D847E4"/>
    <w:rsid w:val="00D85B54"/>
    <w:rsid w:val="00D870D1"/>
    <w:rsid w:val="00D87876"/>
    <w:rsid w:val="00D9019C"/>
    <w:rsid w:val="00D91796"/>
    <w:rsid w:val="00D94A18"/>
    <w:rsid w:val="00D9557E"/>
    <w:rsid w:val="00D95874"/>
    <w:rsid w:val="00D959C9"/>
    <w:rsid w:val="00D95DB9"/>
    <w:rsid w:val="00D967D6"/>
    <w:rsid w:val="00D96DB3"/>
    <w:rsid w:val="00DA2219"/>
    <w:rsid w:val="00DA24A2"/>
    <w:rsid w:val="00DA2AB2"/>
    <w:rsid w:val="00DA49E6"/>
    <w:rsid w:val="00DA4C85"/>
    <w:rsid w:val="00DA6295"/>
    <w:rsid w:val="00DA6CE8"/>
    <w:rsid w:val="00DA7B23"/>
    <w:rsid w:val="00DB089B"/>
    <w:rsid w:val="00DB3957"/>
    <w:rsid w:val="00DB4FEF"/>
    <w:rsid w:val="00DB79A9"/>
    <w:rsid w:val="00DB7CD5"/>
    <w:rsid w:val="00DC00CF"/>
    <w:rsid w:val="00DC0E0E"/>
    <w:rsid w:val="00DC13A9"/>
    <w:rsid w:val="00DC1C5F"/>
    <w:rsid w:val="00DC3ACD"/>
    <w:rsid w:val="00DC52D5"/>
    <w:rsid w:val="00DC5946"/>
    <w:rsid w:val="00DC5D77"/>
    <w:rsid w:val="00DC679B"/>
    <w:rsid w:val="00DC6A3F"/>
    <w:rsid w:val="00DC7187"/>
    <w:rsid w:val="00DD04F2"/>
    <w:rsid w:val="00DD05F0"/>
    <w:rsid w:val="00DD0D1C"/>
    <w:rsid w:val="00DD6ECD"/>
    <w:rsid w:val="00DD79C1"/>
    <w:rsid w:val="00DE0E18"/>
    <w:rsid w:val="00DE1018"/>
    <w:rsid w:val="00DE34F6"/>
    <w:rsid w:val="00DE66D7"/>
    <w:rsid w:val="00DF0135"/>
    <w:rsid w:val="00DF11C0"/>
    <w:rsid w:val="00DF13F2"/>
    <w:rsid w:val="00DF18A9"/>
    <w:rsid w:val="00DF275C"/>
    <w:rsid w:val="00DF433E"/>
    <w:rsid w:val="00DF503E"/>
    <w:rsid w:val="00E014DB"/>
    <w:rsid w:val="00E02984"/>
    <w:rsid w:val="00E04689"/>
    <w:rsid w:val="00E04B65"/>
    <w:rsid w:val="00E05346"/>
    <w:rsid w:val="00E064A7"/>
    <w:rsid w:val="00E0744A"/>
    <w:rsid w:val="00E102F7"/>
    <w:rsid w:val="00E111DE"/>
    <w:rsid w:val="00E17AC6"/>
    <w:rsid w:val="00E20287"/>
    <w:rsid w:val="00E207C0"/>
    <w:rsid w:val="00E20EC1"/>
    <w:rsid w:val="00E237FC"/>
    <w:rsid w:val="00E25093"/>
    <w:rsid w:val="00E25DEF"/>
    <w:rsid w:val="00E2629E"/>
    <w:rsid w:val="00E274D7"/>
    <w:rsid w:val="00E279A6"/>
    <w:rsid w:val="00E313CA"/>
    <w:rsid w:val="00E33650"/>
    <w:rsid w:val="00E3549C"/>
    <w:rsid w:val="00E3734E"/>
    <w:rsid w:val="00E379A2"/>
    <w:rsid w:val="00E37F1F"/>
    <w:rsid w:val="00E4339C"/>
    <w:rsid w:val="00E44BC6"/>
    <w:rsid w:val="00E4672E"/>
    <w:rsid w:val="00E4794A"/>
    <w:rsid w:val="00E53CC8"/>
    <w:rsid w:val="00E55708"/>
    <w:rsid w:val="00E560F8"/>
    <w:rsid w:val="00E568A8"/>
    <w:rsid w:val="00E57458"/>
    <w:rsid w:val="00E605F6"/>
    <w:rsid w:val="00E61ADB"/>
    <w:rsid w:val="00E62CD8"/>
    <w:rsid w:val="00E672AC"/>
    <w:rsid w:val="00E676C1"/>
    <w:rsid w:val="00E709AE"/>
    <w:rsid w:val="00E72FA5"/>
    <w:rsid w:val="00E7329F"/>
    <w:rsid w:val="00E73E7E"/>
    <w:rsid w:val="00E747AA"/>
    <w:rsid w:val="00E75C2E"/>
    <w:rsid w:val="00E7631C"/>
    <w:rsid w:val="00E81623"/>
    <w:rsid w:val="00E825A9"/>
    <w:rsid w:val="00E82E37"/>
    <w:rsid w:val="00E8552F"/>
    <w:rsid w:val="00E86A06"/>
    <w:rsid w:val="00E90ED1"/>
    <w:rsid w:val="00E9283E"/>
    <w:rsid w:val="00E941FC"/>
    <w:rsid w:val="00E95678"/>
    <w:rsid w:val="00E962E6"/>
    <w:rsid w:val="00E97187"/>
    <w:rsid w:val="00E97AA7"/>
    <w:rsid w:val="00EA1A1F"/>
    <w:rsid w:val="00EA29CB"/>
    <w:rsid w:val="00EA3BB2"/>
    <w:rsid w:val="00EA3E81"/>
    <w:rsid w:val="00EA4483"/>
    <w:rsid w:val="00EA525B"/>
    <w:rsid w:val="00EA6422"/>
    <w:rsid w:val="00EA7435"/>
    <w:rsid w:val="00EB10A5"/>
    <w:rsid w:val="00EB18DA"/>
    <w:rsid w:val="00EB1951"/>
    <w:rsid w:val="00EB2171"/>
    <w:rsid w:val="00EB288C"/>
    <w:rsid w:val="00EB6A2F"/>
    <w:rsid w:val="00EB6C42"/>
    <w:rsid w:val="00EB6F84"/>
    <w:rsid w:val="00EC227F"/>
    <w:rsid w:val="00EC5282"/>
    <w:rsid w:val="00EC58B3"/>
    <w:rsid w:val="00EC654B"/>
    <w:rsid w:val="00EC68C8"/>
    <w:rsid w:val="00EC69F8"/>
    <w:rsid w:val="00EC6D5F"/>
    <w:rsid w:val="00EC72FF"/>
    <w:rsid w:val="00EC759B"/>
    <w:rsid w:val="00ED0077"/>
    <w:rsid w:val="00ED0D71"/>
    <w:rsid w:val="00ED3336"/>
    <w:rsid w:val="00ED4E5B"/>
    <w:rsid w:val="00ED58FB"/>
    <w:rsid w:val="00ED61BD"/>
    <w:rsid w:val="00EE2382"/>
    <w:rsid w:val="00EE52E7"/>
    <w:rsid w:val="00EE571F"/>
    <w:rsid w:val="00EE5822"/>
    <w:rsid w:val="00EE5CE1"/>
    <w:rsid w:val="00EE6D6D"/>
    <w:rsid w:val="00EF03CD"/>
    <w:rsid w:val="00EF1A8B"/>
    <w:rsid w:val="00EF1E0D"/>
    <w:rsid w:val="00EF22CA"/>
    <w:rsid w:val="00EF2941"/>
    <w:rsid w:val="00EF351E"/>
    <w:rsid w:val="00EF3963"/>
    <w:rsid w:val="00EF3E70"/>
    <w:rsid w:val="00EF669E"/>
    <w:rsid w:val="00EF6DB4"/>
    <w:rsid w:val="00EF78C9"/>
    <w:rsid w:val="00F0148B"/>
    <w:rsid w:val="00F04984"/>
    <w:rsid w:val="00F06DDB"/>
    <w:rsid w:val="00F07756"/>
    <w:rsid w:val="00F10CD6"/>
    <w:rsid w:val="00F110C9"/>
    <w:rsid w:val="00F116F2"/>
    <w:rsid w:val="00F11EFE"/>
    <w:rsid w:val="00F12221"/>
    <w:rsid w:val="00F1299E"/>
    <w:rsid w:val="00F13E68"/>
    <w:rsid w:val="00F1472F"/>
    <w:rsid w:val="00F161E7"/>
    <w:rsid w:val="00F168DD"/>
    <w:rsid w:val="00F170C0"/>
    <w:rsid w:val="00F170C5"/>
    <w:rsid w:val="00F177C0"/>
    <w:rsid w:val="00F21531"/>
    <w:rsid w:val="00F24360"/>
    <w:rsid w:val="00F24925"/>
    <w:rsid w:val="00F25178"/>
    <w:rsid w:val="00F2687D"/>
    <w:rsid w:val="00F27916"/>
    <w:rsid w:val="00F27EC3"/>
    <w:rsid w:val="00F3176B"/>
    <w:rsid w:val="00F32B34"/>
    <w:rsid w:val="00F32CB2"/>
    <w:rsid w:val="00F34B61"/>
    <w:rsid w:val="00F359A7"/>
    <w:rsid w:val="00F379F0"/>
    <w:rsid w:val="00F43350"/>
    <w:rsid w:val="00F46798"/>
    <w:rsid w:val="00F517CF"/>
    <w:rsid w:val="00F520D5"/>
    <w:rsid w:val="00F5227C"/>
    <w:rsid w:val="00F52371"/>
    <w:rsid w:val="00F52E77"/>
    <w:rsid w:val="00F5590A"/>
    <w:rsid w:val="00F61295"/>
    <w:rsid w:val="00F62F20"/>
    <w:rsid w:val="00F642CC"/>
    <w:rsid w:val="00F64888"/>
    <w:rsid w:val="00F64A7D"/>
    <w:rsid w:val="00F659C1"/>
    <w:rsid w:val="00F674D0"/>
    <w:rsid w:val="00F679A7"/>
    <w:rsid w:val="00F7377B"/>
    <w:rsid w:val="00F740A9"/>
    <w:rsid w:val="00F7425B"/>
    <w:rsid w:val="00F802AB"/>
    <w:rsid w:val="00F82161"/>
    <w:rsid w:val="00F85276"/>
    <w:rsid w:val="00F85960"/>
    <w:rsid w:val="00F8618F"/>
    <w:rsid w:val="00F906E9"/>
    <w:rsid w:val="00F9096D"/>
    <w:rsid w:val="00F9570E"/>
    <w:rsid w:val="00F95F0E"/>
    <w:rsid w:val="00F97532"/>
    <w:rsid w:val="00FA0B64"/>
    <w:rsid w:val="00FA13F1"/>
    <w:rsid w:val="00FA1FF0"/>
    <w:rsid w:val="00FA3612"/>
    <w:rsid w:val="00FA4E28"/>
    <w:rsid w:val="00FA6483"/>
    <w:rsid w:val="00FA7410"/>
    <w:rsid w:val="00FA77D1"/>
    <w:rsid w:val="00FB0058"/>
    <w:rsid w:val="00FB0C3E"/>
    <w:rsid w:val="00FB1DE4"/>
    <w:rsid w:val="00FB6F0A"/>
    <w:rsid w:val="00FB72FB"/>
    <w:rsid w:val="00FB7916"/>
    <w:rsid w:val="00FC1D1D"/>
    <w:rsid w:val="00FC3830"/>
    <w:rsid w:val="00FC49DB"/>
    <w:rsid w:val="00FD0822"/>
    <w:rsid w:val="00FD1A8C"/>
    <w:rsid w:val="00FD2D9F"/>
    <w:rsid w:val="00FD3F29"/>
    <w:rsid w:val="00FD4199"/>
    <w:rsid w:val="00FD4714"/>
    <w:rsid w:val="00FD656C"/>
    <w:rsid w:val="00FE2184"/>
    <w:rsid w:val="00FE2B0A"/>
    <w:rsid w:val="00FE2F94"/>
    <w:rsid w:val="00FE43A4"/>
    <w:rsid w:val="00FF0C24"/>
    <w:rsid w:val="00FF20BB"/>
    <w:rsid w:val="00FF2F70"/>
    <w:rsid w:val="00FF309C"/>
    <w:rsid w:val="00FF3646"/>
    <w:rsid w:val="00FF49E8"/>
    <w:rsid w:val="00FF7E7C"/>
    <w:rsid w:val="00FF7F99"/>
  </w:rsids>
  <m:mathPr>
    <m:mathFont m:val="Cambria Math"/>
    <m:brkBin m:val="before"/>
    <m:brkBinSub m:val="--"/>
    <m:smallFrac m:val="0"/>
    <m:dispDef/>
    <m:lMargin m:val="0"/>
    <m:rMargin m:val="0"/>
    <m:defJc m:val="centerGroup"/>
    <m:wrapIndent m:val="1440"/>
    <m:intLim m:val="subSup"/>
    <m:naryLim m:val="undOvr"/>
  </m:mathPr>
  <w:themeFontLang w:val="ca-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A6ACBD"/>
  <w15:docId w15:val="{975CA491-79EC-4D1E-9D4B-AA8AC25AA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72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02A05"/>
    <w:rPr>
      <w:color w:val="0000FF" w:themeColor="hyperlink"/>
      <w:u w:val="single"/>
    </w:rPr>
  </w:style>
  <w:style w:type="character" w:styleId="Hipervnculovisitado">
    <w:name w:val="FollowedHyperlink"/>
    <w:basedOn w:val="Fuentedeprrafopredeter"/>
    <w:uiPriority w:val="99"/>
    <w:semiHidden/>
    <w:unhideWhenUsed/>
    <w:rsid w:val="00E962E6"/>
    <w:rPr>
      <w:color w:val="800080" w:themeColor="followedHyperlink"/>
      <w:u w:val="single"/>
    </w:rPr>
  </w:style>
  <w:style w:type="character" w:styleId="Refdecomentario">
    <w:name w:val="annotation reference"/>
    <w:basedOn w:val="Fuentedeprrafopredeter"/>
    <w:uiPriority w:val="99"/>
    <w:semiHidden/>
    <w:unhideWhenUsed/>
    <w:rsid w:val="00BD1BE4"/>
    <w:rPr>
      <w:sz w:val="16"/>
      <w:szCs w:val="16"/>
    </w:rPr>
  </w:style>
  <w:style w:type="paragraph" w:styleId="Textocomentario">
    <w:name w:val="annotation text"/>
    <w:basedOn w:val="Normal"/>
    <w:link w:val="TextocomentarioCar"/>
    <w:uiPriority w:val="99"/>
    <w:unhideWhenUsed/>
    <w:rsid w:val="00BD1BE4"/>
    <w:pPr>
      <w:spacing w:line="240" w:lineRule="auto"/>
    </w:pPr>
    <w:rPr>
      <w:sz w:val="20"/>
      <w:szCs w:val="20"/>
    </w:rPr>
  </w:style>
  <w:style w:type="character" w:customStyle="1" w:styleId="TextocomentarioCar">
    <w:name w:val="Texto comentario Car"/>
    <w:basedOn w:val="Fuentedeprrafopredeter"/>
    <w:link w:val="Textocomentario"/>
    <w:uiPriority w:val="99"/>
    <w:rsid w:val="00BD1BE4"/>
    <w:rPr>
      <w:sz w:val="20"/>
      <w:szCs w:val="20"/>
    </w:rPr>
  </w:style>
  <w:style w:type="paragraph" w:styleId="Asuntodelcomentario">
    <w:name w:val="annotation subject"/>
    <w:basedOn w:val="Textocomentario"/>
    <w:next w:val="Textocomentario"/>
    <w:link w:val="AsuntodelcomentarioCar"/>
    <w:uiPriority w:val="99"/>
    <w:semiHidden/>
    <w:unhideWhenUsed/>
    <w:rsid w:val="00BD1BE4"/>
    <w:rPr>
      <w:b/>
      <w:bCs/>
    </w:rPr>
  </w:style>
  <w:style w:type="character" w:customStyle="1" w:styleId="AsuntodelcomentarioCar">
    <w:name w:val="Asunto del comentario Car"/>
    <w:basedOn w:val="TextocomentarioCar"/>
    <w:link w:val="Asuntodelcomentario"/>
    <w:uiPriority w:val="99"/>
    <w:semiHidden/>
    <w:rsid w:val="00BD1BE4"/>
    <w:rPr>
      <w:b/>
      <w:bCs/>
      <w:sz w:val="20"/>
      <w:szCs w:val="20"/>
    </w:rPr>
  </w:style>
  <w:style w:type="paragraph" w:styleId="Textodeglobo">
    <w:name w:val="Balloon Text"/>
    <w:basedOn w:val="Normal"/>
    <w:link w:val="TextodegloboCar"/>
    <w:uiPriority w:val="99"/>
    <w:semiHidden/>
    <w:unhideWhenUsed/>
    <w:rsid w:val="00BD1BE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D1BE4"/>
    <w:rPr>
      <w:rFonts w:ascii="Tahoma" w:hAnsi="Tahoma" w:cs="Tahoma"/>
      <w:sz w:val="16"/>
      <w:szCs w:val="16"/>
    </w:rPr>
  </w:style>
  <w:style w:type="paragraph" w:styleId="Prrafodelista">
    <w:name w:val="List Paragraph"/>
    <w:basedOn w:val="Normal"/>
    <w:uiPriority w:val="34"/>
    <w:qFormat/>
    <w:rsid w:val="00092AB7"/>
    <w:pPr>
      <w:ind w:left="720"/>
      <w:contextualSpacing/>
    </w:pPr>
  </w:style>
  <w:style w:type="character" w:styleId="Nmerodelnea">
    <w:name w:val="line number"/>
    <w:basedOn w:val="Fuentedeprrafopredeter"/>
    <w:uiPriority w:val="99"/>
    <w:semiHidden/>
    <w:unhideWhenUsed/>
    <w:rsid w:val="00254A3E"/>
  </w:style>
  <w:style w:type="paragraph" w:styleId="Revisin">
    <w:name w:val="Revision"/>
    <w:hidden/>
    <w:uiPriority w:val="99"/>
    <w:semiHidden/>
    <w:rsid w:val="00201F24"/>
    <w:pPr>
      <w:spacing w:after="0" w:line="240" w:lineRule="auto"/>
    </w:pPr>
  </w:style>
  <w:style w:type="paragraph" w:customStyle="1" w:styleId="p1">
    <w:name w:val="p1"/>
    <w:basedOn w:val="Normal"/>
    <w:rsid w:val="00C83DEF"/>
    <w:pPr>
      <w:spacing w:after="0" w:line="240" w:lineRule="auto"/>
    </w:pPr>
    <w:rPr>
      <w:rFonts w:ascii="Times" w:hAnsi="Times" w:cs="Times New Roman"/>
      <w:sz w:val="11"/>
      <w:szCs w:val="11"/>
      <w:lang w:val="en-GB" w:eastAsia="en-GB"/>
    </w:rPr>
  </w:style>
  <w:style w:type="character" w:customStyle="1" w:styleId="st">
    <w:name w:val="st"/>
    <w:basedOn w:val="Fuentedeprrafopredeter"/>
    <w:rsid w:val="005C2E38"/>
  </w:style>
  <w:style w:type="character" w:styleId="Textodelmarcadordeposicin">
    <w:name w:val="Placeholder Text"/>
    <w:basedOn w:val="Fuentedeprrafopredeter"/>
    <w:uiPriority w:val="99"/>
    <w:semiHidden/>
    <w:rsid w:val="00396493"/>
    <w:rPr>
      <w:color w:val="808080"/>
    </w:rPr>
  </w:style>
  <w:style w:type="paragraph" w:styleId="Encabezado">
    <w:name w:val="header"/>
    <w:basedOn w:val="Normal"/>
    <w:link w:val="EncabezadoCar"/>
    <w:uiPriority w:val="99"/>
    <w:unhideWhenUsed/>
    <w:rsid w:val="009E76D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E76D2"/>
  </w:style>
  <w:style w:type="paragraph" w:styleId="Piedepgina">
    <w:name w:val="footer"/>
    <w:basedOn w:val="Normal"/>
    <w:link w:val="PiedepginaCar"/>
    <w:uiPriority w:val="99"/>
    <w:unhideWhenUsed/>
    <w:rsid w:val="009E76D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E76D2"/>
  </w:style>
  <w:style w:type="character" w:customStyle="1" w:styleId="pagecontents">
    <w:name w:val="pagecontents"/>
    <w:basedOn w:val="Fuentedeprrafopredeter"/>
    <w:rsid w:val="00EC2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4661">
      <w:bodyDiv w:val="1"/>
      <w:marLeft w:val="0"/>
      <w:marRight w:val="0"/>
      <w:marTop w:val="0"/>
      <w:marBottom w:val="0"/>
      <w:divBdr>
        <w:top w:val="none" w:sz="0" w:space="0" w:color="auto"/>
        <w:left w:val="none" w:sz="0" w:space="0" w:color="auto"/>
        <w:bottom w:val="none" w:sz="0" w:space="0" w:color="auto"/>
        <w:right w:val="none" w:sz="0" w:space="0" w:color="auto"/>
      </w:divBdr>
    </w:div>
    <w:div w:id="4064709">
      <w:bodyDiv w:val="1"/>
      <w:marLeft w:val="0"/>
      <w:marRight w:val="0"/>
      <w:marTop w:val="0"/>
      <w:marBottom w:val="0"/>
      <w:divBdr>
        <w:top w:val="none" w:sz="0" w:space="0" w:color="auto"/>
        <w:left w:val="none" w:sz="0" w:space="0" w:color="auto"/>
        <w:bottom w:val="none" w:sz="0" w:space="0" w:color="auto"/>
        <w:right w:val="none" w:sz="0" w:space="0" w:color="auto"/>
      </w:divBdr>
    </w:div>
    <w:div w:id="24914706">
      <w:bodyDiv w:val="1"/>
      <w:marLeft w:val="0"/>
      <w:marRight w:val="0"/>
      <w:marTop w:val="0"/>
      <w:marBottom w:val="0"/>
      <w:divBdr>
        <w:top w:val="none" w:sz="0" w:space="0" w:color="auto"/>
        <w:left w:val="none" w:sz="0" w:space="0" w:color="auto"/>
        <w:bottom w:val="none" w:sz="0" w:space="0" w:color="auto"/>
        <w:right w:val="none" w:sz="0" w:space="0" w:color="auto"/>
      </w:divBdr>
    </w:div>
    <w:div w:id="29576861">
      <w:bodyDiv w:val="1"/>
      <w:marLeft w:val="0"/>
      <w:marRight w:val="0"/>
      <w:marTop w:val="0"/>
      <w:marBottom w:val="0"/>
      <w:divBdr>
        <w:top w:val="none" w:sz="0" w:space="0" w:color="auto"/>
        <w:left w:val="none" w:sz="0" w:space="0" w:color="auto"/>
        <w:bottom w:val="none" w:sz="0" w:space="0" w:color="auto"/>
        <w:right w:val="none" w:sz="0" w:space="0" w:color="auto"/>
      </w:divBdr>
    </w:div>
    <w:div w:id="47463420">
      <w:bodyDiv w:val="1"/>
      <w:marLeft w:val="0"/>
      <w:marRight w:val="0"/>
      <w:marTop w:val="0"/>
      <w:marBottom w:val="0"/>
      <w:divBdr>
        <w:top w:val="none" w:sz="0" w:space="0" w:color="auto"/>
        <w:left w:val="none" w:sz="0" w:space="0" w:color="auto"/>
        <w:bottom w:val="none" w:sz="0" w:space="0" w:color="auto"/>
        <w:right w:val="none" w:sz="0" w:space="0" w:color="auto"/>
      </w:divBdr>
    </w:div>
    <w:div w:id="52898672">
      <w:bodyDiv w:val="1"/>
      <w:marLeft w:val="0"/>
      <w:marRight w:val="0"/>
      <w:marTop w:val="0"/>
      <w:marBottom w:val="0"/>
      <w:divBdr>
        <w:top w:val="none" w:sz="0" w:space="0" w:color="auto"/>
        <w:left w:val="none" w:sz="0" w:space="0" w:color="auto"/>
        <w:bottom w:val="none" w:sz="0" w:space="0" w:color="auto"/>
        <w:right w:val="none" w:sz="0" w:space="0" w:color="auto"/>
      </w:divBdr>
    </w:div>
    <w:div w:id="57169294">
      <w:bodyDiv w:val="1"/>
      <w:marLeft w:val="0"/>
      <w:marRight w:val="0"/>
      <w:marTop w:val="0"/>
      <w:marBottom w:val="0"/>
      <w:divBdr>
        <w:top w:val="none" w:sz="0" w:space="0" w:color="auto"/>
        <w:left w:val="none" w:sz="0" w:space="0" w:color="auto"/>
        <w:bottom w:val="none" w:sz="0" w:space="0" w:color="auto"/>
        <w:right w:val="none" w:sz="0" w:space="0" w:color="auto"/>
      </w:divBdr>
    </w:div>
    <w:div w:id="68844353">
      <w:bodyDiv w:val="1"/>
      <w:marLeft w:val="0"/>
      <w:marRight w:val="0"/>
      <w:marTop w:val="0"/>
      <w:marBottom w:val="0"/>
      <w:divBdr>
        <w:top w:val="none" w:sz="0" w:space="0" w:color="auto"/>
        <w:left w:val="none" w:sz="0" w:space="0" w:color="auto"/>
        <w:bottom w:val="none" w:sz="0" w:space="0" w:color="auto"/>
        <w:right w:val="none" w:sz="0" w:space="0" w:color="auto"/>
      </w:divBdr>
    </w:div>
    <w:div w:id="71393870">
      <w:bodyDiv w:val="1"/>
      <w:marLeft w:val="0"/>
      <w:marRight w:val="0"/>
      <w:marTop w:val="0"/>
      <w:marBottom w:val="0"/>
      <w:divBdr>
        <w:top w:val="none" w:sz="0" w:space="0" w:color="auto"/>
        <w:left w:val="none" w:sz="0" w:space="0" w:color="auto"/>
        <w:bottom w:val="none" w:sz="0" w:space="0" w:color="auto"/>
        <w:right w:val="none" w:sz="0" w:space="0" w:color="auto"/>
      </w:divBdr>
    </w:div>
    <w:div w:id="78061350">
      <w:bodyDiv w:val="1"/>
      <w:marLeft w:val="0"/>
      <w:marRight w:val="0"/>
      <w:marTop w:val="0"/>
      <w:marBottom w:val="0"/>
      <w:divBdr>
        <w:top w:val="none" w:sz="0" w:space="0" w:color="auto"/>
        <w:left w:val="none" w:sz="0" w:space="0" w:color="auto"/>
        <w:bottom w:val="none" w:sz="0" w:space="0" w:color="auto"/>
        <w:right w:val="none" w:sz="0" w:space="0" w:color="auto"/>
      </w:divBdr>
    </w:div>
    <w:div w:id="82460547">
      <w:bodyDiv w:val="1"/>
      <w:marLeft w:val="0"/>
      <w:marRight w:val="0"/>
      <w:marTop w:val="0"/>
      <w:marBottom w:val="0"/>
      <w:divBdr>
        <w:top w:val="none" w:sz="0" w:space="0" w:color="auto"/>
        <w:left w:val="none" w:sz="0" w:space="0" w:color="auto"/>
        <w:bottom w:val="none" w:sz="0" w:space="0" w:color="auto"/>
        <w:right w:val="none" w:sz="0" w:space="0" w:color="auto"/>
      </w:divBdr>
    </w:div>
    <w:div w:id="105348274">
      <w:bodyDiv w:val="1"/>
      <w:marLeft w:val="0"/>
      <w:marRight w:val="0"/>
      <w:marTop w:val="0"/>
      <w:marBottom w:val="0"/>
      <w:divBdr>
        <w:top w:val="none" w:sz="0" w:space="0" w:color="auto"/>
        <w:left w:val="none" w:sz="0" w:space="0" w:color="auto"/>
        <w:bottom w:val="none" w:sz="0" w:space="0" w:color="auto"/>
        <w:right w:val="none" w:sz="0" w:space="0" w:color="auto"/>
      </w:divBdr>
    </w:div>
    <w:div w:id="114326655">
      <w:bodyDiv w:val="1"/>
      <w:marLeft w:val="0"/>
      <w:marRight w:val="0"/>
      <w:marTop w:val="0"/>
      <w:marBottom w:val="0"/>
      <w:divBdr>
        <w:top w:val="none" w:sz="0" w:space="0" w:color="auto"/>
        <w:left w:val="none" w:sz="0" w:space="0" w:color="auto"/>
        <w:bottom w:val="none" w:sz="0" w:space="0" w:color="auto"/>
        <w:right w:val="none" w:sz="0" w:space="0" w:color="auto"/>
      </w:divBdr>
    </w:div>
    <w:div w:id="119034732">
      <w:bodyDiv w:val="1"/>
      <w:marLeft w:val="0"/>
      <w:marRight w:val="0"/>
      <w:marTop w:val="0"/>
      <w:marBottom w:val="0"/>
      <w:divBdr>
        <w:top w:val="none" w:sz="0" w:space="0" w:color="auto"/>
        <w:left w:val="none" w:sz="0" w:space="0" w:color="auto"/>
        <w:bottom w:val="none" w:sz="0" w:space="0" w:color="auto"/>
        <w:right w:val="none" w:sz="0" w:space="0" w:color="auto"/>
      </w:divBdr>
    </w:div>
    <w:div w:id="127473612">
      <w:bodyDiv w:val="1"/>
      <w:marLeft w:val="0"/>
      <w:marRight w:val="0"/>
      <w:marTop w:val="0"/>
      <w:marBottom w:val="0"/>
      <w:divBdr>
        <w:top w:val="none" w:sz="0" w:space="0" w:color="auto"/>
        <w:left w:val="none" w:sz="0" w:space="0" w:color="auto"/>
        <w:bottom w:val="none" w:sz="0" w:space="0" w:color="auto"/>
        <w:right w:val="none" w:sz="0" w:space="0" w:color="auto"/>
      </w:divBdr>
    </w:div>
    <w:div w:id="138306184">
      <w:bodyDiv w:val="1"/>
      <w:marLeft w:val="0"/>
      <w:marRight w:val="0"/>
      <w:marTop w:val="0"/>
      <w:marBottom w:val="0"/>
      <w:divBdr>
        <w:top w:val="none" w:sz="0" w:space="0" w:color="auto"/>
        <w:left w:val="none" w:sz="0" w:space="0" w:color="auto"/>
        <w:bottom w:val="none" w:sz="0" w:space="0" w:color="auto"/>
        <w:right w:val="none" w:sz="0" w:space="0" w:color="auto"/>
      </w:divBdr>
    </w:div>
    <w:div w:id="152260865">
      <w:bodyDiv w:val="1"/>
      <w:marLeft w:val="0"/>
      <w:marRight w:val="0"/>
      <w:marTop w:val="0"/>
      <w:marBottom w:val="0"/>
      <w:divBdr>
        <w:top w:val="none" w:sz="0" w:space="0" w:color="auto"/>
        <w:left w:val="none" w:sz="0" w:space="0" w:color="auto"/>
        <w:bottom w:val="none" w:sz="0" w:space="0" w:color="auto"/>
        <w:right w:val="none" w:sz="0" w:space="0" w:color="auto"/>
      </w:divBdr>
    </w:div>
    <w:div w:id="160051692">
      <w:bodyDiv w:val="1"/>
      <w:marLeft w:val="0"/>
      <w:marRight w:val="0"/>
      <w:marTop w:val="0"/>
      <w:marBottom w:val="0"/>
      <w:divBdr>
        <w:top w:val="none" w:sz="0" w:space="0" w:color="auto"/>
        <w:left w:val="none" w:sz="0" w:space="0" w:color="auto"/>
        <w:bottom w:val="none" w:sz="0" w:space="0" w:color="auto"/>
        <w:right w:val="none" w:sz="0" w:space="0" w:color="auto"/>
      </w:divBdr>
    </w:div>
    <w:div w:id="163589327">
      <w:bodyDiv w:val="1"/>
      <w:marLeft w:val="0"/>
      <w:marRight w:val="0"/>
      <w:marTop w:val="0"/>
      <w:marBottom w:val="0"/>
      <w:divBdr>
        <w:top w:val="none" w:sz="0" w:space="0" w:color="auto"/>
        <w:left w:val="none" w:sz="0" w:space="0" w:color="auto"/>
        <w:bottom w:val="none" w:sz="0" w:space="0" w:color="auto"/>
        <w:right w:val="none" w:sz="0" w:space="0" w:color="auto"/>
      </w:divBdr>
    </w:div>
    <w:div w:id="165899818">
      <w:bodyDiv w:val="1"/>
      <w:marLeft w:val="0"/>
      <w:marRight w:val="0"/>
      <w:marTop w:val="0"/>
      <w:marBottom w:val="0"/>
      <w:divBdr>
        <w:top w:val="none" w:sz="0" w:space="0" w:color="auto"/>
        <w:left w:val="none" w:sz="0" w:space="0" w:color="auto"/>
        <w:bottom w:val="none" w:sz="0" w:space="0" w:color="auto"/>
        <w:right w:val="none" w:sz="0" w:space="0" w:color="auto"/>
      </w:divBdr>
    </w:div>
    <w:div w:id="168834031">
      <w:bodyDiv w:val="1"/>
      <w:marLeft w:val="0"/>
      <w:marRight w:val="0"/>
      <w:marTop w:val="0"/>
      <w:marBottom w:val="0"/>
      <w:divBdr>
        <w:top w:val="none" w:sz="0" w:space="0" w:color="auto"/>
        <w:left w:val="none" w:sz="0" w:space="0" w:color="auto"/>
        <w:bottom w:val="none" w:sz="0" w:space="0" w:color="auto"/>
        <w:right w:val="none" w:sz="0" w:space="0" w:color="auto"/>
      </w:divBdr>
    </w:div>
    <w:div w:id="179320271">
      <w:bodyDiv w:val="1"/>
      <w:marLeft w:val="0"/>
      <w:marRight w:val="0"/>
      <w:marTop w:val="0"/>
      <w:marBottom w:val="0"/>
      <w:divBdr>
        <w:top w:val="none" w:sz="0" w:space="0" w:color="auto"/>
        <w:left w:val="none" w:sz="0" w:space="0" w:color="auto"/>
        <w:bottom w:val="none" w:sz="0" w:space="0" w:color="auto"/>
        <w:right w:val="none" w:sz="0" w:space="0" w:color="auto"/>
      </w:divBdr>
    </w:div>
    <w:div w:id="188877846">
      <w:bodyDiv w:val="1"/>
      <w:marLeft w:val="0"/>
      <w:marRight w:val="0"/>
      <w:marTop w:val="0"/>
      <w:marBottom w:val="0"/>
      <w:divBdr>
        <w:top w:val="none" w:sz="0" w:space="0" w:color="auto"/>
        <w:left w:val="none" w:sz="0" w:space="0" w:color="auto"/>
        <w:bottom w:val="none" w:sz="0" w:space="0" w:color="auto"/>
        <w:right w:val="none" w:sz="0" w:space="0" w:color="auto"/>
      </w:divBdr>
    </w:div>
    <w:div w:id="199903630">
      <w:bodyDiv w:val="1"/>
      <w:marLeft w:val="0"/>
      <w:marRight w:val="0"/>
      <w:marTop w:val="0"/>
      <w:marBottom w:val="0"/>
      <w:divBdr>
        <w:top w:val="none" w:sz="0" w:space="0" w:color="auto"/>
        <w:left w:val="none" w:sz="0" w:space="0" w:color="auto"/>
        <w:bottom w:val="none" w:sz="0" w:space="0" w:color="auto"/>
        <w:right w:val="none" w:sz="0" w:space="0" w:color="auto"/>
      </w:divBdr>
    </w:div>
    <w:div w:id="213784760">
      <w:bodyDiv w:val="1"/>
      <w:marLeft w:val="0"/>
      <w:marRight w:val="0"/>
      <w:marTop w:val="0"/>
      <w:marBottom w:val="0"/>
      <w:divBdr>
        <w:top w:val="none" w:sz="0" w:space="0" w:color="auto"/>
        <w:left w:val="none" w:sz="0" w:space="0" w:color="auto"/>
        <w:bottom w:val="none" w:sz="0" w:space="0" w:color="auto"/>
        <w:right w:val="none" w:sz="0" w:space="0" w:color="auto"/>
      </w:divBdr>
    </w:div>
    <w:div w:id="217977528">
      <w:bodyDiv w:val="1"/>
      <w:marLeft w:val="0"/>
      <w:marRight w:val="0"/>
      <w:marTop w:val="0"/>
      <w:marBottom w:val="0"/>
      <w:divBdr>
        <w:top w:val="none" w:sz="0" w:space="0" w:color="auto"/>
        <w:left w:val="none" w:sz="0" w:space="0" w:color="auto"/>
        <w:bottom w:val="none" w:sz="0" w:space="0" w:color="auto"/>
        <w:right w:val="none" w:sz="0" w:space="0" w:color="auto"/>
      </w:divBdr>
    </w:div>
    <w:div w:id="226258598">
      <w:bodyDiv w:val="1"/>
      <w:marLeft w:val="0"/>
      <w:marRight w:val="0"/>
      <w:marTop w:val="0"/>
      <w:marBottom w:val="0"/>
      <w:divBdr>
        <w:top w:val="none" w:sz="0" w:space="0" w:color="auto"/>
        <w:left w:val="none" w:sz="0" w:space="0" w:color="auto"/>
        <w:bottom w:val="none" w:sz="0" w:space="0" w:color="auto"/>
        <w:right w:val="none" w:sz="0" w:space="0" w:color="auto"/>
      </w:divBdr>
    </w:div>
    <w:div w:id="230771088">
      <w:bodyDiv w:val="1"/>
      <w:marLeft w:val="0"/>
      <w:marRight w:val="0"/>
      <w:marTop w:val="0"/>
      <w:marBottom w:val="0"/>
      <w:divBdr>
        <w:top w:val="none" w:sz="0" w:space="0" w:color="auto"/>
        <w:left w:val="none" w:sz="0" w:space="0" w:color="auto"/>
        <w:bottom w:val="none" w:sz="0" w:space="0" w:color="auto"/>
        <w:right w:val="none" w:sz="0" w:space="0" w:color="auto"/>
      </w:divBdr>
    </w:div>
    <w:div w:id="234320176">
      <w:bodyDiv w:val="1"/>
      <w:marLeft w:val="0"/>
      <w:marRight w:val="0"/>
      <w:marTop w:val="0"/>
      <w:marBottom w:val="0"/>
      <w:divBdr>
        <w:top w:val="none" w:sz="0" w:space="0" w:color="auto"/>
        <w:left w:val="none" w:sz="0" w:space="0" w:color="auto"/>
        <w:bottom w:val="none" w:sz="0" w:space="0" w:color="auto"/>
        <w:right w:val="none" w:sz="0" w:space="0" w:color="auto"/>
      </w:divBdr>
    </w:div>
    <w:div w:id="235214212">
      <w:bodyDiv w:val="1"/>
      <w:marLeft w:val="0"/>
      <w:marRight w:val="0"/>
      <w:marTop w:val="0"/>
      <w:marBottom w:val="0"/>
      <w:divBdr>
        <w:top w:val="none" w:sz="0" w:space="0" w:color="auto"/>
        <w:left w:val="none" w:sz="0" w:space="0" w:color="auto"/>
        <w:bottom w:val="none" w:sz="0" w:space="0" w:color="auto"/>
        <w:right w:val="none" w:sz="0" w:space="0" w:color="auto"/>
      </w:divBdr>
    </w:div>
    <w:div w:id="244195539">
      <w:bodyDiv w:val="1"/>
      <w:marLeft w:val="0"/>
      <w:marRight w:val="0"/>
      <w:marTop w:val="0"/>
      <w:marBottom w:val="0"/>
      <w:divBdr>
        <w:top w:val="none" w:sz="0" w:space="0" w:color="auto"/>
        <w:left w:val="none" w:sz="0" w:space="0" w:color="auto"/>
        <w:bottom w:val="none" w:sz="0" w:space="0" w:color="auto"/>
        <w:right w:val="none" w:sz="0" w:space="0" w:color="auto"/>
      </w:divBdr>
    </w:div>
    <w:div w:id="244385729">
      <w:bodyDiv w:val="1"/>
      <w:marLeft w:val="0"/>
      <w:marRight w:val="0"/>
      <w:marTop w:val="0"/>
      <w:marBottom w:val="0"/>
      <w:divBdr>
        <w:top w:val="none" w:sz="0" w:space="0" w:color="auto"/>
        <w:left w:val="none" w:sz="0" w:space="0" w:color="auto"/>
        <w:bottom w:val="none" w:sz="0" w:space="0" w:color="auto"/>
        <w:right w:val="none" w:sz="0" w:space="0" w:color="auto"/>
      </w:divBdr>
    </w:div>
    <w:div w:id="245771569">
      <w:bodyDiv w:val="1"/>
      <w:marLeft w:val="0"/>
      <w:marRight w:val="0"/>
      <w:marTop w:val="0"/>
      <w:marBottom w:val="0"/>
      <w:divBdr>
        <w:top w:val="none" w:sz="0" w:space="0" w:color="auto"/>
        <w:left w:val="none" w:sz="0" w:space="0" w:color="auto"/>
        <w:bottom w:val="none" w:sz="0" w:space="0" w:color="auto"/>
        <w:right w:val="none" w:sz="0" w:space="0" w:color="auto"/>
      </w:divBdr>
    </w:div>
    <w:div w:id="254948061">
      <w:bodyDiv w:val="1"/>
      <w:marLeft w:val="0"/>
      <w:marRight w:val="0"/>
      <w:marTop w:val="0"/>
      <w:marBottom w:val="0"/>
      <w:divBdr>
        <w:top w:val="none" w:sz="0" w:space="0" w:color="auto"/>
        <w:left w:val="none" w:sz="0" w:space="0" w:color="auto"/>
        <w:bottom w:val="none" w:sz="0" w:space="0" w:color="auto"/>
        <w:right w:val="none" w:sz="0" w:space="0" w:color="auto"/>
      </w:divBdr>
    </w:div>
    <w:div w:id="262037136">
      <w:bodyDiv w:val="1"/>
      <w:marLeft w:val="0"/>
      <w:marRight w:val="0"/>
      <w:marTop w:val="0"/>
      <w:marBottom w:val="0"/>
      <w:divBdr>
        <w:top w:val="none" w:sz="0" w:space="0" w:color="auto"/>
        <w:left w:val="none" w:sz="0" w:space="0" w:color="auto"/>
        <w:bottom w:val="none" w:sz="0" w:space="0" w:color="auto"/>
        <w:right w:val="none" w:sz="0" w:space="0" w:color="auto"/>
      </w:divBdr>
    </w:div>
    <w:div w:id="266234832">
      <w:bodyDiv w:val="1"/>
      <w:marLeft w:val="0"/>
      <w:marRight w:val="0"/>
      <w:marTop w:val="0"/>
      <w:marBottom w:val="0"/>
      <w:divBdr>
        <w:top w:val="none" w:sz="0" w:space="0" w:color="auto"/>
        <w:left w:val="none" w:sz="0" w:space="0" w:color="auto"/>
        <w:bottom w:val="none" w:sz="0" w:space="0" w:color="auto"/>
        <w:right w:val="none" w:sz="0" w:space="0" w:color="auto"/>
      </w:divBdr>
    </w:div>
    <w:div w:id="269819889">
      <w:bodyDiv w:val="1"/>
      <w:marLeft w:val="0"/>
      <w:marRight w:val="0"/>
      <w:marTop w:val="0"/>
      <w:marBottom w:val="0"/>
      <w:divBdr>
        <w:top w:val="none" w:sz="0" w:space="0" w:color="auto"/>
        <w:left w:val="none" w:sz="0" w:space="0" w:color="auto"/>
        <w:bottom w:val="none" w:sz="0" w:space="0" w:color="auto"/>
        <w:right w:val="none" w:sz="0" w:space="0" w:color="auto"/>
      </w:divBdr>
    </w:div>
    <w:div w:id="278070291">
      <w:bodyDiv w:val="1"/>
      <w:marLeft w:val="0"/>
      <w:marRight w:val="0"/>
      <w:marTop w:val="0"/>
      <w:marBottom w:val="0"/>
      <w:divBdr>
        <w:top w:val="none" w:sz="0" w:space="0" w:color="auto"/>
        <w:left w:val="none" w:sz="0" w:space="0" w:color="auto"/>
        <w:bottom w:val="none" w:sz="0" w:space="0" w:color="auto"/>
        <w:right w:val="none" w:sz="0" w:space="0" w:color="auto"/>
      </w:divBdr>
    </w:div>
    <w:div w:id="289091439">
      <w:bodyDiv w:val="1"/>
      <w:marLeft w:val="0"/>
      <w:marRight w:val="0"/>
      <w:marTop w:val="0"/>
      <w:marBottom w:val="0"/>
      <w:divBdr>
        <w:top w:val="none" w:sz="0" w:space="0" w:color="auto"/>
        <w:left w:val="none" w:sz="0" w:space="0" w:color="auto"/>
        <w:bottom w:val="none" w:sz="0" w:space="0" w:color="auto"/>
        <w:right w:val="none" w:sz="0" w:space="0" w:color="auto"/>
      </w:divBdr>
    </w:div>
    <w:div w:id="294336277">
      <w:bodyDiv w:val="1"/>
      <w:marLeft w:val="0"/>
      <w:marRight w:val="0"/>
      <w:marTop w:val="0"/>
      <w:marBottom w:val="0"/>
      <w:divBdr>
        <w:top w:val="none" w:sz="0" w:space="0" w:color="auto"/>
        <w:left w:val="none" w:sz="0" w:space="0" w:color="auto"/>
        <w:bottom w:val="none" w:sz="0" w:space="0" w:color="auto"/>
        <w:right w:val="none" w:sz="0" w:space="0" w:color="auto"/>
      </w:divBdr>
    </w:div>
    <w:div w:id="303119106">
      <w:bodyDiv w:val="1"/>
      <w:marLeft w:val="0"/>
      <w:marRight w:val="0"/>
      <w:marTop w:val="0"/>
      <w:marBottom w:val="0"/>
      <w:divBdr>
        <w:top w:val="none" w:sz="0" w:space="0" w:color="auto"/>
        <w:left w:val="none" w:sz="0" w:space="0" w:color="auto"/>
        <w:bottom w:val="none" w:sz="0" w:space="0" w:color="auto"/>
        <w:right w:val="none" w:sz="0" w:space="0" w:color="auto"/>
      </w:divBdr>
    </w:div>
    <w:div w:id="305209635">
      <w:bodyDiv w:val="1"/>
      <w:marLeft w:val="0"/>
      <w:marRight w:val="0"/>
      <w:marTop w:val="0"/>
      <w:marBottom w:val="0"/>
      <w:divBdr>
        <w:top w:val="none" w:sz="0" w:space="0" w:color="auto"/>
        <w:left w:val="none" w:sz="0" w:space="0" w:color="auto"/>
        <w:bottom w:val="none" w:sz="0" w:space="0" w:color="auto"/>
        <w:right w:val="none" w:sz="0" w:space="0" w:color="auto"/>
      </w:divBdr>
    </w:div>
    <w:div w:id="312688124">
      <w:bodyDiv w:val="1"/>
      <w:marLeft w:val="0"/>
      <w:marRight w:val="0"/>
      <w:marTop w:val="0"/>
      <w:marBottom w:val="0"/>
      <w:divBdr>
        <w:top w:val="none" w:sz="0" w:space="0" w:color="auto"/>
        <w:left w:val="none" w:sz="0" w:space="0" w:color="auto"/>
        <w:bottom w:val="none" w:sz="0" w:space="0" w:color="auto"/>
        <w:right w:val="none" w:sz="0" w:space="0" w:color="auto"/>
      </w:divBdr>
    </w:div>
    <w:div w:id="322778130">
      <w:bodyDiv w:val="1"/>
      <w:marLeft w:val="0"/>
      <w:marRight w:val="0"/>
      <w:marTop w:val="0"/>
      <w:marBottom w:val="0"/>
      <w:divBdr>
        <w:top w:val="none" w:sz="0" w:space="0" w:color="auto"/>
        <w:left w:val="none" w:sz="0" w:space="0" w:color="auto"/>
        <w:bottom w:val="none" w:sz="0" w:space="0" w:color="auto"/>
        <w:right w:val="none" w:sz="0" w:space="0" w:color="auto"/>
      </w:divBdr>
    </w:div>
    <w:div w:id="328023353">
      <w:bodyDiv w:val="1"/>
      <w:marLeft w:val="0"/>
      <w:marRight w:val="0"/>
      <w:marTop w:val="0"/>
      <w:marBottom w:val="0"/>
      <w:divBdr>
        <w:top w:val="none" w:sz="0" w:space="0" w:color="auto"/>
        <w:left w:val="none" w:sz="0" w:space="0" w:color="auto"/>
        <w:bottom w:val="none" w:sz="0" w:space="0" w:color="auto"/>
        <w:right w:val="none" w:sz="0" w:space="0" w:color="auto"/>
      </w:divBdr>
    </w:div>
    <w:div w:id="349183660">
      <w:bodyDiv w:val="1"/>
      <w:marLeft w:val="0"/>
      <w:marRight w:val="0"/>
      <w:marTop w:val="0"/>
      <w:marBottom w:val="0"/>
      <w:divBdr>
        <w:top w:val="none" w:sz="0" w:space="0" w:color="auto"/>
        <w:left w:val="none" w:sz="0" w:space="0" w:color="auto"/>
        <w:bottom w:val="none" w:sz="0" w:space="0" w:color="auto"/>
        <w:right w:val="none" w:sz="0" w:space="0" w:color="auto"/>
      </w:divBdr>
    </w:div>
    <w:div w:id="355429554">
      <w:bodyDiv w:val="1"/>
      <w:marLeft w:val="0"/>
      <w:marRight w:val="0"/>
      <w:marTop w:val="0"/>
      <w:marBottom w:val="0"/>
      <w:divBdr>
        <w:top w:val="none" w:sz="0" w:space="0" w:color="auto"/>
        <w:left w:val="none" w:sz="0" w:space="0" w:color="auto"/>
        <w:bottom w:val="none" w:sz="0" w:space="0" w:color="auto"/>
        <w:right w:val="none" w:sz="0" w:space="0" w:color="auto"/>
      </w:divBdr>
    </w:div>
    <w:div w:id="374627312">
      <w:bodyDiv w:val="1"/>
      <w:marLeft w:val="0"/>
      <w:marRight w:val="0"/>
      <w:marTop w:val="0"/>
      <w:marBottom w:val="0"/>
      <w:divBdr>
        <w:top w:val="none" w:sz="0" w:space="0" w:color="auto"/>
        <w:left w:val="none" w:sz="0" w:space="0" w:color="auto"/>
        <w:bottom w:val="none" w:sz="0" w:space="0" w:color="auto"/>
        <w:right w:val="none" w:sz="0" w:space="0" w:color="auto"/>
      </w:divBdr>
    </w:div>
    <w:div w:id="382945370">
      <w:bodyDiv w:val="1"/>
      <w:marLeft w:val="0"/>
      <w:marRight w:val="0"/>
      <w:marTop w:val="0"/>
      <w:marBottom w:val="0"/>
      <w:divBdr>
        <w:top w:val="none" w:sz="0" w:space="0" w:color="auto"/>
        <w:left w:val="none" w:sz="0" w:space="0" w:color="auto"/>
        <w:bottom w:val="none" w:sz="0" w:space="0" w:color="auto"/>
        <w:right w:val="none" w:sz="0" w:space="0" w:color="auto"/>
      </w:divBdr>
    </w:div>
    <w:div w:id="398867959">
      <w:bodyDiv w:val="1"/>
      <w:marLeft w:val="0"/>
      <w:marRight w:val="0"/>
      <w:marTop w:val="0"/>
      <w:marBottom w:val="0"/>
      <w:divBdr>
        <w:top w:val="none" w:sz="0" w:space="0" w:color="auto"/>
        <w:left w:val="none" w:sz="0" w:space="0" w:color="auto"/>
        <w:bottom w:val="none" w:sz="0" w:space="0" w:color="auto"/>
        <w:right w:val="none" w:sz="0" w:space="0" w:color="auto"/>
      </w:divBdr>
    </w:div>
    <w:div w:id="401366228">
      <w:bodyDiv w:val="1"/>
      <w:marLeft w:val="0"/>
      <w:marRight w:val="0"/>
      <w:marTop w:val="0"/>
      <w:marBottom w:val="0"/>
      <w:divBdr>
        <w:top w:val="none" w:sz="0" w:space="0" w:color="auto"/>
        <w:left w:val="none" w:sz="0" w:space="0" w:color="auto"/>
        <w:bottom w:val="none" w:sz="0" w:space="0" w:color="auto"/>
        <w:right w:val="none" w:sz="0" w:space="0" w:color="auto"/>
      </w:divBdr>
    </w:div>
    <w:div w:id="408701430">
      <w:bodyDiv w:val="1"/>
      <w:marLeft w:val="0"/>
      <w:marRight w:val="0"/>
      <w:marTop w:val="0"/>
      <w:marBottom w:val="0"/>
      <w:divBdr>
        <w:top w:val="none" w:sz="0" w:space="0" w:color="auto"/>
        <w:left w:val="none" w:sz="0" w:space="0" w:color="auto"/>
        <w:bottom w:val="none" w:sz="0" w:space="0" w:color="auto"/>
        <w:right w:val="none" w:sz="0" w:space="0" w:color="auto"/>
      </w:divBdr>
    </w:div>
    <w:div w:id="413354866">
      <w:bodyDiv w:val="1"/>
      <w:marLeft w:val="0"/>
      <w:marRight w:val="0"/>
      <w:marTop w:val="0"/>
      <w:marBottom w:val="0"/>
      <w:divBdr>
        <w:top w:val="none" w:sz="0" w:space="0" w:color="auto"/>
        <w:left w:val="none" w:sz="0" w:space="0" w:color="auto"/>
        <w:bottom w:val="none" w:sz="0" w:space="0" w:color="auto"/>
        <w:right w:val="none" w:sz="0" w:space="0" w:color="auto"/>
      </w:divBdr>
    </w:div>
    <w:div w:id="418990399">
      <w:bodyDiv w:val="1"/>
      <w:marLeft w:val="0"/>
      <w:marRight w:val="0"/>
      <w:marTop w:val="0"/>
      <w:marBottom w:val="0"/>
      <w:divBdr>
        <w:top w:val="none" w:sz="0" w:space="0" w:color="auto"/>
        <w:left w:val="none" w:sz="0" w:space="0" w:color="auto"/>
        <w:bottom w:val="none" w:sz="0" w:space="0" w:color="auto"/>
        <w:right w:val="none" w:sz="0" w:space="0" w:color="auto"/>
      </w:divBdr>
    </w:div>
    <w:div w:id="419835308">
      <w:bodyDiv w:val="1"/>
      <w:marLeft w:val="0"/>
      <w:marRight w:val="0"/>
      <w:marTop w:val="0"/>
      <w:marBottom w:val="0"/>
      <w:divBdr>
        <w:top w:val="none" w:sz="0" w:space="0" w:color="auto"/>
        <w:left w:val="none" w:sz="0" w:space="0" w:color="auto"/>
        <w:bottom w:val="none" w:sz="0" w:space="0" w:color="auto"/>
        <w:right w:val="none" w:sz="0" w:space="0" w:color="auto"/>
      </w:divBdr>
    </w:div>
    <w:div w:id="437873536">
      <w:bodyDiv w:val="1"/>
      <w:marLeft w:val="0"/>
      <w:marRight w:val="0"/>
      <w:marTop w:val="0"/>
      <w:marBottom w:val="0"/>
      <w:divBdr>
        <w:top w:val="none" w:sz="0" w:space="0" w:color="auto"/>
        <w:left w:val="none" w:sz="0" w:space="0" w:color="auto"/>
        <w:bottom w:val="none" w:sz="0" w:space="0" w:color="auto"/>
        <w:right w:val="none" w:sz="0" w:space="0" w:color="auto"/>
      </w:divBdr>
    </w:div>
    <w:div w:id="440565559">
      <w:bodyDiv w:val="1"/>
      <w:marLeft w:val="0"/>
      <w:marRight w:val="0"/>
      <w:marTop w:val="0"/>
      <w:marBottom w:val="0"/>
      <w:divBdr>
        <w:top w:val="none" w:sz="0" w:space="0" w:color="auto"/>
        <w:left w:val="none" w:sz="0" w:space="0" w:color="auto"/>
        <w:bottom w:val="none" w:sz="0" w:space="0" w:color="auto"/>
        <w:right w:val="none" w:sz="0" w:space="0" w:color="auto"/>
      </w:divBdr>
    </w:div>
    <w:div w:id="444270095">
      <w:bodyDiv w:val="1"/>
      <w:marLeft w:val="0"/>
      <w:marRight w:val="0"/>
      <w:marTop w:val="0"/>
      <w:marBottom w:val="0"/>
      <w:divBdr>
        <w:top w:val="none" w:sz="0" w:space="0" w:color="auto"/>
        <w:left w:val="none" w:sz="0" w:space="0" w:color="auto"/>
        <w:bottom w:val="none" w:sz="0" w:space="0" w:color="auto"/>
        <w:right w:val="none" w:sz="0" w:space="0" w:color="auto"/>
      </w:divBdr>
    </w:div>
    <w:div w:id="451630337">
      <w:bodyDiv w:val="1"/>
      <w:marLeft w:val="0"/>
      <w:marRight w:val="0"/>
      <w:marTop w:val="0"/>
      <w:marBottom w:val="0"/>
      <w:divBdr>
        <w:top w:val="none" w:sz="0" w:space="0" w:color="auto"/>
        <w:left w:val="none" w:sz="0" w:space="0" w:color="auto"/>
        <w:bottom w:val="none" w:sz="0" w:space="0" w:color="auto"/>
        <w:right w:val="none" w:sz="0" w:space="0" w:color="auto"/>
      </w:divBdr>
    </w:div>
    <w:div w:id="458884302">
      <w:bodyDiv w:val="1"/>
      <w:marLeft w:val="0"/>
      <w:marRight w:val="0"/>
      <w:marTop w:val="0"/>
      <w:marBottom w:val="0"/>
      <w:divBdr>
        <w:top w:val="none" w:sz="0" w:space="0" w:color="auto"/>
        <w:left w:val="none" w:sz="0" w:space="0" w:color="auto"/>
        <w:bottom w:val="none" w:sz="0" w:space="0" w:color="auto"/>
        <w:right w:val="none" w:sz="0" w:space="0" w:color="auto"/>
      </w:divBdr>
    </w:div>
    <w:div w:id="468404084">
      <w:bodyDiv w:val="1"/>
      <w:marLeft w:val="0"/>
      <w:marRight w:val="0"/>
      <w:marTop w:val="0"/>
      <w:marBottom w:val="0"/>
      <w:divBdr>
        <w:top w:val="none" w:sz="0" w:space="0" w:color="auto"/>
        <w:left w:val="none" w:sz="0" w:space="0" w:color="auto"/>
        <w:bottom w:val="none" w:sz="0" w:space="0" w:color="auto"/>
        <w:right w:val="none" w:sz="0" w:space="0" w:color="auto"/>
      </w:divBdr>
    </w:div>
    <w:div w:id="470944309">
      <w:bodyDiv w:val="1"/>
      <w:marLeft w:val="0"/>
      <w:marRight w:val="0"/>
      <w:marTop w:val="0"/>
      <w:marBottom w:val="0"/>
      <w:divBdr>
        <w:top w:val="none" w:sz="0" w:space="0" w:color="auto"/>
        <w:left w:val="none" w:sz="0" w:space="0" w:color="auto"/>
        <w:bottom w:val="none" w:sz="0" w:space="0" w:color="auto"/>
        <w:right w:val="none" w:sz="0" w:space="0" w:color="auto"/>
      </w:divBdr>
    </w:div>
    <w:div w:id="502864501">
      <w:bodyDiv w:val="1"/>
      <w:marLeft w:val="0"/>
      <w:marRight w:val="0"/>
      <w:marTop w:val="0"/>
      <w:marBottom w:val="0"/>
      <w:divBdr>
        <w:top w:val="none" w:sz="0" w:space="0" w:color="auto"/>
        <w:left w:val="none" w:sz="0" w:space="0" w:color="auto"/>
        <w:bottom w:val="none" w:sz="0" w:space="0" w:color="auto"/>
        <w:right w:val="none" w:sz="0" w:space="0" w:color="auto"/>
      </w:divBdr>
    </w:div>
    <w:div w:id="509174389">
      <w:bodyDiv w:val="1"/>
      <w:marLeft w:val="0"/>
      <w:marRight w:val="0"/>
      <w:marTop w:val="0"/>
      <w:marBottom w:val="0"/>
      <w:divBdr>
        <w:top w:val="none" w:sz="0" w:space="0" w:color="auto"/>
        <w:left w:val="none" w:sz="0" w:space="0" w:color="auto"/>
        <w:bottom w:val="none" w:sz="0" w:space="0" w:color="auto"/>
        <w:right w:val="none" w:sz="0" w:space="0" w:color="auto"/>
      </w:divBdr>
    </w:div>
    <w:div w:id="524057941">
      <w:bodyDiv w:val="1"/>
      <w:marLeft w:val="0"/>
      <w:marRight w:val="0"/>
      <w:marTop w:val="0"/>
      <w:marBottom w:val="0"/>
      <w:divBdr>
        <w:top w:val="none" w:sz="0" w:space="0" w:color="auto"/>
        <w:left w:val="none" w:sz="0" w:space="0" w:color="auto"/>
        <w:bottom w:val="none" w:sz="0" w:space="0" w:color="auto"/>
        <w:right w:val="none" w:sz="0" w:space="0" w:color="auto"/>
      </w:divBdr>
    </w:div>
    <w:div w:id="539244022">
      <w:bodyDiv w:val="1"/>
      <w:marLeft w:val="0"/>
      <w:marRight w:val="0"/>
      <w:marTop w:val="0"/>
      <w:marBottom w:val="0"/>
      <w:divBdr>
        <w:top w:val="none" w:sz="0" w:space="0" w:color="auto"/>
        <w:left w:val="none" w:sz="0" w:space="0" w:color="auto"/>
        <w:bottom w:val="none" w:sz="0" w:space="0" w:color="auto"/>
        <w:right w:val="none" w:sz="0" w:space="0" w:color="auto"/>
      </w:divBdr>
    </w:div>
    <w:div w:id="539434721">
      <w:bodyDiv w:val="1"/>
      <w:marLeft w:val="0"/>
      <w:marRight w:val="0"/>
      <w:marTop w:val="0"/>
      <w:marBottom w:val="0"/>
      <w:divBdr>
        <w:top w:val="none" w:sz="0" w:space="0" w:color="auto"/>
        <w:left w:val="none" w:sz="0" w:space="0" w:color="auto"/>
        <w:bottom w:val="none" w:sz="0" w:space="0" w:color="auto"/>
        <w:right w:val="none" w:sz="0" w:space="0" w:color="auto"/>
      </w:divBdr>
    </w:div>
    <w:div w:id="547690778">
      <w:bodyDiv w:val="1"/>
      <w:marLeft w:val="0"/>
      <w:marRight w:val="0"/>
      <w:marTop w:val="0"/>
      <w:marBottom w:val="0"/>
      <w:divBdr>
        <w:top w:val="none" w:sz="0" w:space="0" w:color="auto"/>
        <w:left w:val="none" w:sz="0" w:space="0" w:color="auto"/>
        <w:bottom w:val="none" w:sz="0" w:space="0" w:color="auto"/>
        <w:right w:val="none" w:sz="0" w:space="0" w:color="auto"/>
      </w:divBdr>
    </w:div>
    <w:div w:id="549340046">
      <w:bodyDiv w:val="1"/>
      <w:marLeft w:val="0"/>
      <w:marRight w:val="0"/>
      <w:marTop w:val="0"/>
      <w:marBottom w:val="0"/>
      <w:divBdr>
        <w:top w:val="none" w:sz="0" w:space="0" w:color="auto"/>
        <w:left w:val="none" w:sz="0" w:space="0" w:color="auto"/>
        <w:bottom w:val="none" w:sz="0" w:space="0" w:color="auto"/>
        <w:right w:val="none" w:sz="0" w:space="0" w:color="auto"/>
      </w:divBdr>
    </w:div>
    <w:div w:id="561865236">
      <w:bodyDiv w:val="1"/>
      <w:marLeft w:val="0"/>
      <w:marRight w:val="0"/>
      <w:marTop w:val="0"/>
      <w:marBottom w:val="0"/>
      <w:divBdr>
        <w:top w:val="none" w:sz="0" w:space="0" w:color="auto"/>
        <w:left w:val="none" w:sz="0" w:space="0" w:color="auto"/>
        <w:bottom w:val="none" w:sz="0" w:space="0" w:color="auto"/>
        <w:right w:val="none" w:sz="0" w:space="0" w:color="auto"/>
      </w:divBdr>
    </w:div>
    <w:div w:id="575944711">
      <w:bodyDiv w:val="1"/>
      <w:marLeft w:val="0"/>
      <w:marRight w:val="0"/>
      <w:marTop w:val="0"/>
      <w:marBottom w:val="0"/>
      <w:divBdr>
        <w:top w:val="none" w:sz="0" w:space="0" w:color="auto"/>
        <w:left w:val="none" w:sz="0" w:space="0" w:color="auto"/>
        <w:bottom w:val="none" w:sz="0" w:space="0" w:color="auto"/>
        <w:right w:val="none" w:sz="0" w:space="0" w:color="auto"/>
      </w:divBdr>
    </w:div>
    <w:div w:id="576481201">
      <w:bodyDiv w:val="1"/>
      <w:marLeft w:val="0"/>
      <w:marRight w:val="0"/>
      <w:marTop w:val="0"/>
      <w:marBottom w:val="0"/>
      <w:divBdr>
        <w:top w:val="none" w:sz="0" w:space="0" w:color="auto"/>
        <w:left w:val="none" w:sz="0" w:space="0" w:color="auto"/>
        <w:bottom w:val="none" w:sz="0" w:space="0" w:color="auto"/>
        <w:right w:val="none" w:sz="0" w:space="0" w:color="auto"/>
      </w:divBdr>
    </w:div>
    <w:div w:id="586351977">
      <w:bodyDiv w:val="1"/>
      <w:marLeft w:val="0"/>
      <w:marRight w:val="0"/>
      <w:marTop w:val="0"/>
      <w:marBottom w:val="0"/>
      <w:divBdr>
        <w:top w:val="none" w:sz="0" w:space="0" w:color="auto"/>
        <w:left w:val="none" w:sz="0" w:space="0" w:color="auto"/>
        <w:bottom w:val="none" w:sz="0" w:space="0" w:color="auto"/>
        <w:right w:val="none" w:sz="0" w:space="0" w:color="auto"/>
      </w:divBdr>
    </w:div>
    <w:div w:id="590504007">
      <w:bodyDiv w:val="1"/>
      <w:marLeft w:val="0"/>
      <w:marRight w:val="0"/>
      <w:marTop w:val="0"/>
      <w:marBottom w:val="0"/>
      <w:divBdr>
        <w:top w:val="none" w:sz="0" w:space="0" w:color="auto"/>
        <w:left w:val="none" w:sz="0" w:space="0" w:color="auto"/>
        <w:bottom w:val="none" w:sz="0" w:space="0" w:color="auto"/>
        <w:right w:val="none" w:sz="0" w:space="0" w:color="auto"/>
      </w:divBdr>
    </w:div>
    <w:div w:id="601258925">
      <w:bodyDiv w:val="1"/>
      <w:marLeft w:val="0"/>
      <w:marRight w:val="0"/>
      <w:marTop w:val="0"/>
      <w:marBottom w:val="0"/>
      <w:divBdr>
        <w:top w:val="none" w:sz="0" w:space="0" w:color="auto"/>
        <w:left w:val="none" w:sz="0" w:space="0" w:color="auto"/>
        <w:bottom w:val="none" w:sz="0" w:space="0" w:color="auto"/>
        <w:right w:val="none" w:sz="0" w:space="0" w:color="auto"/>
      </w:divBdr>
    </w:div>
    <w:div w:id="608925663">
      <w:bodyDiv w:val="1"/>
      <w:marLeft w:val="0"/>
      <w:marRight w:val="0"/>
      <w:marTop w:val="0"/>
      <w:marBottom w:val="0"/>
      <w:divBdr>
        <w:top w:val="none" w:sz="0" w:space="0" w:color="auto"/>
        <w:left w:val="none" w:sz="0" w:space="0" w:color="auto"/>
        <w:bottom w:val="none" w:sz="0" w:space="0" w:color="auto"/>
        <w:right w:val="none" w:sz="0" w:space="0" w:color="auto"/>
      </w:divBdr>
    </w:div>
    <w:div w:id="624964653">
      <w:bodyDiv w:val="1"/>
      <w:marLeft w:val="0"/>
      <w:marRight w:val="0"/>
      <w:marTop w:val="0"/>
      <w:marBottom w:val="0"/>
      <w:divBdr>
        <w:top w:val="none" w:sz="0" w:space="0" w:color="auto"/>
        <w:left w:val="none" w:sz="0" w:space="0" w:color="auto"/>
        <w:bottom w:val="none" w:sz="0" w:space="0" w:color="auto"/>
        <w:right w:val="none" w:sz="0" w:space="0" w:color="auto"/>
      </w:divBdr>
    </w:div>
    <w:div w:id="634677701">
      <w:bodyDiv w:val="1"/>
      <w:marLeft w:val="0"/>
      <w:marRight w:val="0"/>
      <w:marTop w:val="0"/>
      <w:marBottom w:val="0"/>
      <w:divBdr>
        <w:top w:val="none" w:sz="0" w:space="0" w:color="auto"/>
        <w:left w:val="none" w:sz="0" w:space="0" w:color="auto"/>
        <w:bottom w:val="none" w:sz="0" w:space="0" w:color="auto"/>
        <w:right w:val="none" w:sz="0" w:space="0" w:color="auto"/>
      </w:divBdr>
    </w:div>
    <w:div w:id="640575495">
      <w:bodyDiv w:val="1"/>
      <w:marLeft w:val="0"/>
      <w:marRight w:val="0"/>
      <w:marTop w:val="0"/>
      <w:marBottom w:val="0"/>
      <w:divBdr>
        <w:top w:val="none" w:sz="0" w:space="0" w:color="auto"/>
        <w:left w:val="none" w:sz="0" w:space="0" w:color="auto"/>
        <w:bottom w:val="none" w:sz="0" w:space="0" w:color="auto"/>
        <w:right w:val="none" w:sz="0" w:space="0" w:color="auto"/>
      </w:divBdr>
    </w:div>
    <w:div w:id="642584354">
      <w:bodyDiv w:val="1"/>
      <w:marLeft w:val="0"/>
      <w:marRight w:val="0"/>
      <w:marTop w:val="0"/>
      <w:marBottom w:val="0"/>
      <w:divBdr>
        <w:top w:val="none" w:sz="0" w:space="0" w:color="auto"/>
        <w:left w:val="none" w:sz="0" w:space="0" w:color="auto"/>
        <w:bottom w:val="none" w:sz="0" w:space="0" w:color="auto"/>
        <w:right w:val="none" w:sz="0" w:space="0" w:color="auto"/>
      </w:divBdr>
    </w:div>
    <w:div w:id="645206405">
      <w:bodyDiv w:val="1"/>
      <w:marLeft w:val="0"/>
      <w:marRight w:val="0"/>
      <w:marTop w:val="0"/>
      <w:marBottom w:val="0"/>
      <w:divBdr>
        <w:top w:val="none" w:sz="0" w:space="0" w:color="auto"/>
        <w:left w:val="none" w:sz="0" w:space="0" w:color="auto"/>
        <w:bottom w:val="none" w:sz="0" w:space="0" w:color="auto"/>
        <w:right w:val="none" w:sz="0" w:space="0" w:color="auto"/>
      </w:divBdr>
    </w:div>
    <w:div w:id="649288166">
      <w:bodyDiv w:val="1"/>
      <w:marLeft w:val="0"/>
      <w:marRight w:val="0"/>
      <w:marTop w:val="0"/>
      <w:marBottom w:val="0"/>
      <w:divBdr>
        <w:top w:val="none" w:sz="0" w:space="0" w:color="auto"/>
        <w:left w:val="none" w:sz="0" w:space="0" w:color="auto"/>
        <w:bottom w:val="none" w:sz="0" w:space="0" w:color="auto"/>
        <w:right w:val="none" w:sz="0" w:space="0" w:color="auto"/>
      </w:divBdr>
    </w:div>
    <w:div w:id="651716773">
      <w:bodyDiv w:val="1"/>
      <w:marLeft w:val="0"/>
      <w:marRight w:val="0"/>
      <w:marTop w:val="0"/>
      <w:marBottom w:val="0"/>
      <w:divBdr>
        <w:top w:val="none" w:sz="0" w:space="0" w:color="auto"/>
        <w:left w:val="none" w:sz="0" w:space="0" w:color="auto"/>
        <w:bottom w:val="none" w:sz="0" w:space="0" w:color="auto"/>
        <w:right w:val="none" w:sz="0" w:space="0" w:color="auto"/>
      </w:divBdr>
    </w:div>
    <w:div w:id="658117473">
      <w:bodyDiv w:val="1"/>
      <w:marLeft w:val="0"/>
      <w:marRight w:val="0"/>
      <w:marTop w:val="0"/>
      <w:marBottom w:val="0"/>
      <w:divBdr>
        <w:top w:val="none" w:sz="0" w:space="0" w:color="auto"/>
        <w:left w:val="none" w:sz="0" w:space="0" w:color="auto"/>
        <w:bottom w:val="none" w:sz="0" w:space="0" w:color="auto"/>
        <w:right w:val="none" w:sz="0" w:space="0" w:color="auto"/>
      </w:divBdr>
    </w:div>
    <w:div w:id="671638728">
      <w:bodyDiv w:val="1"/>
      <w:marLeft w:val="0"/>
      <w:marRight w:val="0"/>
      <w:marTop w:val="0"/>
      <w:marBottom w:val="0"/>
      <w:divBdr>
        <w:top w:val="none" w:sz="0" w:space="0" w:color="auto"/>
        <w:left w:val="none" w:sz="0" w:space="0" w:color="auto"/>
        <w:bottom w:val="none" w:sz="0" w:space="0" w:color="auto"/>
        <w:right w:val="none" w:sz="0" w:space="0" w:color="auto"/>
      </w:divBdr>
    </w:div>
    <w:div w:id="676999782">
      <w:bodyDiv w:val="1"/>
      <w:marLeft w:val="0"/>
      <w:marRight w:val="0"/>
      <w:marTop w:val="0"/>
      <w:marBottom w:val="0"/>
      <w:divBdr>
        <w:top w:val="none" w:sz="0" w:space="0" w:color="auto"/>
        <w:left w:val="none" w:sz="0" w:space="0" w:color="auto"/>
        <w:bottom w:val="none" w:sz="0" w:space="0" w:color="auto"/>
        <w:right w:val="none" w:sz="0" w:space="0" w:color="auto"/>
      </w:divBdr>
    </w:div>
    <w:div w:id="684672710">
      <w:bodyDiv w:val="1"/>
      <w:marLeft w:val="0"/>
      <w:marRight w:val="0"/>
      <w:marTop w:val="0"/>
      <w:marBottom w:val="0"/>
      <w:divBdr>
        <w:top w:val="none" w:sz="0" w:space="0" w:color="auto"/>
        <w:left w:val="none" w:sz="0" w:space="0" w:color="auto"/>
        <w:bottom w:val="none" w:sz="0" w:space="0" w:color="auto"/>
        <w:right w:val="none" w:sz="0" w:space="0" w:color="auto"/>
      </w:divBdr>
    </w:div>
    <w:div w:id="690641073">
      <w:bodyDiv w:val="1"/>
      <w:marLeft w:val="0"/>
      <w:marRight w:val="0"/>
      <w:marTop w:val="0"/>
      <w:marBottom w:val="0"/>
      <w:divBdr>
        <w:top w:val="none" w:sz="0" w:space="0" w:color="auto"/>
        <w:left w:val="none" w:sz="0" w:space="0" w:color="auto"/>
        <w:bottom w:val="none" w:sz="0" w:space="0" w:color="auto"/>
        <w:right w:val="none" w:sz="0" w:space="0" w:color="auto"/>
      </w:divBdr>
    </w:div>
    <w:div w:id="691416875">
      <w:bodyDiv w:val="1"/>
      <w:marLeft w:val="0"/>
      <w:marRight w:val="0"/>
      <w:marTop w:val="0"/>
      <w:marBottom w:val="0"/>
      <w:divBdr>
        <w:top w:val="none" w:sz="0" w:space="0" w:color="auto"/>
        <w:left w:val="none" w:sz="0" w:space="0" w:color="auto"/>
        <w:bottom w:val="none" w:sz="0" w:space="0" w:color="auto"/>
        <w:right w:val="none" w:sz="0" w:space="0" w:color="auto"/>
      </w:divBdr>
    </w:div>
    <w:div w:id="691495986">
      <w:bodyDiv w:val="1"/>
      <w:marLeft w:val="0"/>
      <w:marRight w:val="0"/>
      <w:marTop w:val="0"/>
      <w:marBottom w:val="0"/>
      <w:divBdr>
        <w:top w:val="none" w:sz="0" w:space="0" w:color="auto"/>
        <w:left w:val="none" w:sz="0" w:space="0" w:color="auto"/>
        <w:bottom w:val="none" w:sz="0" w:space="0" w:color="auto"/>
        <w:right w:val="none" w:sz="0" w:space="0" w:color="auto"/>
      </w:divBdr>
    </w:div>
    <w:div w:id="696203746">
      <w:bodyDiv w:val="1"/>
      <w:marLeft w:val="0"/>
      <w:marRight w:val="0"/>
      <w:marTop w:val="0"/>
      <w:marBottom w:val="0"/>
      <w:divBdr>
        <w:top w:val="none" w:sz="0" w:space="0" w:color="auto"/>
        <w:left w:val="none" w:sz="0" w:space="0" w:color="auto"/>
        <w:bottom w:val="none" w:sz="0" w:space="0" w:color="auto"/>
        <w:right w:val="none" w:sz="0" w:space="0" w:color="auto"/>
      </w:divBdr>
    </w:div>
    <w:div w:id="701901712">
      <w:bodyDiv w:val="1"/>
      <w:marLeft w:val="0"/>
      <w:marRight w:val="0"/>
      <w:marTop w:val="0"/>
      <w:marBottom w:val="0"/>
      <w:divBdr>
        <w:top w:val="none" w:sz="0" w:space="0" w:color="auto"/>
        <w:left w:val="none" w:sz="0" w:space="0" w:color="auto"/>
        <w:bottom w:val="none" w:sz="0" w:space="0" w:color="auto"/>
        <w:right w:val="none" w:sz="0" w:space="0" w:color="auto"/>
      </w:divBdr>
    </w:div>
    <w:div w:id="712194766">
      <w:bodyDiv w:val="1"/>
      <w:marLeft w:val="0"/>
      <w:marRight w:val="0"/>
      <w:marTop w:val="0"/>
      <w:marBottom w:val="0"/>
      <w:divBdr>
        <w:top w:val="none" w:sz="0" w:space="0" w:color="auto"/>
        <w:left w:val="none" w:sz="0" w:space="0" w:color="auto"/>
        <w:bottom w:val="none" w:sz="0" w:space="0" w:color="auto"/>
        <w:right w:val="none" w:sz="0" w:space="0" w:color="auto"/>
      </w:divBdr>
    </w:div>
    <w:div w:id="714042861">
      <w:bodyDiv w:val="1"/>
      <w:marLeft w:val="0"/>
      <w:marRight w:val="0"/>
      <w:marTop w:val="0"/>
      <w:marBottom w:val="0"/>
      <w:divBdr>
        <w:top w:val="none" w:sz="0" w:space="0" w:color="auto"/>
        <w:left w:val="none" w:sz="0" w:space="0" w:color="auto"/>
        <w:bottom w:val="none" w:sz="0" w:space="0" w:color="auto"/>
        <w:right w:val="none" w:sz="0" w:space="0" w:color="auto"/>
      </w:divBdr>
    </w:div>
    <w:div w:id="715544329">
      <w:bodyDiv w:val="1"/>
      <w:marLeft w:val="0"/>
      <w:marRight w:val="0"/>
      <w:marTop w:val="0"/>
      <w:marBottom w:val="0"/>
      <w:divBdr>
        <w:top w:val="none" w:sz="0" w:space="0" w:color="auto"/>
        <w:left w:val="none" w:sz="0" w:space="0" w:color="auto"/>
        <w:bottom w:val="none" w:sz="0" w:space="0" w:color="auto"/>
        <w:right w:val="none" w:sz="0" w:space="0" w:color="auto"/>
      </w:divBdr>
    </w:div>
    <w:div w:id="728304133">
      <w:bodyDiv w:val="1"/>
      <w:marLeft w:val="0"/>
      <w:marRight w:val="0"/>
      <w:marTop w:val="0"/>
      <w:marBottom w:val="0"/>
      <w:divBdr>
        <w:top w:val="none" w:sz="0" w:space="0" w:color="auto"/>
        <w:left w:val="none" w:sz="0" w:space="0" w:color="auto"/>
        <w:bottom w:val="none" w:sz="0" w:space="0" w:color="auto"/>
        <w:right w:val="none" w:sz="0" w:space="0" w:color="auto"/>
      </w:divBdr>
    </w:div>
    <w:div w:id="741606410">
      <w:bodyDiv w:val="1"/>
      <w:marLeft w:val="0"/>
      <w:marRight w:val="0"/>
      <w:marTop w:val="0"/>
      <w:marBottom w:val="0"/>
      <w:divBdr>
        <w:top w:val="none" w:sz="0" w:space="0" w:color="auto"/>
        <w:left w:val="none" w:sz="0" w:space="0" w:color="auto"/>
        <w:bottom w:val="none" w:sz="0" w:space="0" w:color="auto"/>
        <w:right w:val="none" w:sz="0" w:space="0" w:color="auto"/>
      </w:divBdr>
    </w:div>
    <w:div w:id="743602674">
      <w:bodyDiv w:val="1"/>
      <w:marLeft w:val="0"/>
      <w:marRight w:val="0"/>
      <w:marTop w:val="0"/>
      <w:marBottom w:val="0"/>
      <w:divBdr>
        <w:top w:val="none" w:sz="0" w:space="0" w:color="auto"/>
        <w:left w:val="none" w:sz="0" w:space="0" w:color="auto"/>
        <w:bottom w:val="none" w:sz="0" w:space="0" w:color="auto"/>
        <w:right w:val="none" w:sz="0" w:space="0" w:color="auto"/>
      </w:divBdr>
    </w:div>
    <w:div w:id="749935543">
      <w:bodyDiv w:val="1"/>
      <w:marLeft w:val="0"/>
      <w:marRight w:val="0"/>
      <w:marTop w:val="0"/>
      <w:marBottom w:val="0"/>
      <w:divBdr>
        <w:top w:val="none" w:sz="0" w:space="0" w:color="auto"/>
        <w:left w:val="none" w:sz="0" w:space="0" w:color="auto"/>
        <w:bottom w:val="none" w:sz="0" w:space="0" w:color="auto"/>
        <w:right w:val="none" w:sz="0" w:space="0" w:color="auto"/>
      </w:divBdr>
    </w:div>
    <w:div w:id="758982922">
      <w:bodyDiv w:val="1"/>
      <w:marLeft w:val="0"/>
      <w:marRight w:val="0"/>
      <w:marTop w:val="0"/>
      <w:marBottom w:val="0"/>
      <w:divBdr>
        <w:top w:val="none" w:sz="0" w:space="0" w:color="auto"/>
        <w:left w:val="none" w:sz="0" w:space="0" w:color="auto"/>
        <w:bottom w:val="none" w:sz="0" w:space="0" w:color="auto"/>
        <w:right w:val="none" w:sz="0" w:space="0" w:color="auto"/>
      </w:divBdr>
    </w:div>
    <w:div w:id="759984301">
      <w:bodyDiv w:val="1"/>
      <w:marLeft w:val="0"/>
      <w:marRight w:val="0"/>
      <w:marTop w:val="0"/>
      <w:marBottom w:val="0"/>
      <w:divBdr>
        <w:top w:val="none" w:sz="0" w:space="0" w:color="auto"/>
        <w:left w:val="none" w:sz="0" w:space="0" w:color="auto"/>
        <w:bottom w:val="none" w:sz="0" w:space="0" w:color="auto"/>
        <w:right w:val="none" w:sz="0" w:space="0" w:color="auto"/>
      </w:divBdr>
    </w:div>
    <w:div w:id="782964075">
      <w:bodyDiv w:val="1"/>
      <w:marLeft w:val="0"/>
      <w:marRight w:val="0"/>
      <w:marTop w:val="0"/>
      <w:marBottom w:val="0"/>
      <w:divBdr>
        <w:top w:val="none" w:sz="0" w:space="0" w:color="auto"/>
        <w:left w:val="none" w:sz="0" w:space="0" w:color="auto"/>
        <w:bottom w:val="none" w:sz="0" w:space="0" w:color="auto"/>
        <w:right w:val="none" w:sz="0" w:space="0" w:color="auto"/>
      </w:divBdr>
    </w:div>
    <w:div w:id="786894591">
      <w:bodyDiv w:val="1"/>
      <w:marLeft w:val="0"/>
      <w:marRight w:val="0"/>
      <w:marTop w:val="0"/>
      <w:marBottom w:val="0"/>
      <w:divBdr>
        <w:top w:val="none" w:sz="0" w:space="0" w:color="auto"/>
        <w:left w:val="none" w:sz="0" w:space="0" w:color="auto"/>
        <w:bottom w:val="none" w:sz="0" w:space="0" w:color="auto"/>
        <w:right w:val="none" w:sz="0" w:space="0" w:color="auto"/>
      </w:divBdr>
    </w:div>
    <w:div w:id="794718674">
      <w:bodyDiv w:val="1"/>
      <w:marLeft w:val="0"/>
      <w:marRight w:val="0"/>
      <w:marTop w:val="0"/>
      <w:marBottom w:val="0"/>
      <w:divBdr>
        <w:top w:val="none" w:sz="0" w:space="0" w:color="auto"/>
        <w:left w:val="none" w:sz="0" w:space="0" w:color="auto"/>
        <w:bottom w:val="none" w:sz="0" w:space="0" w:color="auto"/>
        <w:right w:val="none" w:sz="0" w:space="0" w:color="auto"/>
      </w:divBdr>
    </w:div>
    <w:div w:id="800995937">
      <w:bodyDiv w:val="1"/>
      <w:marLeft w:val="0"/>
      <w:marRight w:val="0"/>
      <w:marTop w:val="0"/>
      <w:marBottom w:val="0"/>
      <w:divBdr>
        <w:top w:val="none" w:sz="0" w:space="0" w:color="auto"/>
        <w:left w:val="none" w:sz="0" w:space="0" w:color="auto"/>
        <w:bottom w:val="none" w:sz="0" w:space="0" w:color="auto"/>
        <w:right w:val="none" w:sz="0" w:space="0" w:color="auto"/>
      </w:divBdr>
    </w:div>
    <w:div w:id="803499870">
      <w:bodyDiv w:val="1"/>
      <w:marLeft w:val="0"/>
      <w:marRight w:val="0"/>
      <w:marTop w:val="0"/>
      <w:marBottom w:val="0"/>
      <w:divBdr>
        <w:top w:val="none" w:sz="0" w:space="0" w:color="auto"/>
        <w:left w:val="none" w:sz="0" w:space="0" w:color="auto"/>
        <w:bottom w:val="none" w:sz="0" w:space="0" w:color="auto"/>
        <w:right w:val="none" w:sz="0" w:space="0" w:color="auto"/>
      </w:divBdr>
    </w:div>
    <w:div w:id="811555165">
      <w:bodyDiv w:val="1"/>
      <w:marLeft w:val="0"/>
      <w:marRight w:val="0"/>
      <w:marTop w:val="0"/>
      <w:marBottom w:val="0"/>
      <w:divBdr>
        <w:top w:val="none" w:sz="0" w:space="0" w:color="auto"/>
        <w:left w:val="none" w:sz="0" w:space="0" w:color="auto"/>
        <w:bottom w:val="none" w:sz="0" w:space="0" w:color="auto"/>
        <w:right w:val="none" w:sz="0" w:space="0" w:color="auto"/>
      </w:divBdr>
    </w:div>
    <w:div w:id="814177139">
      <w:bodyDiv w:val="1"/>
      <w:marLeft w:val="0"/>
      <w:marRight w:val="0"/>
      <w:marTop w:val="0"/>
      <w:marBottom w:val="0"/>
      <w:divBdr>
        <w:top w:val="none" w:sz="0" w:space="0" w:color="auto"/>
        <w:left w:val="none" w:sz="0" w:space="0" w:color="auto"/>
        <w:bottom w:val="none" w:sz="0" w:space="0" w:color="auto"/>
        <w:right w:val="none" w:sz="0" w:space="0" w:color="auto"/>
      </w:divBdr>
    </w:div>
    <w:div w:id="840201746">
      <w:bodyDiv w:val="1"/>
      <w:marLeft w:val="0"/>
      <w:marRight w:val="0"/>
      <w:marTop w:val="0"/>
      <w:marBottom w:val="0"/>
      <w:divBdr>
        <w:top w:val="none" w:sz="0" w:space="0" w:color="auto"/>
        <w:left w:val="none" w:sz="0" w:space="0" w:color="auto"/>
        <w:bottom w:val="none" w:sz="0" w:space="0" w:color="auto"/>
        <w:right w:val="none" w:sz="0" w:space="0" w:color="auto"/>
      </w:divBdr>
    </w:div>
    <w:div w:id="843132512">
      <w:bodyDiv w:val="1"/>
      <w:marLeft w:val="0"/>
      <w:marRight w:val="0"/>
      <w:marTop w:val="0"/>
      <w:marBottom w:val="0"/>
      <w:divBdr>
        <w:top w:val="none" w:sz="0" w:space="0" w:color="auto"/>
        <w:left w:val="none" w:sz="0" w:space="0" w:color="auto"/>
        <w:bottom w:val="none" w:sz="0" w:space="0" w:color="auto"/>
        <w:right w:val="none" w:sz="0" w:space="0" w:color="auto"/>
      </w:divBdr>
    </w:div>
    <w:div w:id="852913780">
      <w:bodyDiv w:val="1"/>
      <w:marLeft w:val="0"/>
      <w:marRight w:val="0"/>
      <w:marTop w:val="0"/>
      <w:marBottom w:val="0"/>
      <w:divBdr>
        <w:top w:val="none" w:sz="0" w:space="0" w:color="auto"/>
        <w:left w:val="none" w:sz="0" w:space="0" w:color="auto"/>
        <w:bottom w:val="none" w:sz="0" w:space="0" w:color="auto"/>
        <w:right w:val="none" w:sz="0" w:space="0" w:color="auto"/>
      </w:divBdr>
    </w:div>
    <w:div w:id="861628970">
      <w:bodyDiv w:val="1"/>
      <w:marLeft w:val="0"/>
      <w:marRight w:val="0"/>
      <w:marTop w:val="0"/>
      <w:marBottom w:val="0"/>
      <w:divBdr>
        <w:top w:val="none" w:sz="0" w:space="0" w:color="auto"/>
        <w:left w:val="none" w:sz="0" w:space="0" w:color="auto"/>
        <w:bottom w:val="none" w:sz="0" w:space="0" w:color="auto"/>
        <w:right w:val="none" w:sz="0" w:space="0" w:color="auto"/>
      </w:divBdr>
    </w:div>
    <w:div w:id="872305773">
      <w:bodyDiv w:val="1"/>
      <w:marLeft w:val="0"/>
      <w:marRight w:val="0"/>
      <w:marTop w:val="0"/>
      <w:marBottom w:val="0"/>
      <w:divBdr>
        <w:top w:val="none" w:sz="0" w:space="0" w:color="auto"/>
        <w:left w:val="none" w:sz="0" w:space="0" w:color="auto"/>
        <w:bottom w:val="none" w:sz="0" w:space="0" w:color="auto"/>
        <w:right w:val="none" w:sz="0" w:space="0" w:color="auto"/>
      </w:divBdr>
    </w:div>
    <w:div w:id="878712816">
      <w:bodyDiv w:val="1"/>
      <w:marLeft w:val="0"/>
      <w:marRight w:val="0"/>
      <w:marTop w:val="0"/>
      <w:marBottom w:val="0"/>
      <w:divBdr>
        <w:top w:val="none" w:sz="0" w:space="0" w:color="auto"/>
        <w:left w:val="none" w:sz="0" w:space="0" w:color="auto"/>
        <w:bottom w:val="none" w:sz="0" w:space="0" w:color="auto"/>
        <w:right w:val="none" w:sz="0" w:space="0" w:color="auto"/>
      </w:divBdr>
    </w:div>
    <w:div w:id="880173941">
      <w:bodyDiv w:val="1"/>
      <w:marLeft w:val="0"/>
      <w:marRight w:val="0"/>
      <w:marTop w:val="0"/>
      <w:marBottom w:val="0"/>
      <w:divBdr>
        <w:top w:val="none" w:sz="0" w:space="0" w:color="auto"/>
        <w:left w:val="none" w:sz="0" w:space="0" w:color="auto"/>
        <w:bottom w:val="none" w:sz="0" w:space="0" w:color="auto"/>
        <w:right w:val="none" w:sz="0" w:space="0" w:color="auto"/>
      </w:divBdr>
    </w:div>
    <w:div w:id="881018035">
      <w:bodyDiv w:val="1"/>
      <w:marLeft w:val="0"/>
      <w:marRight w:val="0"/>
      <w:marTop w:val="0"/>
      <w:marBottom w:val="0"/>
      <w:divBdr>
        <w:top w:val="none" w:sz="0" w:space="0" w:color="auto"/>
        <w:left w:val="none" w:sz="0" w:space="0" w:color="auto"/>
        <w:bottom w:val="none" w:sz="0" w:space="0" w:color="auto"/>
        <w:right w:val="none" w:sz="0" w:space="0" w:color="auto"/>
      </w:divBdr>
    </w:div>
    <w:div w:id="885600154">
      <w:bodyDiv w:val="1"/>
      <w:marLeft w:val="0"/>
      <w:marRight w:val="0"/>
      <w:marTop w:val="0"/>
      <w:marBottom w:val="0"/>
      <w:divBdr>
        <w:top w:val="none" w:sz="0" w:space="0" w:color="auto"/>
        <w:left w:val="none" w:sz="0" w:space="0" w:color="auto"/>
        <w:bottom w:val="none" w:sz="0" w:space="0" w:color="auto"/>
        <w:right w:val="none" w:sz="0" w:space="0" w:color="auto"/>
      </w:divBdr>
    </w:div>
    <w:div w:id="892959203">
      <w:bodyDiv w:val="1"/>
      <w:marLeft w:val="0"/>
      <w:marRight w:val="0"/>
      <w:marTop w:val="0"/>
      <w:marBottom w:val="0"/>
      <w:divBdr>
        <w:top w:val="none" w:sz="0" w:space="0" w:color="auto"/>
        <w:left w:val="none" w:sz="0" w:space="0" w:color="auto"/>
        <w:bottom w:val="none" w:sz="0" w:space="0" w:color="auto"/>
        <w:right w:val="none" w:sz="0" w:space="0" w:color="auto"/>
      </w:divBdr>
    </w:div>
    <w:div w:id="895626492">
      <w:bodyDiv w:val="1"/>
      <w:marLeft w:val="0"/>
      <w:marRight w:val="0"/>
      <w:marTop w:val="0"/>
      <w:marBottom w:val="0"/>
      <w:divBdr>
        <w:top w:val="none" w:sz="0" w:space="0" w:color="auto"/>
        <w:left w:val="none" w:sz="0" w:space="0" w:color="auto"/>
        <w:bottom w:val="none" w:sz="0" w:space="0" w:color="auto"/>
        <w:right w:val="none" w:sz="0" w:space="0" w:color="auto"/>
      </w:divBdr>
    </w:div>
    <w:div w:id="913783124">
      <w:bodyDiv w:val="1"/>
      <w:marLeft w:val="0"/>
      <w:marRight w:val="0"/>
      <w:marTop w:val="0"/>
      <w:marBottom w:val="0"/>
      <w:divBdr>
        <w:top w:val="none" w:sz="0" w:space="0" w:color="auto"/>
        <w:left w:val="none" w:sz="0" w:space="0" w:color="auto"/>
        <w:bottom w:val="none" w:sz="0" w:space="0" w:color="auto"/>
        <w:right w:val="none" w:sz="0" w:space="0" w:color="auto"/>
      </w:divBdr>
    </w:div>
    <w:div w:id="921642189">
      <w:bodyDiv w:val="1"/>
      <w:marLeft w:val="0"/>
      <w:marRight w:val="0"/>
      <w:marTop w:val="0"/>
      <w:marBottom w:val="0"/>
      <w:divBdr>
        <w:top w:val="none" w:sz="0" w:space="0" w:color="auto"/>
        <w:left w:val="none" w:sz="0" w:space="0" w:color="auto"/>
        <w:bottom w:val="none" w:sz="0" w:space="0" w:color="auto"/>
        <w:right w:val="none" w:sz="0" w:space="0" w:color="auto"/>
      </w:divBdr>
    </w:div>
    <w:div w:id="930888823">
      <w:bodyDiv w:val="1"/>
      <w:marLeft w:val="0"/>
      <w:marRight w:val="0"/>
      <w:marTop w:val="0"/>
      <w:marBottom w:val="0"/>
      <w:divBdr>
        <w:top w:val="none" w:sz="0" w:space="0" w:color="auto"/>
        <w:left w:val="none" w:sz="0" w:space="0" w:color="auto"/>
        <w:bottom w:val="none" w:sz="0" w:space="0" w:color="auto"/>
        <w:right w:val="none" w:sz="0" w:space="0" w:color="auto"/>
      </w:divBdr>
    </w:div>
    <w:div w:id="940454891">
      <w:bodyDiv w:val="1"/>
      <w:marLeft w:val="0"/>
      <w:marRight w:val="0"/>
      <w:marTop w:val="0"/>
      <w:marBottom w:val="0"/>
      <w:divBdr>
        <w:top w:val="none" w:sz="0" w:space="0" w:color="auto"/>
        <w:left w:val="none" w:sz="0" w:space="0" w:color="auto"/>
        <w:bottom w:val="none" w:sz="0" w:space="0" w:color="auto"/>
        <w:right w:val="none" w:sz="0" w:space="0" w:color="auto"/>
      </w:divBdr>
    </w:div>
    <w:div w:id="943195979">
      <w:bodyDiv w:val="1"/>
      <w:marLeft w:val="0"/>
      <w:marRight w:val="0"/>
      <w:marTop w:val="0"/>
      <w:marBottom w:val="0"/>
      <w:divBdr>
        <w:top w:val="none" w:sz="0" w:space="0" w:color="auto"/>
        <w:left w:val="none" w:sz="0" w:space="0" w:color="auto"/>
        <w:bottom w:val="none" w:sz="0" w:space="0" w:color="auto"/>
        <w:right w:val="none" w:sz="0" w:space="0" w:color="auto"/>
      </w:divBdr>
    </w:div>
    <w:div w:id="960651261">
      <w:bodyDiv w:val="1"/>
      <w:marLeft w:val="0"/>
      <w:marRight w:val="0"/>
      <w:marTop w:val="0"/>
      <w:marBottom w:val="0"/>
      <w:divBdr>
        <w:top w:val="none" w:sz="0" w:space="0" w:color="auto"/>
        <w:left w:val="none" w:sz="0" w:space="0" w:color="auto"/>
        <w:bottom w:val="none" w:sz="0" w:space="0" w:color="auto"/>
        <w:right w:val="none" w:sz="0" w:space="0" w:color="auto"/>
      </w:divBdr>
    </w:div>
    <w:div w:id="967928217">
      <w:bodyDiv w:val="1"/>
      <w:marLeft w:val="0"/>
      <w:marRight w:val="0"/>
      <w:marTop w:val="0"/>
      <w:marBottom w:val="0"/>
      <w:divBdr>
        <w:top w:val="none" w:sz="0" w:space="0" w:color="auto"/>
        <w:left w:val="none" w:sz="0" w:space="0" w:color="auto"/>
        <w:bottom w:val="none" w:sz="0" w:space="0" w:color="auto"/>
        <w:right w:val="none" w:sz="0" w:space="0" w:color="auto"/>
      </w:divBdr>
    </w:div>
    <w:div w:id="972296128">
      <w:bodyDiv w:val="1"/>
      <w:marLeft w:val="0"/>
      <w:marRight w:val="0"/>
      <w:marTop w:val="0"/>
      <w:marBottom w:val="0"/>
      <w:divBdr>
        <w:top w:val="none" w:sz="0" w:space="0" w:color="auto"/>
        <w:left w:val="none" w:sz="0" w:space="0" w:color="auto"/>
        <w:bottom w:val="none" w:sz="0" w:space="0" w:color="auto"/>
        <w:right w:val="none" w:sz="0" w:space="0" w:color="auto"/>
      </w:divBdr>
    </w:div>
    <w:div w:id="972558209">
      <w:bodyDiv w:val="1"/>
      <w:marLeft w:val="0"/>
      <w:marRight w:val="0"/>
      <w:marTop w:val="0"/>
      <w:marBottom w:val="0"/>
      <w:divBdr>
        <w:top w:val="none" w:sz="0" w:space="0" w:color="auto"/>
        <w:left w:val="none" w:sz="0" w:space="0" w:color="auto"/>
        <w:bottom w:val="none" w:sz="0" w:space="0" w:color="auto"/>
        <w:right w:val="none" w:sz="0" w:space="0" w:color="auto"/>
      </w:divBdr>
    </w:div>
    <w:div w:id="976300636">
      <w:bodyDiv w:val="1"/>
      <w:marLeft w:val="0"/>
      <w:marRight w:val="0"/>
      <w:marTop w:val="0"/>
      <w:marBottom w:val="0"/>
      <w:divBdr>
        <w:top w:val="none" w:sz="0" w:space="0" w:color="auto"/>
        <w:left w:val="none" w:sz="0" w:space="0" w:color="auto"/>
        <w:bottom w:val="none" w:sz="0" w:space="0" w:color="auto"/>
        <w:right w:val="none" w:sz="0" w:space="0" w:color="auto"/>
      </w:divBdr>
    </w:div>
    <w:div w:id="991979582">
      <w:bodyDiv w:val="1"/>
      <w:marLeft w:val="0"/>
      <w:marRight w:val="0"/>
      <w:marTop w:val="0"/>
      <w:marBottom w:val="0"/>
      <w:divBdr>
        <w:top w:val="none" w:sz="0" w:space="0" w:color="auto"/>
        <w:left w:val="none" w:sz="0" w:space="0" w:color="auto"/>
        <w:bottom w:val="none" w:sz="0" w:space="0" w:color="auto"/>
        <w:right w:val="none" w:sz="0" w:space="0" w:color="auto"/>
      </w:divBdr>
    </w:div>
    <w:div w:id="1007486218">
      <w:bodyDiv w:val="1"/>
      <w:marLeft w:val="0"/>
      <w:marRight w:val="0"/>
      <w:marTop w:val="0"/>
      <w:marBottom w:val="0"/>
      <w:divBdr>
        <w:top w:val="none" w:sz="0" w:space="0" w:color="auto"/>
        <w:left w:val="none" w:sz="0" w:space="0" w:color="auto"/>
        <w:bottom w:val="none" w:sz="0" w:space="0" w:color="auto"/>
        <w:right w:val="none" w:sz="0" w:space="0" w:color="auto"/>
      </w:divBdr>
    </w:div>
    <w:div w:id="1016079767">
      <w:bodyDiv w:val="1"/>
      <w:marLeft w:val="0"/>
      <w:marRight w:val="0"/>
      <w:marTop w:val="0"/>
      <w:marBottom w:val="0"/>
      <w:divBdr>
        <w:top w:val="none" w:sz="0" w:space="0" w:color="auto"/>
        <w:left w:val="none" w:sz="0" w:space="0" w:color="auto"/>
        <w:bottom w:val="none" w:sz="0" w:space="0" w:color="auto"/>
        <w:right w:val="none" w:sz="0" w:space="0" w:color="auto"/>
      </w:divBdr>
    </w:div>
    <w:div w:id="1021736597">
      <w:bodyDiv w:val="1"/>
      <w:marLeft w:val="0"/>
      <w:marRight w:val="0"/>
      <w:marTop w:val="0"/>
      <w:marBottom w:val="0"/>
      <w:divBdr>
        <w:top w:val="none" w:sz="0" w:space="0" w:color="auto"/>
        <w:left w:val="none" w:sz="0" w:space="0" w:color="auto"/>
        <w:bottom w:val="none" w:sz="0" w:space="0" w:color="auto"/>
        <w:right w:val="none" w:sz="0" w:space="0" w:color="auto"/>
      </w:divBdr>
    </w:div>
    <w:div w:id="1024793968">
      <w:bodyDiv w:val="1"/>
      <w:marLeft w:val="0"/>
      <w:marRight w:val="0"/>
      <w:marTop w:val="0"/>
      <w:marBottom w:val="0"/>
      <w:divBdr>
        <w:top w:val="none" w:sz="0" w:space="0" w:color="auto"/>
        <w:left w:val="none" w:sz="0" w:space="0" w:color="auto"/>
        <w:bottom w:val="none" w:sz="0" w:space="0" w:color="auto"/>
        <w:right w:val="none" w:sz="0" w:space="0" w:color="auto"/>
      </w:divBdr>
    </w:div>
    <w:div w:id="1049188850">
      <w:bodyDiv w:val="1"/>
      <w:marLeft w:val="0"/>
      <w:marRight w:val="0"/>
      <w:marTop w:val="0"/>
      <w:marBottom w:val="0"/>
      <w:divBdr>
        <w:top w:val="none" w:sz="0" w:space="0" w:color="auto"/>
        <w:left w:val="none" w:sz="0" w:space="0" w:color="auto"/>
        <w:bottom w:val="none" w:sz="0" w:space="0" w:color="auto"/>
        <w:right w:val="none" w:sz="0" w:space="0" w:color="auto"/>
      </w:divBdr>
    </w:div>
    <w:div w:id="1051030890">
      <w:bodyDiv w:val="1"/>
      <w:marLeft w:val="0"/>
      <w:marRight w:val="0"/>
      <w:marTop w:val="0"/>
      <w:marBottom w:val="0"/>
      <w:divBdr>
        <w:top w:val="none" w:sz="0" w:space="0" w:color="auto"/>
        <w:left w:val="none" w:sz="0" w:space="0" w:color="auto"/>
        <w:bottom w:val="none" w:sz="0" w:space="0" w:color="auto"/>
        <w:right w:val="none" w:sz="0" w:space="0" w:color="auto"/>
      </w:divBdr>
    </w:div>
    <w:div w:id="1061370351">
      <w:bodyDiv w:val="1"/>
      <w:marLeft w:val="0"/>
      <w:marRight w:val="0"/>
      <w:marTop w:val="0"/>
      <w:marBottom w:val="0"/>
      <w:divBdr>
        <w:top w:val="none" w:sz="0" w:space="0" w:color="auto"/>
        <w:left w:val="none" w:sz="0" w:space="0" w:color="auto"/>
        <w:bottom w:val="none" w:sz="0" w:space="0" w:color="auto"/>
        <w:right w:val="none" w:sz="0" w:space="0" w:color="auto"/>
      </w:divBdr>
    </w:div>
    <w:div w:id="1066680109">
      <w:bodyDiv w:val="1"/>
      <w:marLeft w:val="0"/>
      <w:marRight w:val="0"/>
      <w:marTop w:val="0"/>
      <w:marBottom w:val="0"/>
      <w:divBdr>
        <w:top w:val="none" w:sz="0" w:space="0" w:color="auto"/>
        <w:left w:val="none" w:sz="0" w:space="0" w:color="auto"/>
        <w:bottom w:val="none" w:sz="0" w:space="0" w:color="auto"/>
        <w:right w:val="none" w:sz="0" w:space="0" w:color="auto"/>
      </w:divBdr>
    </w:div>
    <w:div w:id="1069496882">
      <w:bodyDiv w:val="1"/>
      <w:marLeft w:val="0"/>
      <w:marRight w:val="0"/>
      <w:marTop w:val="0"/>
      <w:marBottom w:val="0"/>
      <w:divBdr>
        <w:top w:val="none" w:sz="0" w:space="0" w:color="auto"/>
        <w:left w:val="none" w:sz="0" w:space="0" w:color="auto"/>
        <w:bottom w:val="none" w:sz="0" w:space="0" w:color="auto"/>
        <w:right w:val="none" w:sz="0" w:space="0" w:color="auto"/>
      </w:divBdr>
    </w:div>
    <w:div w:id="1078945036">
      <w:bodyDiv w:val="1"/>
      <w:marLeft w:val="0"/>
      <w:marRight w:val="0"/>
      <w:marTop w:val="0"/>
      <w:marBottom w:val="0"/>
      <w:divBdr>
        <w:top w:val="none" w:sz="0" w:space="0" w:color="auto"/>
        <w:left w:val="none" w:sz="0" w:space="0" w:color="auto"/>
        <w:bottom w:val="none" w:sz="0" w:space="0" w:color="auto"/>
        <w:right w:val="none" w:sz="0" w:space="0" w:color="auto"/>
      </w:divBdr>
    </w:div>
    <w:div w:id="1079522461">
      <w:bodyDiv w:val="1"/>
      <w:marLeft w:val="0"/>
      <w:marRight w:val="0"/>
      <w:marTop w:val="0"/>
      <w:marBottom w:val="0"/>
      <w:divBdr>
        <w:top w:val="none" w:sz="0" w:space="0" w:color="auto"/>
        <w:left w:val="none" w:sz="0" w:space="0" w:color="auto"/>
        <w:bottom w:val="none" w:sz="0" w:space="0" w:color="auto"/>
        <w:right w:val="none" w:sz="0" w:space="0" w:color="auto"/>
      </w:divBdr>
    </w:div>
    <w:div w:id="1102994642">
      <w:bodyDiv w:val="1"/>
      <w:marLeft w:val="0"/>
      <w:marRight w:val="0"/>
      <w:marTop w:val="0"/>
      <w:marBottom w:val="0"/>
      <w:divBdr>
        <w:top w:val="none" w:sz="0" w:space="0" w:color="auto"/>
        <w:left w:val="none" w:sz="0" w:space="0" w:color="auto"/>
        <w:bottom w:val="none" w:sz="0" w:space="0" w:color="auto"/>
        <w:right w:val="none" w:sz="0" w:space="0" w:color="auto"/>
      </w:divBdr>
    </w:div>
    <w:div w:id="1109272687">
      <w:bodyDiv w:val="1"/>
      <w:marLeft w:val="0"/>
      <w:marRight w:val="0"/>
      <w:marTop w:val="0"/>
      <w:marBottom w:val="0"/>
      <w:divBdr>
        <w:top w:val="none" w:sz="0" w:space="0" w:color="auto"/>
        <w:left w:val="none" w:sz="0" w:space="0" w:color="auto"/>
        <w:bottom w:val="none" w:sz="0" w:space="0" w:color="auto"/>
        <w:right w:val="none" w:sz="0" w:space="0" w:color="auto"/>
      </w:divBdr>
    </w:div>
    <w:div w:id="1109660179">
      <w:bodyDiv w:val="1"/>
      <w:marLeft w:val="0"/>
      <w:marRight w:val="0"/>
      <w:marTop w:val="0"/>
      <w:marBottom w:val="0"/>
      <w:divBdr>
        <w:top w:val="none" w:sz="0" w:space="0" w:color="auto"/>
        <w:left w:val="none" w:sz="0" w:space="0" w:color="auto"/>
        <w:bottom w:val="none" w:sz="0" w:space="0" w:color="auto"/>
        <w:right w:val="none" w:sz="0" w:space="0" w:color="auto"/>
      </w:divBdr>
    </w:div>
    <w:div w:id="1114591785">
      <w:bodyDiv w:val="1"/>
      <w:marLeft w:val="0"/>
      <w:marRight w:val="0"/>
      <w:marTop w:val="0"/>
      <w:marBottom w:val="0"/>
      <w:divBdr>
        <w:top w:val="none" w:sz="0" w:space="0" w:color="auto"/>
        <w:left w:val="none" w:sz="0" w:space="0" w:color="auto"/>
        <w:bottom w:val="none" w:sz="0" w:space="0" w:color="auto"/>
        <w:right w:val="none" w:sz="0" w:space="0" w:color="auto"/>
      </w:divBdr>
    </w:div>
    <w:div w:id="1131939296">
      <w:bodyDiv w:val="1"/>
      <w:marLeft w:val="0"/>
      <w:marRight w:val="0"/>
      <w:marTop w:val="0"/>
      <w:marBottom w:val="0"/>
      <w:divBdr>
        <w:top w:val="none" w:sz="0" w:space="0" w:color="auto"/>
        <w:left w:val="none" w:sz="0" w:space="0" w:color="auto"/>
        <w:bottom w:val="none" w:sz="0" w:space="0" w:color="auto"/>
        <w:right w:val="none" w:sz="0" w:space="0" w:color="auto"/>
      </w:divBdr>
    </w:div>
    <w:div w:id="1132794078">
      <w:bodyDiv w:val="1"/>
      <w:marLeft w:val="0"/>
      <w:marRight w:val="0"/>
      <w:marTop w:val="0"/>
      <w:marBottom w:val="0"/>
      <w:divBdr>
        <w:top w:val="none" w:sz="0" w:space="0" w:color="auto"/>
        <w:left w:val="none" w:sz="0" w:space="0" w:color="auto"/>
        <w:bottom w:val="none" w:sz="0" w:space="0" w:color="auto"/>
        <w:right w:val="none" w:sz="0" w:space="0" w:color="auto"/>
      </w:divBdr>
    </w:div>
    <w:div w:id="1134253133">
      <w:bodyDiv w:val="1"/>
      <w:marLeft w:val="0"/>
      <w:marRight w:val="0"/>
      <w:marTop w:val="0"/>
      <w:marBottom w:val="0"/>
      <w:divBdr>
        <w:top w:val="none" w:sz="0" w:space="0" w:color="auto"/>
        <w:left w:val="none" w:sz="0" w:space="0" w:color="auto"/>
        <w:bottom w:val="none" w:sz="0" w:space="0" w:color="auto"/>
        <w:right w:val="none" w:sz="0" w:space="0" w:color="auto"/>
      </w:divBdr>
    </w:div>
    <w:div w:id="1166047127">
      <w:bodyDiv w:val="1"/>
      <w:marLeft w:val="0"/>
      <w:marRight w:val="0"/>
      <w:marTop w:val="0"/>
      <w:marBottom w:val="0"/>
      <w:divBdr>
        <w:top w:val="none" w:sz="0" w:space="0" w:color="auto"/>
        <w:left w:val="none" w:sz="0" w:space="0" w:color="auto"/>
        <w:bottom w:val="none" w:sz="0" w:space="0" w:color="auto"/>
        <w:right w:val="none" w:sz="0" w:space="0" w:color="auto"/>
      </w:divBdr>
    </w:div>
    <w:div w:id="1168791651">
      <w:bodyDiv w:val="1"/>
      <w:marLeft w:val="0"/>
      <w:marRight w:val="0"/>
      <w:marTop w:val="0"/>
      <w:marBottom w:val="0"/>
      <w:divBdr>
        <w:top w:val="none" w:sz="0" w:space="0" w:color="auto"/>
        <w:left w:val="none" w:sz="0" w:space="0" w:color="auto"/>
        <w:bottom w:val="none" w:sz="0" w:space="0" w:color="auto"/>
        <w:right w:val="none" w:sz="0" w:space="0" w:color="auto"/>
      </w:divBdr>
    </w:div>
    <w:div w:id="1171064857">
      <w:bodyDiv w:val="1"/>
      <w:marLeft w:val="0"/>
      <w:marRight w:val="0"/>
      <w:marTop w:val="0"/>
      <w:marBottom w:val="0"/>
      <w:divBdr>
        <w:top w:val="none" w:sz="0" w:space="0" w:color="auto"/>
        <w:left w:val="none" w:sz="0" w:space="0" w:color="auto"/>
        <w:bottom w:val="none" w:sz="0" w:space="0" w:color="auto"/>
        <w:right w:val="none" w:sz="0" w:space="0" w:color="auto"/>
      </w:divBdr>
    </w:div>
    <w:div w:id="1173955918">
      <w:bodyDiv w:val="1"/>
      <w:marLeft w:val="0"/>
      <w:marRight w:val="0"/>
      <w:marTop w:val="0"/>
      <w:marBottom w:val="0"/>
      <w:divBdr>
        <w:top w:val="none" w:sz="0" w:space="0" w:color="auto"/>
        <w:left w:val="none" w:sz="0" w:space="0" w:color="auto"/>
        <w:bottom w:val="none" w:sz="0" w:space="0" w:color="auto"/>
        <w:right w:val="none" w:sz="0" w:space="0" w:color="auto"/>
      </w:divBdr>
    </w:div>
    <w:div w:id="1175144748">
      <w:bodyDiv w:val="1"/>
      <w:marLeft w:val="0"/>
      <w:marRight w:val="0"/>
      <w:marTop w:val="0"/>
      <w:marBottom w:val="0"/>
      <w:divBdr>
        <w:top w:val="none" w:sz="0" w:space="0" w:color="auto"/>
        <w:left w:val="none" w:sz="0" w:space="0" w:color="auto"/>
        <w:bottom w:val="none" w:sz="0" w:space="0" w:color="auto"/>
        <w:right w:val="none" w:sz="0" w:space="0" w:color="auto"/>
      </w:divBdr>
    </w:div>
    <w:div w:id="1181627427">
      <w:bodyDiv w:val="1"/>
      <w:marLeft w:val="0"/>
      <w:marRight w:val="0"/>
      <w:marTop w:val="0"/>
      <w:marBottom w:val="0"/>
      <w:divBdr>
        <w:top w:val="none" w:sz="0" w:space="0" w:color="auto"/>
        <w:left w:val="none" w:sz="0" w:space="0" w:color="auto"/>
        <w:bottom w:val="none" w:sz="0" w:space="0" w:color="auto"/>
        <w:right w:val="none" w:sz="0" w:space="0" w:color="auto"/>
      </w:divBdr>
    </w:div>
    <w:div w:id="1191989267">
      <w:bodyDiv w:val="1"/>
      <w:marLeft w:val="0"/>
      <w:marRight w:val="0"/>
      <w:marTop w:val="0"/>
      <w:marBottom w:val="0"/>
      <w:divBdr>
        <w:top w:val="none" w:sz="0" w:space="0" w:color="auto"/>
        <w:left w:val="none" w:sz="0" w:space="0" w:color="auto"/>
        <w:bottom w:val="none" w:sz="0" w:space="0" w:color="auto"/>
        <w:right w:val="none" w:sz="0" w:space="0" w:color="auto"/>
      </w:divBdr>
    </w:div>
    <w:div w:id="1194267322">
      <w:bodyDiv w:val="1"/>
      <w:marLeft w:val="0"/>
      <w:marRight w:val="0"/>
      <w:marTop w:val="0"/>
      <w:marBottom w:val="0"/>
      <w:divBdr>
        <w:top w:val="none" w:sz="0" w:space="0" w:color="auto"/>
        <w:left w:val="none" w:sz="0" w:space="0" w:color="auto"/>
        <w:bottom w:val="none" w:sz="0" w:space="0" w:color="auto"/>
        <w:right w:val="none" w:sz="0" w:space="0" w:color="auto"/>
      </w:divBdr>
    </w:div>
    <w:div w:id="1201749987">
      <w:bodyDiv w:val="1"/>
      <w:marLeft w:val="0"/>
      <w:marRight w:val="0"/>
      <w:marTop w:val="0"/>
      <w:marBottom w:val="0"/>
      <w:divBdr>
        <w:top w:val="none" w:sz="0" w:space="0" w:color="auto"/>
        <w:left w:val="none" w:sz="0" w:space="0" w:color="auto"/>
        <w:bottom w:val="none" w:sz="0" w:space="0" w:color="auto"/>
        <w:right w:val="none" w:sz="0" w:space="0" w:color="auto"/>
      </w:divBdr>
    </w:div>
    <w:div w:id="1208562684">
      <w:bodyDiv w:val="1"/>
      <w:marLeft w:val="0"/>
      <w:marRight w:val="0"/>
      <w:marTop w:val="0"/>
      <w:marBottom w:val="0"/>
      <w:divBdr>
        <w:top w:val="none" w:sz="0" w:space="0" w:color="auto"/>
        <w:left w:val="none" w:sz="0" w:space="0" w:color="auto"/>
        <w:bottom w:val="none" w:sz="0" w:space="0" w:color="auto"/>
        <w:right w:val="none" w:sz="0" w:space="0" w:color="auto"/>
      </w:divBdr>
    </w:div>
    <w:div w:id="1211307477">
      <w:bodyDiv w:val="1"/>
      <w:marLeft w:val="0"/>
      <w:marRight w:val="0"/>
      <w:marTop w:val="0"/>
      <w:marBottom w:val="0"/>
      <w:divBdr>
        <w:top w:val="none" w:sz="0" w:space="0" w:color="auto"/>
        <w:left w:val="none" w:sz="0" w:space="0" w:color="auto"/>
        <w:bottom w:val="none" w:sz="0" w:space="0" w:color="auto"/>
        <w:right w:val="none" w:sz="0" w:space="0" w:color="auto"/>
      </w:divBdr>
    </w:div>
    <w:div w:id="1224563128">
      <w:bodyDiv w:val="1"/>
      <w:marLeft w:val="0"/>
      <w:marRight w:val="0"/>
      <w:marTop w:val="0"/>
      <w:marBottom w:val="0"/>
      <w:divBdr>
        <w:top w:val="none" w:sz="0" w:space="0" w:color="auto"/>
        <w:left w:val="none" w:sz="0" w:space="0" w:color="auto"/>
        <w:bottom w:val="none" w:sz="0" w:space="0" w:color="auto"/>
        <w:right w:val="none" w:sz="0" w:space="0" w:color="auto"/>
      </w:divBdr>
    </w:div>
    <w:div w:id="1242908170">
      <w:bodyDiv w:val="1"/>
      <w:marLeft w:val="0"/>
      <w:marRight w:val="0"/>
      <w:marTop w:val="0"/>
      <w:marBottom w:val="0"/>
      <w:divBdr>
        <w:top w:val="none" w:sz="0" w:space="0" w:color="auto"/>
        <w:left w:val="none" w:sz="0" w:space="0" w:color="auto"/>
        <w:bottom w:val="none" w:sz="0" w:space="0" w:color="auto"/>
        <w:right w:val="none" w:sz="0" w:space="0" w:color="auto"/>
      </w:divBdr>
    </w:div>
    <w:div w:id="1259291668">
      <w:bodyDiv w:val="1"/>
      <w:marLeft w:val="0"/>
      <w:marRight w:val="0"/>
      <w:marTop w:val="0"/>
      <w:marBottom w:val="0"/>
      <w:divBdr>
        <w:top w:val="none" w:sz="0" w:space="0" w:color="auto"/>
        <w:left w:val="none" w:sz="0" w:space="0" w:color="auto"/>
        <w:bottom w:val="none" w:sz="0" w:space="0" w:color="auto"/>
        <w:right w:val="none" w:sz="0" w:space="0" w:color="auto"/>
      </w:divBdr>
    </w:div>
    <w:div w:id="1265381566">
      <w:bodyDiv w:val="1"/>
      <w:marLeft w:val="0"/>
      <w:marRight w:val="0"/>
      <w:marTop w:val="0"/>
      <w:marBottom w:val="0"/>
      <w:divBdr>
        <w:top w:val="none" w:sz="0" w:space="0" w:color="auto"/>
        <w:left w:val="none" w:sz="0" w:space="0" w:color="auto"/>
        <w:bottom w:val="none" w:sz="0" w:space="0" w:color="auto"/>
        <w:right w:val="none" w:sz="0" w:space="0" w:color="auto"/>
      </w:divBdr>
    </w:div>
    <w:div w:id="1265384852">
      <w:bodyDiv w:val="1"/>
      <w:marLeft w:val="0"/>
      <w:marRight w:val="0"/>
      <w:marTop w:val="0"/>
      <w:marBottom w:val="0"/>
      <w:divBdr>
        <w:top w:val="none" w:sz="0" w:space="0" w:color="auto"/>
        <w:left w:val="none" w:sz="0" w:space="0" w:color="auto"/>
        <w:bottom w:val="none" w:sz="0" w:space="0" w:color="auto"/>
        <w:right w:val="none" w:sz="0" w:space="0" w:color="auto"/>
      </w:divBdr>
    </w:div>
    <w:div w:id="1267538126">
      <w:bodyDiv w:val="1"/>
      <w:marLeft w:val="0"/>
      <w:marRight w:val="0"/>
      <w:marTop w:val="0"/>
      <w:marBottom w:val="0"/>
      <w:divBdr>
        <w:top w:val="none" w:sz="0" w:space="0" w:color="auto"/>
        <w:left w:val="none" w:sz="0" w:space="0" w:color="auto"/>
        <w:bottom w:val="none" w:sz="0" w:space="0" w:color="auto"/>
        <w:right w:val="none" w:sz="0" w:space="0" w:color="auto"/>
      </w:divBdr>
    </w:div>
    <w:div w:id="1267735215">
      <w:bodyDiv w:val="1"/>
      <w:marLeft w:val="0"/>
      <w:marRight w:val="0"/>
      <w:marTop w:val="0"/>
      <w:marBottom w:val="0"/>
      <w:divBdr>
        <w:top w:val="none" w:sz="0" w:space="0" w:color="auto"/>
        <w:left w:val="none" w:sz="0" w:space="0" w:color="auto"/>
        <w:bottom w:val="none" w:sz="0" w:space="0" w:color="auto"/>
        <w:right w:val="none" w:sz="0" w:space="0" w:color="auto"/>
      </w:divBdr>
    </w:div>
    <w:div w:id="1274944922">
      <w:bodyDiv w:val="1"/>
      <w:marLeft w:val="0"/>
      <w:marRight w:val="0"/>
      <w:marTop w:val="0"/>
      <w:marBottom w:val="0"/>
      <w:divBdr>
        <w:top w:val="none" w:sz="0" w:space="0" w:color="auto"/>
        <w:left w:val="none" w:sz="0" w:space="0" w:color="auto"/>
        <w:bottom w:val="none" w:sz="0" w:space="0" w:color="auto"/>
        <w:right w:val="none" w:sz="0" w:space="0" w:color="auto"/>
      </w:divBdr>
    </w:div>
    <w:div w:id="1275821091">
      <w:bodyDiv w:val="1"/>
      <w:marLeft w:val="0"/>
      <w:marRight w:val="0"/>
      <w:marTop w:val="0"/>
      <w:marBottom w:val="0"/>
      <w:divBdr>
        <w:top w:val="none" w:sz="0" w:space="0" w:color="auto"/>
        <w:left w:val="none" w:sz="0" w:space="0" w:color="auto"/>
        <w:bottom w:val="none" w:sz="0" w:space="0" w:color="auto"/>
        <w:right w:val="none" w:sz="0" w:space="0" w:color="auto"/>
      </w:divBdr>
    </w:div>
    <w:div w:id="1275861619">
      <w:bodyDiv w:val="1"/>
      <w:marLeft w:val="0"/>
      <w:marRight w:val="0"/>
      <w:marTop w:val="0"/>
      <w:marBottom w:val="0"/>
      <w:divBdr>
        <w:top w:val="none" w:sz="0" w:space="0" w:color="auto"/>
        <w:left w:val="none" w:sz="0" w:space="0" w:color="auto"/>
        <w:bottom w:val="none" w:sz="0" w:space="0" w:color="auto"/>
        <w:right w:val="none" w:sz="0" w:space="0" w:color="auto"/>
      </w:divBdr>
    </w:div>
    <w:div w:id="1280144688">
      <w:bodyDiv w:val="1"/>
      <w:marLeft w:val="0"/>
      <w:marRight w:val="0"/>
      <w:marTop w:val="0"/>
      <w:marBottom w:val="0"/>
      <w:divBdr>
        <w:top w:val="none" w:sz="0" w:space="0" w:color="auto"/>
        <w:left w:val="none" w:sz="0" w:space="0" w:color="auto"/>
        <w:bottom w:val="none" w:sz="0" w:space="0" w:color="auto"/>
        <w:right w:val="none" w:sz="0" w:space="0" w:color="auto"/>
      </w:divBdr>
    </w:div>
    <w:div w:id="1281107438">
      <w:bodyDiv w:val="1"/>
      <w:marLeft w:val="0"/>
      <w:marRight w:val="0"/>
      <w:marTop w:val="0"/>
      <w:marBottom w:val="0"/>
      <w:divBdr>
        <w:top w:val="none" w:sz="0" w:space="0" w:color="auto"/>
        <w:left w:val="none" w:sz="0" w:space="0" w:color="auto"/>
        <w:bottom w:val="none" w:sz="0" w:space="0" w:color="auto"/>
        <w:right w:val="none" w:sz="0" w:space="0" w:color="auto"/>
      </w:divBdr>
    </w:div>
    <w:div w:id="1291782339">
      <w:bodyDiv w:val="1"/>
      <w:marLeft w:val="0"/>
      <w:marRight w:val="0"/>
      <w:marTop w:val="0"/>
      <w:marBottom w:val="0"/>
      <w:divBdr>
        <w:top w:val="none" w:sz="0" w:space="0" w:color="auto"/>
        <w:left w:val="none" w:sz="0" w:space="0" w:color="auto"/>
        <w:bottom w:val="none" w:sz="0" w:space="0" w:color="auto"/>
        <w:right w:val="none" w:sz="0" w:space="0" w:color="auto"/>
      </w:divBdr>
    </w:div>
    <w:div w:id="1292200945">
      <w:bodyDiv w:val="1"/>
      <w:marLeft w:val="0"/>
      <w:marRight w:val="0"/>
      <w:marTop w:val="0"/>
      <w:marBottom w:val="0"/>
      <w:divBdr>
        <w:top w:val="none" w:sz="0" w:space="0" w:color="auto"/>
        <w:left w:val="none" w:sz="0" w:space="0" w:color="auto"/>
        <w:bottom w:val="none" w:sz="0" w:space="0" w:color="auto"/>
        <w:right w:val="none" w:sz="0" w:space="0" w:color="auto"/>
      </w:divBdr>
    </w:div>
    <w:div w:id="1300302191">
      <w:bodyDiv w:val="1"/>
      <w:marLeft w:val="0"/>
      <w:marRight w:val="0"/>
      <w:marTop w:val="0"/>
      <w:marBottom w:val="0"/>
      <w:divBdr>
        <w:top w:val="none" w:sz="0" w:space="0" w:color="auto"/>
        <w:left w:val="none" w:sz="0" w:space="0" w:color="auto"/>
        <w:bottom w:val="none" w:sz="0" w:space="0" w:color="auto"/>
        <w:right w:val="none" w:sz="0" w:space="0" w:color="auto"/>
      </w:divBdr>
    </w:div>
    <w:div w:id="1305353892">
      <w:bodyDiv w:val="1"/>
      <w:marLeft w:val="0"/>
      <w:marRight w:val="0"/>
      <w:marTop w:val="0"/>
      <w:marBottom w:val="0"/>
      <w:divBdr>
        <w:top w:val="none" w:sz="0" w:space="0" w:color="auto"/>
        <w:left w:val="none" w:sz="0" w:space="0" w:color="auto"/>
        <w:bottom w:val="none" w:sz="0" w:space="0" w:color="auto"/>
        <w:right w:val="none" w:sz="0" w:space="0" w:color="auto"/>
      </w:divBdr>
    </w:div>
    <w:div w:id="1306472966">
      <w:bodyDiv w:val="1"/>
      <w:marLeft w:val="0"/>
      <w:marRight w:val="0"/>
      <w:marTop w:val="0"/>
      <w:marBottom w:val="0"/>
      <w:divBdr>
        <w:top w:val="none" w:sz="0" w:space="0" w:color="auto"/>
        <w:left w:val="none" w:sz="0" w:space="0" w:color="auto"/>
        <w:bottom w:val="none" w:sz="0" w:space="0" w:color="auto"/>
        <w:right w:val="none" w:sz="0" w:space="0" w:color="auto"/>
      </w:divBdr>
    </w:div>
    <w:div w:id="1324973289">
      <w:bodyDiv w:val="1"/>
      <w:marLeft w:val="0"/>
      <w:marRight w:val="0"/>
      <w:marTop w:val="0"/>
      <w:marBottom w:val="0"/>
      <w:divBdr>
        <w:top w:val="none" w:sz="0" w:space="0" w:color="auto"/>
        <w:left w:val="none" w:sz="0" w:space="0" w:color="auto"/>
        <w:bottom w:val="none" w:sz="0" w:space="0" w:color="auto"/>
        <w:right w:val="none" w:sz="0" w:space="0" w:color="auto"/>
      </w:divBdr>
    </w:div>
    <w:div w:id="1325740856">
      <w:bodyDiv w:val="1"/>
      <w:marLeft w:val="0"/>
      <w:marRight w:val="0"/>
      <w:marTop w:val="0"/>
      <w:marBottom w:val="0"/>
      <w:divBdr>
        <w:top w:val="none" w:sz="0" w:space="0" w:color="auto"/>
        <w:left w:val="none" w:sz="0" w:space="0" w:color="auto"/>
        <w:bottom w:val="none" w:sz="0" w:space="0" w:color="auto"/>
        <w:right w:val="none" w:sz="0" w:space="0" w:color="auto"/>
      </w:divBdr>
    </w:div>
    <w:div w:id="1336303092">
      <w:bodyDiv w:val="1"/>
      <w:marLeft w:val="0"/>
      <w:marRight w:val="0"/>
      <w:marTop w:val="0"/>
      <w:marBottom w:val="0"/>
      <w:divBdr>
        <w:top w:val="none" w:sz="0" w:space="0" w:color="auto"/>
        <w:left w:val="none" w:sz="0" w:space="0" w:color="auto"/>
        <w:bottom w:val="none" w:sz="0" w:space="0" w:color="auto"/>
        <w:right w:val="none" w:sz="0" w:space="0" w:color="auto"/>
      </w:divBdr>
    </w:div>
    <w:div w:id="1339307628">
      <w:bodyDiv w:val="1"/>
      <w:marLeft w:val="0"/>
      <w:marRight w:val="0"/>
      <w:marTop w:val="0"/>
      <w:marBottom w:val="0"/>
      <w:divBdr>
        <w:top w:val="none" w:sz="0" w:space="0" w:color="auto"/>
        <w:left w:val="none" w:sz="0" w:space="0" w:color="auto"/>
        <w:bottom w:val="none" w:sz="0" w:space="0" w:color="auto"/>
        <w:right w:val="none" w:sz="0" w:space="0" w:color="auto"/>
      </w:divBdr>
    </w:div>
    <w:div w:id="1339653292">
      <w:bodyDiv w:val="1"/>
      <w:marLeft w:val="0"/>
      <w:marRight w:val="0"/>
      <w:marTop w:val="0"/>
      <w:marBottom w:val="0"/>
      <w:divBdr>
        <w:top w:val="none" w:sz="0" w:space="0" w:color="auto"/>
        <w:left w:val="none" w:sz="0" w:space="0" w:color="auto"/>
        <w:bottom w:val="none" w:sz="0" w:space="0" w:color="auto"/>
        <w:right w:val="none" w:sz="0" w:space="0" w:color="auto"/>
      </w:divBdr>
    </w:div>
    <w:div w:id="1340306872">
      <w:bodyDiv w:val="1"/>
      <w:marLeft w:val="0"/>
      <w:marRight w:val="0"/>
      <w:marTop w:val="0"/>
      <w:marBottom w:val="0"/>
      <w:divBdr>
        <w:top w:val="none" w:sz="0" w:space="0" w:color="auto"/>
        <w:left w:val="none" w:sz="0" w:space="0" w:color="auto"/>
        <w:bottom w:val="none" w:sz="0" w:space="0" w:color="auto"/>
        <w:right w:val="none" w:sz="0" w:space="0" w:color="auto"/>
      </w:divBdr>
    </w:div>
    <w:div w:id="1342708286">
      <w:bodyDiv w:val="1"/>
      <w:marLeft w:val="0"/>
      <w:marRight w:val="0"/>
      <w:marTop w:val="0"/>
      <w:marBottom w:val="0"/>
      <w:divBdr>
        <w:top w:val="none" w:sz="0" w:space="0" w:color="auto"/>
        <w:left w:val="none" w:sz="0" w:space="0" w:color="auto"/>
        <w:bottom w:val="none" w:sz="0" w:space="0" w:color="auto"/>
        <w:right w:val="none" w:sz="0" w:space="0" w:color="auto"/>
      </w:divBdr>
    </w:div>
    <w:div w:id="1344475094">
      <w:bodyDiv w:val="1"/>
      <w:marLeft w:val="0"/>
      <w:marRight w:val="0"/>
      <w:marTop w:val="0"/>
      <w:marBottom w:val="0"/>
      <w:divBdr>
        <w:top w:val="none" w:sz="0" w:space="0" w:color="auto"/>
        <w:left w:val="none" w:sz="0" w:space="0" w:color="auto"/>
        <w:bottom w:val="none" w:sz="0" w:space="0" w:color="auto"/>
        <w:right w:val="none" w:sz="0" w:space="0" w:color="auto"/>
      </w:divBdr>
    </w:div>
    <w:div w:id="1348485680">
      <w:bodyDiv w:val="1"/>
      <w:marLeft w:val="0"/>
      <w:marRight w:val="0"/>
      <w:marTop w:val="0"/>
      <w:marBottom w:val="0"/>
      <w:divBdr>
        <w:top w:val="none" w:sz="0" w:space="0" w:color="auto"/>
        <w:left w:val="none" w:sz="0" w:space="0" w:color="auto"/>
        <w:bottom w:val="none" w:sz="0" w:space="0" w:color="auto"/>
        <w:right w:val="none" w:sz="0" w:space="0" w:color="auto"/>
      </w:divBdr>
    </w:div>
    <w:div w:id="1358578808">
      <w:bodyDiv w:val="1"/>
      <w:marLeft w:val="0"/>
      <w:marRight w:val="0"/>
      <w:marTop w:val="0"/>
      <w:marBottom w:val="0"/>
      <w:divBdr>
        <w:top w:val="none" w:sz="0" w:space="0" w:color="auto"/>
        <w:left w:val="none" w:sz="0" w:space="0" w:color="auto"/>
        <w:bottom w:val="none" w:sz="0" w:space="0" w:color="auto"/>
        <w:right w:val="none" w:sz="0" w:space="0" w:color="auto"/>
      </w:divBdr>
    </w:div>
    <w:div w:id="1360081891">
      <w:bodyDiv w:val="1"/>
      <w:marLeft w:val="0"/>
      <w:marRight w:val="0"/>
      <w:marTop w:val="0"/>
      <w:marBottom w:val="0"/>
      <w:divBdr>
        <w:top w:val="none" w:sz="0" w:space="0" w:color="auto"/>
        <w:left w:val="none" w:sz="0" w:space="0" w:color="auto"/>
        <w:bottom w:val="none" w:sz="0" w:space="0" w:color="auto"/>
        <w:right w:val="none" w:sz="0" w:space="0" w:color="auto"/>
      </w:divBdr>
    </w:div>
    <w:div w:id="1361853547">
      <w:bodyDiv w:val="1"/>
      <w:marLeft w:val="0"/>
      <w:marRight w:val="0"/>
      <w:marTop w:val="0"/>
      <w:marBottom w:val="0"/>
      <w:divBdr>
        <w:top w:val="none" w:sz="0" w:space="0" w:color="auto"/>
        <w:left w:val="none" w:sz="0" w:space="0" w:color="auto"/>
        <w:bottom w:val="none" w:sz="0" w:space="0" w:color="auto"/>
        <w:right w:val="none" w:sz="0" w:space="0" w:color="auto"/>
      </w:divBdr>
    </w:div>
    <w:div w:id="1377511449">
      <w:bodyDiv w:val="1"/>
      <w:marLeft w:val="0"/>
      <w:marRight w:val="0"/>
      <w:marTop w:val="0"/>
      <w:marBottom w:val="0"/>
      <w:divBdr>
        <w:top w:val="none" w:sz="0" w:space="0" w:color="auto"/>
        <w:left w:val="none" w:sz="0" w:space="0" w:color="auto"/>
        <w:bottom w:val="none" w:sz="0" w:space="0" w:color="auto"/>
        <w:right w:val="none" w:sz="0" w:space="0" w:color="auto"/>
      </w:divBdr>
    </w:div>
    <w:div w:id="1380978229">
      <w:bodyDiv w:val="1"/>
      <w:marLeft w:val="0"/>
      <w:marRight w:val="0"/>
      <w:marTop w:val="0"/>
      <w:marBottom w:val="0"/>
      <w:divBdr>
        <w:top w:val="none" w:sz="0" w:space="0" w:color="auto"/>
        <w:left w:val="none" w:sz="0" w:space="0" w:color="auto"/>
        <w:bottom w:val="none" w:sz="0" w:space="0" w:color="auto"/>
        <w:right w:val="none" w:sz="0" w:space="0" w:color="auto"/>
      </w:divBdr>
    </w:div>
    <w:div w:id="1389258860">
      <w:bodyDiv w:val="1"/>
      <w:marLeft w:val="0"/>
      <w:marRight w:val="0"/>
      <w:marTop w:val="0"/>
      <w:marBottom w:val="0"/>
      <w:divBdr>
        <w:top w:val="none" w:sz="0" w:space="0" w:color="auto"/>
        <w:left w:val="none" w:sz="0" w:space="0" w:color="auto"/>
        <w:bottom w:val="none" w:sz="0" w:space="0" w:color="auto"/>
        <w:right w:val="none" w:sz="0" w:space="0" w:color="auto"/>
      </w:divBdr>
    </w:div>
    <w:div w:id="1404793770">
      <w:bodyDiv w:val="1"/>
      <w:marLeft w:val="0"/>
      <w:marRight w:val="0"/>
      <w:marTop w:val="0"/>
      <w:marBottom w:val="0"/>
      <w:divBdr>
        <w:top w:val="none" w:sz="0" w:space="0" w:color="auto"/>
        <w:left w:val="none" w:sz="0" w:space="0" w:color="auto"/>
        <w:bottom w:val="none" w:sz="0" w:space="0" w:color="auto"/>
        <w:right w:val="none" w:sz="0" w:space="0" w:color="auto"/>
      </w:divBdr>
    </w:div>
    <w:div w:id="1406565226">
      <w:bodyDiv w:val="1"/>
      <w:marLeft w:val="0"/>
      <w:marRight w:val="0"/>
      <w:marTop w:val="0"/>
      <w:marBottom w:val="0"/>
      <w:divBdr>
        <w:top w:val="none" w:sz="0" w:space="0" w:color="auto"/>
        <w:left w:val="none" w:sz="0" w:space="0" w:color="auto"/>
        <w:bottom w:val="none" w:sz="0" w:space="0" w:color="auto"/>
        <w:right w:val="none" w:sz="0" w:space="0" w:color="auto"/>
      </w:divBdr>
    </w:div>
    <w:div w:id="1407261856">
      <w:bodyDiv w:val="1"/>
      <w:marLeft w:val="0"/>
      <w:marRight w:val="0"/>
      <w:marTop w:val="0"/>
      <w:marBottom w:val="0"/>
      <w:divBdr>
        <w:top w:val="none" w:sz="0" w:space="0" w:color="auto"/>
        <w:left w:val="none" w:sz="0" w:space="0" w:color="auto"/>
        <w:bottom w:val="none" w:sz="0" w:space="0" w:color="auto"/>
        <w:right w:val="none" w:sz="0" w:space="0" w:color="auto"/>
      </w:divBdr>
    </w:div>
    <w:div w:id="1419718671">
      <w:bodyDiv w:val="1"/>
      <w:marLeft w:val="0"/>
      <w:marRight w:val="0"/>
      <w:marTop w:val="0"/>
      <w:marBottom w:val="0"/>
      <w:divBdr>
        <w:top w:val="none" w:sz="0" w:space="0" w:color="auto"/>
        <w:left w:val="none" w:sz="0" w:space="0" w:color="auto"/>
        <w:bottom w:val="none" w:sz="0" w:space="0" w:color="auto"/>
        <w:right w:val="none" w:sz="0" w:space="0" w:color="auto"/>
      </w:divBdr>
    </w:div>
    <w:div w:id="1436049107">
      <w:bodyDiv w:val="1"/>
      <w:marLeft w:val="0"/>
      <w:marRight w:val="0"/>
      <w:marTop w:val="0"/>
      <w:marBottom w:val="0"/>
      <w:divBdr>
        <w:top w:val="none" w:sz="0" w:space="0" w:color="auto"/>
        <w:left w:val="none" w:sz="0" w:space="0" w:color="auto"/>
        <w:bottom w:val="none" w:sz="0" w:space="0" w:color="auto"/>
        <w:right w:val="none" w:sz="0" w:space="0" w:color="auto"/>
      </w:divBdr>
    </w:div>
    <w:div w:id="1438208384">
      <w:bodyDiv w:val="1"/>
      <w:marLeft w:val="0"/>
      <w:marRight w:val="0"/>
      <w:marTop w:val="0"/>
      <w:marBottom w:val="0"/>
      <w:divBdr>
        <w:top w:val="none" w:sz="0" w:space="0" w:color="auto"/>
        <w:left w:val="none" w:sz="0" w:space="0" w:color="auto"/>
        <w:bottom w:val="none" w:sz="0" w:space="0" w:color="auto"/>
        <w:right w:val="none" w:sz="0" w:space="0" w:color="auto"/>
      </w:divBdr>
    </w:div>
    <w:div w:id="1438211756">
      <w:bodyDiv w:val="1"/>
      <w:marLeft w:val="0"/>
      <w:marRight w:val="0"/>
      <w:marTop w:val="0"/>
      <w:marBottom w:val="0"/>
      <w:divBdr>
        <w:top w:val="none" w:sz="0" w:space="0" w:color="auto"/>
        <w:left w:val="none" w:sz="0" w:space="0" w:color="auto"/>
        <w:bottom w:val="none" w:sz="0" w:space="0" w:color="auto"/>
        <w:right w:val="none" w:sz="0" w:space="0" w:color="auto"/>
      </w:divBdr>
    </w:div>
    <w:div w:id="1451361973">
      <w:bodyDiv w:val="1"/>
      <w:marLeft w:val="0"/>
      <w:marRight w:val="0"/>
      <w:marTop w:val="0"/>
      <w:marBottom w:val="0"/>
      <w:divBdr>
        <w:top w:val="none" w:sz="0" w:space="0" w:color="auto"/>
        <w:left w:val="none" w:sz="0" w:space="0" w:color="auto"/>
        <w:bottom w:val="none" w:sz="0" w:space="0" w:color="auto"/>
        <w:right w:val="none" w:sz="0" w:space="0" w:color="auto"/>
      </w:divBdr>
    </w:div>
    <w:div w:id="1467317351">
      <w:bodyDiv w:val="1"/>
      <w:marLeft w:val="0"/>
      <w:marRight w:val="0"/>
      <w:marTop w:val="0"/>
      <w:marBottom w:val="0"/>
      <w:divBdr>
        <w:top w:val="none" w:sz="0" w:space="0" w:color="auto"/>
        <w:left w:val="none" w:sz="0" w:space="0" w:color="auto"/>
        <w:bottom w:val="none" w:sz="0" w:space="0" w:color="auto"/>
        <w:right w:val="none" w:sz="0" w:space="0" w:color="auto"/>
      </w:divBdr>
    </w:div>
    <w:div w:id="1475902303">
      <w:bodyDiv w:val="1"/>
      <w:marLeft w:val="0"/>
      <w:marRight w:val="0"/>
      <w:marTop w:val="0"/>
      <w:marBottom w:val="0"/>
      <w:divBdr>
        <w:top w:val="none" w:sz="0" w:space="0" w:color="auto"/>
        <w:left w:val="none" w:sz="0" w:space="0" w:color="auto"/>
        <w:bottom w:val="none" w:sz="0" w:space="0" w:color="auto"/>
        <w:right w:val="none" w:sz="0" w:space="0" w:color="auto"/>
      </w:divBdr>
    </w:div>
    <w:div w:id="1478186730">
      <w:bodyDiv w:val="1"/>
      <w:marLeft w:val="0"/>
      <w:marRight w:val="0"/>
      <w:marTop w:val="0"/>
      <w:marBottom w:val="0"/>
      <w:divBdr>
        <w:top w:val="none" w:sz="0" w:space="0" w:color="auto"/>
        <w:left w:val="none" w:sz="0" w:space="0" w:color="auto"/>
        <w:bottom w:val="none" w:sz="0" w:space="0" w:color="auto"/>
        <w:right w:val="none" w:sz="0" w:space="0" w:color="auto"/>
      </w:divBdr>
    </w:div>
    <w:div w:id="1485049321">
      <w:bodyDiv w:val="1"/>
      <w:marLeft w:val="0"/>
      <w:marRight w:val="0"/>
      <w:marTop w:val="0"/>
      <w:marBottom w:val="0"/>
      <w:divBdr>
        <w:top w:val="none" w:sz="0" w:space="0" w:color="auto"/>
        <w:left w:val="none" w:sz="0" w:space="0" w:color="auto"/>
        <w:bottom w:val="none" w:sz="0" w:space="0" w:color="auto"/>
        <w:right w:val="none" w:sz="0" w:space="0" w:color="auto"/>
      </w:divBdr>
    </w:div>
    <w:div w:id="1488668820">
      <w:bodyDiv w:val="1"/>
      <w:marLeft w:val="0"/>
      <w:marRight w:val="0"/>
      <w:marTop w:val="0"/>
      <w:marBottom w:val="0"/>
      <w:divBdr>
        <w:top w:val="none" w:sz="0" w:space="0" w:color="auto"/>
        <w:left w:val="none" w:sz="0" w:space="0" w:color="auto"/>
        <w:bottom w:val="none" w:sz="0" w:space="0" w:color="auto"/>
        <w:right w:val="none" w:sz="0" w:space="0" w:color="auto"/>
      </w:divBdr>
    </w:div>
    <w:div w:id="1502039359">
      <w:bodyDiv w:val="1"/>
      <w:marLeft w:val="0"/>
      <w:marRight w:val="0"/>
      <w:marTop w:val="0"/>
      <w:marBottom w:val="0"/>
      <w:divBdr>
        <w:top w:val="none" w:sz="0" w:space="0" w:color="auto"/>
        <w:left w:val="none" w:sz="0" w:space="0" w:color="auto"/>
        <w:bottom w:val="none" w:sz="0" w:space="0" w:color="auto"/>
        <w:right w:val="none" w:sz="0" w:space="0" w:color="auto"/>
      </w:divBdr>
    </w:div>
    <w:div w:id="1516306972">
      <w:bodyDiv w:val="1"/>
      <w:marLeft w:val="0"/>
      <w:marRight w:val="0"/>
      <w:marTop w:val="0"/>
      <w:marBottom w:val="0"/>
      <w:divBdr>
        <w:top w:val="none" w:sz="0" w:space="0" w:color="auto"/>
        <w:left w:val="none" w:sz="0" w:space="0" w:color="auto"/>
        <w:bottom w:val="none" w:sz="0" w:space="0" w:color="auto"/>
        <w:right w:val="none" w:sz="0" w:space="0" w:color="auto"/>
      </w:divBdr>
    </w:div>
    <w:div w:id="1523937422">
      <w:bodyDiv w:val="1"/>
      <w:marLeft w:val="0"/>
      <w:marRight w:val="0"/>
      <w:marTop w:val="0"/>
      <w:marBottom w:val="0"/>
      <w:divBdr>
        <w:top w:val="none" w:sz="0" w:space="0" w:color="auto"/>
        <w:left w:val="none" w:sz="0" w:space="0" w:color="auto"/>
        <w:bottom w:val="none" w:sz="0" w:space="0" w:color="auto"/>
        <w:right w:val="none" w:sz="0" w:space="0" w:color="auto"/>
      </w:divBdr>
    </w:div>
    <w:div w:id="1526598172">
      <w:bodyDiv w:val="1"/>
      <w:marLeft w:val="0"/>
      <w:marRight w:val="0"/>
      <w:marTop w:val="0"/>
      <w:marBottom w:val="0"/>
      <w:divBdr>
        <w:top w:val="none" w:sz="0" w:space="0" w:color="auto"/>
        <w:left w:val="none" w:sz="0" w:space="0" w:color="auto"/>
        <w:bottom w:val="none" w:sz="0" w:space="0" w:color="auto"/>
        <w:right w:val="none" w:sz="0" w:space="0" w:color="auto"/>
      </w:divBdr>
    </w:div>
    <w:div w:id="1527595898">
      <w:bodyDiv w:val="1"/>
      <w:marLeft w:val="0"/>
      <w:marRight w:val="0"/>
      <w:marTop w:val="0"/>
      <w:marBottom w:val="0"/>
      <w:divBdr>
        <w:top w:val="none" w:sz="0" w:space="0" w:color="auto"/>
        <w:left w:val="none" w:sz="0" w:space="0" w:color="auto"/>
        <w:bottom w:val="none" w:sz="0" w:space="0" w:color="auto"/>
        <w:right w:val="none" w:sz="0" w:space="0" w:color="auto"/>
      </w:divBdr>
    </w:div>
    <w:div w:id="1531382583">
      <w:bodyDiv w:val="1"/>
      <w:marLeft w:val="0"/>
      <w:marRight w:val="0"/>
      <w:marTop w:val="0"/>
      <w:marBottom w:val="0"/>
      <w:divBdr>
        <w:top w:val="none" w:sz="0" w:space="0" w:color="auto"/>
        <w:left w:val="none" w:sz="0" w:space="0" w:color="auto"/>
        <w:bottom w:val="none" w:sz="0" w:space="0" w:color="auto"/>
        <w:right w:val="none" w:sz="0" w:space="0" w:color="auto"/>
      </w:divBdr>
    </w:div>
    <w:div w:id="1539976623">
      <w:bodyDiv w:val="1"/>
      <w:marLeft w:val="0"/>
      <w:marRight w:val="0"/>
      <w:marTop w:val="0"/>
      <w:marBottom w:val="0"/>
      <w:divBdr>
        <w:top w:val="none" w:sz="0" w:space="0" w:color="auto"/>
        <w:left w:val="none" w:sz="0" w:space="0" w:color="auto"/>
        <w:bottom w:val="none" w:sz="0" w:space="0" w:color="auto"/>
        <w:right w:val="none" w:sz="0" w:space="0" w:color="auto"/>
      </w:divBdr>
    </w:div>
    <w:div w:id="1540707815">
      <w:bodyDiv w:val="1"/>
      <w:marLeft w:val="0"/>
      <w:marRight w:val="0"/>
      <w:marTop w:val="0"/>
      <w:marBottom w:val="0"/>
      <w:divBdr>
        <w:top w:val="none" w:sz="0" w:space="0" w:color="auto"/>
        <w:left w:val="none" w:sz="0" w:space="0" w:color="auto"/>
        <w:bottom w:val="none" w:sz="0" w:space="0" w:color="auto"/>
        <w:right w:val="none" w:sz="0" w:space="0" w:color="auto"/>
      </w:divBdr>
    </w:div>
    <w:div w:id="1540817921">
      <w:bodyDiv w:val="1"/>
      <w:marLeft w:val="0"/>
      <w:marRight w:val="0"/>
      <w:marTop w:val="0"/>
      <w:marBottom w:val="0"/>
      <w:divBdr>
        <w:top w:val="none" w:sz="0" w:space="0" w:color="auto"/>
        <w:left w:val="none" w:sz="0" w:space="0" w:color="auto"/>
        <w:bottom w:val="none" w:sz="0" w:space="0" w:color="auto"/>
        <w:right w:val="none" w:sz="0" w:space="0" w:color="auto"/>
      </w:divBdr>
    </w:div>
    <w:div w:id="1542548992">
      <w:bodyDiv w:val="1"/>
      <w:marLeft w:val="0"/>
      <w:marRight w:val="0"/>
      <w:marTop w:val="0"/>
      <w:marBottom w:val="0"/>
      <w:divBdr>
        <w:top w:val="none" w:sz="0" w:space="0" w:color="auto"/>
        <w:left w:val="none" w:sz="0" w:space="0" w:color="auto"/>
        <w:bottom w:val="none" w:sz="0" w:space="0" w:color="auto"/>
        <w:right w:val="none" w:sz="0" w:space="0" w:color="auto"/>
      </w:divBdr>
    </w:div>
    <w:div w:id="1548446580">
      <w:bodyDiv w:val="1"/>
      <w:marLeft w:val="0"/>
      <w:marRight w:val="0"/>
      <w:marTop w:val="0"/>
      <w:marBottom w:val="0"/>
      <w:divBdr>
        <w:top w:val="none" w:sz="0" w:space="0" w:color="auto"/>
        <w:left w:val="none" w:sz="0" w:space="0" w:color="auto"/>
        <w:bottom w:val="none" w:sz="0" w:space="0" w:color="auto"/>
        <w:right w:val="none" w:sz="0" w:space="0" w:color="auto"/>
      </w:divBdr>
    </w:div>
    <w:div w:id="1549419695">
      <w:bodyDiv w:val="1"/>
      <w:marLeft w:val="0"/>
      <w:marRight w:val="0"/>
      <w:marTop w:val="0"/>
      <w:marBottom w:val="0"/>
      <w:divBdr>
        <w:top w:val="none" w:sz="0" w:space="0" w:color="auto"/>
        <w:left w:val="none" w:sz="0" w:space="0" w:color="auto"/>
        <w:bottom w:val="none" w:sz="0" w:space="0" w:color="auto"/>
        <w:right w:val="none" w:sz="0" w:space="0" w:color="auto"/>
      </w:divBdr>
    </w:div>
    <w:div w:id="1550073994">
      <w:bodyDiv w:val="1"/>
      <w:marLeft w:val="0"/>
      <w:marRight w:val="0"/>
      <w:marTop w:val="0"/>
      <w:marBottom w:val="0"/>
      <w:divBdr>
        <w:top w:val="none" w:sz="0" w:space="0" w:color="auto"/>
        <w:left w:val="none" w:sz="0" w:space="0" w:color="auto"/>
        <w:bottom w:val="none" w:sz="0" w:space="0" w:color="auto"/>
        <w:right w:val="none" w:sz="0" w:space="0" w:color="auto"/>
      </w:divBdr>
    </w:div>
    <w:div w:id="1554460802">
      <w:bodyDiv w:val="1"/>
      <w:marLeft w:val="0"/>
      <w:marRight w:val="0"/>
      <w:marTop w:val="0"/>
      <w:marBottom w:val="0"/>
      <w:divBdr>
        <w:top w:val="none" w:sz="0" w:space="0" w:color="auto"/>
        <w:left w:val="none" w:sz="0" w:space="0" w:color="auto"/>
        <w:bottom w:val="none" w:sz="0" w:space="0" w:color="auto"/>
        <w:right w:val="none" w:sz="0" w:space="0" w:color="auto"/>
      </w:divBdr>
    </w:div>
    <w:div w:id="1561284360">
      <w:bodyDiv w:val="1"/>
      <w:marLeft w:val="0"/>
      <w:marRight w:val="0"/>
      <w:marTop w:val="0"/>
      <w:marBottom w:val="0"/>
      <w:divBdr>
        <w:top w:val="none" w:sz="0" w:space="0" w:color="auto"/>
        <w:left w:val="none" w:sz="0" w:space="0" w:color="auto"/>
        <w:bottom w:val="none" w:sz="0" w:space="0" w:color="auto"/>
        <w:right w:val="none" w:sz="0" w:space="0" w:color="auto"/>
      </w:divBdr>
    </w:div>
    <w:div w:id="1577279658">
      <w:bodyDiv w:val="1"/>
      <w:marLeft w:val="0"/>
      <w:marRight w:val="0"/>
      <w:marTop w:val="0"/>
      <w:marBottom w:val="0"/>
      <w:divBdr>
        <w:top w:val="none" w:sz="0" w:space="0" w:color="auto"/>
        <w:left w:val="none" w:sz="0" w:space="0" w:color="auto"/>
        <w:bottom w:val="none" w:sz="0" w:space="0" w:color="auto"/>
        <w:right w:val="none" w:sz="0" w:space="0" w:color="auto"/>
      </w:divBdr>
    </w:div>
    <w:div w:id="1578131135">
      <w:bodyDiv w:val="1"/>
      <w:marLeft w:val="0"/>
      <w:marRight w:val="0"/>
      <w:marTop w:val="0"/>
      <w:marBottom w:val="0"/>
      <w:divBdr>
        <w:top w:val="none" w:sz="0" w:space="0" w:color="auto"/>
        <w:left w:val="none" w:sz="0" w:space="0" w:color="auto"/>
        <w:bottom w:val="none" w:sz="0" w:space="0" w:color="auto"/>
        <w:right w:val="none" w:sz="0" w:space="0" w:color="auto"/>
      </w:divBdr>
      <w:divsChild>
        <w:div w:id="219244127">
          <w:marLeft w:val="0"/>
          <w:marRight w:val="0"/>
          <w:marTop w:val="0"/>
          <w:marBottom w:val="0"/>
          <w:divBdr>
            <w:top w:val="none" w:sz="0" w:space="0" w:color="auto"/>
            <w:left w:val="none" w:sz="0" w:space="0" w:color="auto"/>
            <w:bottom w:val="none" w:sz="0" w:space="0" w:color="auto"/>
            <w:right w:val="none" w:sz="0" w:space="0" w:color="auto"/>
          </w:divBdr>
        </w:div>
        <w:div w:id="2013221237">
          <w:marLeft w:val="0"/>
          <w:marRight w:val="0"/>
          <w:marTop w:val="0"/>
          <w:marBottom w:val="0"/>
          <w:divBdr>
            <w:top w:val="none" w:sz="0" w:space="0" w:color="auto"/>
            <w:left w:val="none" w:sz="0" w:space="0" w:color="auto"/>
            <w:bottom w:val="none" w:sz="0" w:space="0" w:color="auto"/>
            <w:right w:val="none" w:sz="0" w:space="0" w:color="auto"/>
          </w:divBdr>
        </w:div>
        <w:div w:id="388385563">
          <w:marLeft w:val="0"/>
          <w:marRight w:val="0"/>
          <w:marTop w:val="0"/>
          <w:marBottom w:val="0"/>
          <w:divBdr>
            <w:top w:val="none" w:sz="0" w:space="0" w:color="auto"/>
            <w:left w:val="none" w:sz="0" w:space="0" w:color="auto"/>
            <w:bottom w:val="none" w:sz="0" w:space="0" w:color="auto"/>
            <w:right w:val="none" w:sz="0" w:space="0" w:color="auto"/>
          </w:divBdr>
        </w:div>
      </w:divsChild>
    </w:div>
    <w:div w:id="1589384553">
      <w:bodyDiv w:val="1"/>
      <w:marLeft w:val="0"/>
      <w:marRight w:val="0"/>
      <w:marTop w:val="0"/>
      <w:marBottom w:val="0"/>
      <w:divBdr>
        <w:top w:val="none" w:sz="0" w:space="0" w:color="auto"/>
        <w:left w:val="none" w:sz="0" w:space="0" w:color="auto"/>
        <w:bottom w:val="none" w:sz="0" w:space="0" w:color="auto"/>
        <w:right w:val="none" w:sz="0" w:space="0" w:color="auto"/>
      </w:divBdr>
    </w:div>
    <w:div w:id="1592471326">
      <w:bodyDiv w:val="1"/>
      <w:marLeft w:val="0"/>
      <w:marRight w:val="0"/>
      <w:marTop w:val="0"/>
      <w:marBottom w:val="0"/>
      <w:divBdr>
        <w:top w:val="none" w:sz="0" w:space="0" w:color="auto"/>
        <w:left w:val="none" w:sz="0" w:space="0" w:color="auto"/>
        <w:bottom w:val="none" w:sz="0" w:space="0" w:color="auto"/>
        <w:right w:val="none" w:sz="0" w:space="0" w:color="auto"/>
      </w:divBdr>
    </w:div>
    <w:div w:id="1594315171">
      <w:bodyDiv w:val="1"/>
      <w:marLeft w:val="0"/>
      <w:marRight w:val="0"/>
      <w:marTop w:val="0"/>
      <w:marBottom w:val="0"/>
      <w:divBdr>
        <w:top w:val="none" w:sz="0" w:space="0" w:color="auto"/>
        <w:left w:val="none" w:sz="0" w:space="0" w:color="auto"/>
        <w:bottom w:val="none" w:sz="0" w:space="0" w:color="auto"/>
        <w:right w:val="none" w:sz="0" w:space="0" w:color="auto"/>
      </w:divBdr>
    </w:div>
    <w:div w:id="1598054924">
      <w:bodyDiv w:val="1"/>
      <w:marLeft w:val="0"/>
      <w:marRight w:val="0"/>
      <w:marTop w:val="0"/>
      <w:marBottom w:val="0"/>
      <w:divBdr>
        <w:top w:val="none" w:sz="0" w:space="0" w:color="auto"/>
        <w:left w:val="none" w:sz="0" w:space="0" w:color="auto"/>
        <w:bottom w:val="none" w:sz="0" w:space="0" w:color="auto"/>
        <w:right w:val="none" w:sz="0" w:space="0" w:color="auto"/>
      </w:divBdr>
    </w:div>
    <w:div w:id="1606887326">
      <w:bodyDiv w:val="1"/>
      <w:marLeft w:val="0"/>
      <w:marRight w:val="0"/>
      <w:marTop w:val="0"/>
      <w:marBottom w:val="0"/>
      <w:divBdr>
        <w:top w:val="none" w:sz="0" w:space="0" w:color="auto"/>
        <w:left w:val="none" w:sz="0" w:space="0" w:color="auto"/>
        <w:bottom w:val="none" w:sz="0" w:space="0" w:color="auto"/>
        <w:right w:val="none" w:sz="0" w:space="0" w:color="auto"/>
      </w:divBdr>
    </w:div>
    <w:div w:id="1608390575">
      <w:bodyDiv w:val="1"/>
      <w:marLeft w:val="0"/>
      <w:marRight w:val="0"/>
      <w:marTop w:val="0"/>
      <w:marBottom w:val="0"/>
      <w:divBdr>
        <w:top w:val="none" w:sz="0" w:space="0" w:color="auto"/>
        <w:left w:val="none" w:sz="0" w:space="0" w:color="auto"/>
        <w:bottom w:val="none" w:sz="0" w:space="0" w:color="auto"/>
        <w:right w:val="none" w:sz="0" w:space="0" w:color="auto"/>
      </w:divBdr>
    </w:div>
    <w:div w:id="1615863336">
      <w:bodyDiv w:val="1"/>
      <w:marLeft w:val="0"/>
      <w:marRight w:val="0"/>
      <w:marTop w:val="0"/>
      <w:marBottom w:val="0"/>
      <w:divBdr>
        <w:top w:val="none" w:sz="0" w:space="0" w:color="auto"/>
        <w:left w:val="none" w:sz="0" w:space="0" w:color="auto"/>
        <w:bottom w:val="none" w:sz="0" w:space="0" w:color="auto"/>
        <w:right w:val="none" w:sz="0" w:space="0" w:color="auto"/>
      </w:divBdr>
    </w:div>
    <w:div w:id="1619094744">
      <w:bodyDiv w:val="1"/>
      <w:marLeft w:val="0"/>
      <w:marRight w:val="0"/>
      <w:marTop w:val="0"/>
      <w:marBottom w:val="0"/>
      <w:divBdr>
        <w:top w:val="none" w:sz="0" w:space="0" w:color="auto"/>
        <w:left w:val="none" w:sz="0" w:space="0" w:color="auto"/>
        <w:bottom w:val="none" w:sz="0" w:space="0" w:color="auto"/>
        <w:right w:val="none" w:sz="0" w:space="0" w:color="auto"/>
      </w:divBdr>
    </w:div>
    <w:div w:id="1628463584">
      <w:bodyDiv w:val="1"/>
      <w:marLeft w:val="0"/>
      <w:marRight w:val="0"/>
      <w:marTop w:val="0"/>
      <w:marBottom w:val="0"/>
      <w:divBdr>
        <w:top w:val="none" w:sz="0" w:space="0" w:color="auto"/>
        <w:left w:val="none" w:sz="0" w:space="0" w:color="auto"/>
        <w:bottom w:val="none" w:sz="0" w:space="0" w:color="auto"/>
        <w:right w:val="none" w:sz="0" w:space="0" w:color="auto"/>
      </w:divBdr>
    </w:div>
    <w:div w:id="1630016731">
      <w:bodyDiv w:val="1"/>
      <w:marLeft w:val="0"/>
      <w:marRight w:val="0"/>
      <w:marTop w:val="0"/>
      <w:marBottom w:val="0"/>
      <w:divBdr>
        <w:top w:val="none" w:sz="0" w:space="0" w:color="auto"/>
        <w:left w:val="none" w:sz="0" w:space="0" w:color="auto"/>
        <w:bottom w:val="none" w:sz="0" w:space="0" w:color="auto"/>
        <w:right w:val="none" w:sz="0" w:space="0" w:color="auto"/>
      </w:divBdr>
    </w:div>
    <w:div w:id="1638756003">
      <w:bodyDiv w:val="1"/>
      <w:marLeft w:val="0"/>
      <w:marRight w:val="0"/>
      <w:marTop w:val="0"/>
      <w:marBottom w:val="0"/>
      <w:divBdr>
        <w:top w:val="none" w:sz="0" w:space="0" w:color="auto"/>
        <w:left w:val="none" w:sz="0" w:space="0" w:color="auto"/>
        <w:bottom w:val="none" w:sz="0" w:space="0" w:color="auto"/>
        <w:right w:val="none" w:sz="0" w:space="0" w:color="auto"/>
      </w:divBdr>
    </w:div>
    <w:div w:id="1643383311">
      <w:bodyDiv w:val="1"/>
      <w:marLeft w:val="0"/>
      <w:marRight w:val="0"/>
      <w:marTop w:val="0"/>
      <w:marBottom w:val="0"/>
      <w:divBdr>
        <w:top w:val="none" w:sz="0" w:space="0" w:color="auto"/>
        <w:left w:val="none" w:sz="0" w:space="0" w:color="auto"/>
        <w:bottom w:val="none" w:sz="0" w:space="0" w:color="auto"/>
        <w:right w:val="none" w:sz="0" w:space="0" w:color="auto"/>
      </w:divBdr>
    </w:div>
    <w:div w:id="1644774520">
      <w:bodyDiv w:val="1"/>
      <w:marLeft w:val="0"/>
      <w:marRight w:val="0"/>
      <w:marTop w:val="0"/>
      <w:marBottom w:val="0"/>
      <w:divBdr>
        <w:top w:val="none" w:sz="0" w:space="0" w:color="auto"/>
        <w:left w:val="none" w:sz="0" w:space="0" w:color="auto"/>
        <w:bottom w:val="none" w:sz="0" w:space="0" w:color="auto"/>
        <w:right w:val="none" w:sz="0" w:space="0" w:color="auto"/>
      </w:divBdr>
    </w:div>
    <w:div w:id="1649092528">
      <w:bodyDiv w:val="1"/>
      <w:marLeft w:val="0"/>
      <w:marRight w:val="0"/>
      <w:marTop w:val="0"/>
      <w:marBottom w:val="0"/>
      <w:divBdr>
        <w:top w:val="none" w:sz="0" w:space="0" w:color="auto"/>
        <w:left w:val="none" w:sz="0" w:space="0" w:color="auto"/>
        <w:bottom w:val="none" w:sz="0" w:space="0" w:color="auto"/>
        <w:right w:val="none" w:sz="0" w:space="0" w:color="auto"/>
      </w:divBdr>
    </w:div>
    <w:div w:id="1655179354">
      <w:bodyDiv w:val="1"/>
      <w:marLeft w:val="0"/>
      <w:marRight w:val="0"/>
      <w:marTop w:val="0"/>
      <w:marBottom w:val="0"/>
      <w:divBdr>
        <w:top w:val="none" w:sz="0" w:space="0" w:color="auto"/>
        <w:left w:val="none" w:sz="0" w:space="0" w:color="auto"/>
        <w:bottom w:val="none" w:sz="0" w:space="0" w:color="auto"/>
        <w:right w:val="none" w:sz="0" w:space="0" w:color="auto"/>
      </w:divBdr>
    </w:div>
    <w:div w:id="1658220946">
      <w:bodyDiv w:val="1"/>
      <w:marLeft w:val="0"/>
      <w:marRight w:val="0"/>
      <w:marTop w:val="0"/>
      <w:marBottom w:val="0"/>
      <w:divBdr>
        <w:top w:val="none" w:sz="0" w:space="0" w:color="auto"/>
        <w:left w:val="none" w:sz="0" w:space="0" w:color="auto"/>
        <w:bottom w:val="none" w:sz="0" w:space="0" w:color="auto"/>
        <w:right w:val="none" w:sz="0" w:space="0" w:color="auto"/>
      </w:divBdr>
    </w:div>
    <w:div w:id="1660377538">
      <w:bodyDiv w:val="1"/>
      <w:marLeft w:val="0"/>
      <w:marRight w:val="0"/>
      <w:marTop w:val="0"/>
      <w:marBottom w:val="0"/>
      <w:divBdr>
        <w:top w:val="none" w:sz="0" w:space="0" w:color="auto"/>
        <w:left w:val="none" w:sz="0" w:space="0" w:color="auto"/>
        <w:bottom w:val="none" w:sz="0" w:space="0" w:color="auto"/>
        <w:right w:val="none" w:sz="0" w:space="0" w:color="auto"/>
      </w:divBdr>
    </w:div>
    <w:div w:id="1668946847">
      <w:bodyDiv w:val="1"/>
      <w:marLeft w:val="0"/>
      <w:marRight w:val="0"/>
      <w:marTop w:val="0"/>
      <w:marBottom w:val="0"/>
      <w:divBdr>
        <w:top w:val="none" w:sz="0" w:space="0" w:color="auto"/>
        <w:left w:val="none" w:sz="0" w:space="0" w:color="auto"/>
        <w:bottom w:val="none" w:sz="0" w:space="0" w:color="auto"/>
        <w:right w:val="none" w:sz="0" w:space="0" w:color="auto"/>
      </w:divBdr>
    </w:div>
    <w:div w:id="1670208525">
      <w:bodyDiv w:val="1"/>
      <w:marLeft w:val="0"/>
      <w:marRight w:val="0"/>
      <w:marTop w:val="0"/>
      <w:marBottom w:val="0"/>
      <w:divBdr>
        <w:top w:val="none" w:sz="0" w:space="0" w:color="auto"/>
        <w:left w:val="none" w:sz="0" w:space="0" w:color="auto"/>
        <w:bottom w:val="none" w:sz="0" w:space="0" w:color="auto"/>
        <w:right w:val="none" w:sz="0" w:space="0" w:color="auto"/>
      </w:divBdr>
    </w:div>
    <w:div w:id="1677149778">
      <w:bodyDiv w:val="1"/>
      <w:marLeft w:val="0"/>
      <w:marRight w:val="0"/>
      <w:marTop w:val="0"/>
      <w:marBottom w:val="0"/>
      <w:divBdr>
        <w:top w:val="none" w:sz="0" w:space="0" w:color="auto"/>
        <w:left w:val="none" w:sz="0" w:space="0" w:color="auto"/>
        <w:bottom w:val="none" w:sz="0" w:space="0" w:color="auto"/>
        <w:right w:val="none" w:sz="0" w:space="0" w:color="auto"/>
      </w:divBdr>
    </w:div>
    <w:div w:id="1678190242">
      <w:bodyDiv w:val="1"/>
      <w:marLeft w:val="0"/>
      <w:marRight w:val="0"/>
      <w:marTop w:val="0"/>
      <w:marBottom w:val="0"/>
      <w:divBdr>
        <w:top w:val="none" w:sz="0" w:space="0" w:color="auto"/>
        <w:left w:val="none" w:sz="0" w:space="0" w:color="auto"/>
        <w:bottom w:val="none" w:sz="0" w:space="0" w:color="auto"/>
        <w:right w:val="none" w:sz="0" w:space="0" w:color="auto"/>
      </w:divBdr>
    </w:div>
    <w:div w:id="1678727622">
      <w:bodyDiv w:val="1"/>
      <w:marLeft w:val="0"/>
      <w:marRight w:val="0"/>
      <w:marTop w:val="0"/>
      <w:marBottom w:val="0"/>
      <w:divBdr>
        <w:top w:val="none" w:sz="0" w:space="0" w:color="auto"/>
        <w:left w:val="none" w:sz="0" w:space="0" w:color="auto"/>
        <w:bottom w:val="none" w:sz="0" w:space="0" w:color="auto"/>
        <w:right w:val="none" w:sz="0" w:space="0" w:color="auto"/>
      </w:divBdr>
    </w:div>
    <w:div w:id="1700280611">
      <w:bodyDiv w:val="1"/>
      <w:marLeft w:val="0"/>
      <w:marRight w:val="0"/>
      <w:marTop w:val="0"/>
      <w:marBottom w:val="0"/>
      <w:divBdr>
        <w:top w:val="none" w:sz="0" w:space="0" w:color="auto"/>
        <w:left w:val="none" w:sz="0" w:space="0" w:color="auto"/>
        <w:bottom w:val="none" w:sz="0" w:space="0" w:color="auto"/>
        <w:right w:val="none" w:sz="0" w:space="0" w:color="auto"/>
      </w:divBdr>
    </w:div>
    <w:div w:id="1703363873">
      <w:bodyDiv w:val="1"/>
      <w:marLeft w:val="0"/>
      <w:marRight w:val="0"/>
      <w:marTop w:val="0"/>
      <w:marBottom w:val="0"/>
      <w:divBdr>
        <w:top w:val="none" w:sz="0" w:space="0" w:color="auto"/>
        <w:left w:val="none" w:sz="0" w:space="0" w:color="auto"/>
        <w:bottom w:val="none" w:sz="0" w:space="0" w:color="auto"/>
        <w:right w:val="none" w:sz="0" w:space="0" w:color="auto"/>
      </w:divBdr>
    </w:div>
    <w:div w:id="1714380293">
      <w:bodyDiv w:val="1"/>
      <w:marLeft w:val="0"/>
      <w:marRight w:val="0"/>
      <w:marTop w:val="0"/>
      <w:marBottom w:val="0"/>
      <w:divBdr>
        <w:top w:val="none" w:sz="0" w:space="0" w:color="auto"/>
        <w:left w:val="none" w:sz="0" w:space="0" w:color="auto"/>
        <w:bottom w:val="none" w:sz="0" w:space="0" w:color="auto"/>
        <w:right w:val="none" w:sz="0" w:space="0" w:color="auto"/>
      </w:divBdr>
    </w:div>
    <w:div w:id="1717002303">
      <w:bodyDiv w:val="1"/>
      <w:marLeft w:val="0"/>
      <w:marRight w:val="0"/>
      <w:marTop w:val="0"/>
      <w:marBottom w:val="0"/>
      <w:divBdr>
        <w:top w:val="none" w:sz="0" w:space="0" w:color="auto"/>
        <w:left w:val="none" w:sz="0" w:space="0" w:color="auto"/>
        <w:bottom w:val="none" w:sz="0" w:space="0" w:color="auto"/>
        <w:right w:val="none" w:sz="0" w:space="0" w:color="auto"/>
      </w:divBdr>
    </w:div>
    <w:div w:id="1730957142">
      <w:bodyDiv w:val="1"/>
      <w:marLeft w:val="0"/>
      <w:marRight w:val="0"/>
      <w:marTop w:val="0"/>
      <w:marBottom w:val="0"/>
      <w:divBdr>
        <w:top w:val="none" w:sz="0" w:space="0" w:color="auto"/>
        <w:left w:val="none" w:sz="0" w:space="0" w:color="auto"/>
        <w:bottom w:val="none" w:sz="0" w:space="0" w:color="auto"/>
        <w:right w:val="none" w:sz="0" w:space="0" w:color="auto"/>
      </w:divBdr>
    </w:div>
    <w:div w:id="1741173127">
      <w:bodyDiv w:val="1"/>
      <w:marLeft w:val="0"/>
      <w:marRight w:val="0"/>
      <w:marTop w:val="0"/>
      <w:marBottom w:val="0"/>
      <w:divBdr>
        <w:top w:val="none" w:sz="0" w:space="0" w:color="auto"/>
        <w:left w:val="none" w:sz="0" w:space="0" w:color="auto"/>
        <w:bottom w:val="none" w:sz="0" w:space="0" w:color="auto"/>
        <w:right w:val="none" w:sz="0" w:space="0" w:color="auto"/>
      </w:divBdr>
    </w:div>
    <w:div w:id="1761952548">
      <w:bodyDiv w:val="1"/>
      <w:marLeft w:val="0"/>
      <w:marRight w:val="0"/>
      <w:marTop w:val="0"/>
      <w:marBottom w:val="0"/>
      <w:divBdr>
        <w:top w:val="none" w:sz="0" w:space="0" w:color="auto"/>
        <w:left w:val="none" w:sz="0" w:space="0" w:color="auto"/>
        <w:bottom w:val="none" w:sz="0" w:space="0" w:color="auto"/>
        <w:right w:val="none" w:sz="0" w:space="0" w:color="auto"/>
      </w:divBdr>
    </w:div>
    <w:div w:id="1766488476">
      <w:bodyDiv w:val="1"/>
      <w:marLeft w:val="0"/>
      <w:marRight w:val="0"/>
      <w:marTop w:val="0"/>
      <w:marBottom w:val="0"/>
      <w:divBdr>
        <w:top w:val="none" w:sz="0" w:space="0" w:color="auto"/>
        <w:left w:val="none" w:sz="0" w:space="0" w:color="auto"/>
        <w:bottom w:val="none" w:sz="0" w:space="0" w:color="auto"/>
        <w:right w:val="none" w:sz="0" w:space="0" w:color="auto"/>
      </w:divBdr>
    </w:div>
    <w:div w:id="1767846370">
      <w:bodyDiv w:val="1"/>
      <w:marLeft w:val="0"/>
      <w:marRight w:val="0"/>
      <w:marTop w:val="0"/>
      <w:marBottom w:val="0"/>
      <w:divBdr>
        <w:top w:val="none" w:sz="0" w:space="0" w:color="auto"/>
        <w:left w:val="none" w:sz="0" w:space="0" w:color="auto"/>
        <w:bottom w:val="none" w:sz="0" w:space="0" w:color="auto"/>
        <w:right w:val="none" w:sz="0" w:space="0" w:color="auto"/>
      </w:divBdr>
    </w:div>
    <w:div w:id="1770469500">
      <w:bodyDiv w:val="1"/>
      <w:marLeft w:val="0"/>
      <w:marRight w:val="0"/>
      <w:marTop w:val="0"/>
      <w:marBottom w:val="0"/>
      <w:divBdr>
        <w:top w:val="none" w:sz="0" w:space="0" w:color="auto"/>
        <w:left w:val="none" w:sz="0" w:space="0" w:color="auto"/>
        <w:bottom w:val="none" w:sz="0" w:space="0" w:color="auto"/>
        <w:right w:val="none" w:sz="0" w:space="0" w:color="auto"/>
      </w:divBdr>
    </w:div>
    <w:div w:id="1776829626">
      <w:bodyDiv w:val="1"/>
      <w:marLeft w:val="0"/>
      <w:marRight w:val="0"/>
      <w:marTop w:val="0"/>
      <w:marBottom w:val="0"/>
      <w:divBdr>
        <w:top w:val="none" w:sz="0" w:space="0" w:color="auto"/>
        <w:left w:val="none" w:sz="0" w:space="0" w:color="auto"/>
        <w:bottom w:val="none" w:sz="0" w:space="0" w:color="auto"/>
        <w:right w:val="none" w:sz="0" w:space="0" w:color="auto"/>
      </w:divBdr>
    </w:div>
    <w:div w:id="1785493669">
      <w:bodyDiv w:val="1"/>
      <w:marLeft w:val="0"/>
      <w:marRight w:val="0"/>
      <w:marTop w:val="0"/>
      <w:marBottom w:val="0"/>
      <w:divBdr>
        <w:top w:val="none" w:sz="0" w:space="0" w:color="auto"/>
        <w:left w:val="none" w:sz="0" w:space="0" w:color="auto"/>
        <w:bottom w:val="none" w:sz="0" w:space="0" w:color="auto"/>
        <w:right w:val="none" w:sz="0" w:space="0" w:color="auto"/>
      </w:divBdr>
    </w:div>
    <w:div w:id="1797216465">
      <w:bodyDiv w:val="1"/>
      <w:marLeft w:val="0"/>
      <w:marRight w:val="0"/>
      <w:marTop w:val="0"/>
      <w:marBottom w:val="0"/>
      <w:divBdr>
        <w:top w:val="none" w:sz="0" w:space="0" w:color="auto"/>
        <w:left w:val="none" w:sz="0" w:space="0" w:color="auto"/>
        <w:bottom w:val="none" w:sz="0" w:space="0" w:color="auto"/>
        <w:right w:val="none" w:sz="0" w:space="0" w:color="auto"/>
      </w:divBdr>
    </w:div>
    <w:div w:id="1806895504">
      <w:bodyDiv w:val="1"/>
      <w:marLeft w:val="0"/>
      <w:marRight w:val="0"/>
      <w:marTop w:val="0"/>
      <w:marBottom w:val="0"/>
      <w:divBdr>
        <w:top w:val="none" w:sz="0" w:space="0" w:color="auto"/>
        <w:left w:val="none" w:sz="0" w:space="0" w:color="auto"/>
        <w:bottom w:val="none" w:sz="0" w:space="0" w:color="auto"/>
        <w:right w:val="none" w:sz="0" w:space="0" w:color="auto"/>
      </w:divBdr>
    </w:div>
    <w:div w:id="1807427976">
      <w:bodyDiv w:val="1"/>
      <w:marLeft w:val="0"/>
      <w:marRight w:val="0"/>
      <w:marTop w:val="0"/>
      <w:marBottom w:val="0"/>
      <w:divBdr>
        <w:top w:val="none" w:sz="0" w:space="0" w:color="auto"/>
        <w:left w:val="none" w:sz="0" w:space="0" w:color="auto"/>
        <w:bottom w:val="none" w:sz="0" w:space="0" w:color="auto"/>
        <w:right w:val="none" w:sz="0" w:space="0" w:color="auto"/>
      </w:divBdr>
    </w:div>
    <w:div w:id="1818109106">
      <w:bodyDiv w:val="1"/>
      <w:marLeft w:val="0"/>
      <w:marRight w:val="0"/>
      <w:marTop w:val="0"/>
      <w:marBottom w:val="0"/>
      <w:divBdr>
        <w:top w:val="none" w:sz="0" w:space="0" w:color="auto"/>
        <w:left w:val="none" w:sz="0" w:space="0" w:color="auto"/>
        <w:bottom w:val="none" w:sz="0" w:space="0" w:color="auto"/>
        <w:right w:val="none" w:sz="0" w:space="0" w:color="auto"/>
      </w:divBdr>
    </w:div>
    <w:div w:id="1827476816">
      <w:bodyDiv w:val="1"/>
      <w:marLeft w:val="0"/>
      <w:marRight w:val="0"/>
      <w:marTop w:val="0"/>
      <w:marBottom w:val="0"/>
      <w:divBdr>
        <w:top w:val="none" w:sz="0" w:space="0" w:color="auto"/>
        <w:left w:val="none" w:sz="0" w:space="0" w:color="auto"/>
        <w:bottom w:val="none" w:sz="0" w:space="0" w:color="auto"/>
        <w:right w:val="none" w:sz="0" w:space="0" w:color="auto"/>
      </w:divBdr>
    </w:div>
    <w:div w:id="1833059697">
      <w:bodyDiv w:val="1"/>
      <w:marLeft w:val="0"/>
      <w:marRight w:val="0"/>
      <w:marTop w:val="0"/>
      <w:marBottom w:val="0"/>
      <w:divBdr>
        <w:top w:val="none" w:sz="0" w:space="0" w:color="auto"/>
        <w:left w:val="none" w:sz="0" w:space="0" w:color="auto"/>
        <w:bottom w:val="none" w:sz="0" w:space="0" w:color="auto"/>
        <w:right w:val="none" w:sz="0" w:space="0" w:color="auto"/>
      </w:divBdr>
    </w:div>
    <w:div w:id="1833330758">
      <w:bodyDiv w:val="1"/>
      <w:marLeft w:val="0"/>
      <w:marRight w:val="0"/>
      <w:marTop w:val="0"/>
      <w:marBottom w:val="0"/>
      <w:divBdr>
        <w:top w:val="none" w:sz="0" w:space="0" w:color="auto"/>
        <w:left w:val="none" w:sz="0" w:space="0" w:color="auto"/>
        <w:bottom w:val="none" w:sz="0" w:space="0" w:color="auto"/>
        <w:right w:val="none" w:sz="0" w:space="0" w:color="auto"/>
      </w:divBdr>
    </w:div>
    <w:div w:id="1848711868">
      <w:bodyDiv w:val="1"/>
      <w:marLeft w:val="0"/>
      <w:marRight w:val="0"/>
      <w:marTop w:val="0"/>
      <w:marBottom w:val="0"/>
      <w:divBdr>
        <w:top w:val="none" w:sz="0" w:space="0" w:color="auto"/>
        <w:left w:val="none" w:sz="0" w:space="0" w:color="auto"/>
        <w:bottom w:val="none" w:sz="0" w:space="0" w:color="auto"/>
        <w:right w:val="none" w:sz="0" w:space="0" w:color="auto"/>
      </w:divBdr>
    </w:div>
    <w:div w:id="1849514063">
      <w:bodyDiv w:val="1"/>
      <w:marLeft w:val="0"/>
      <w:marRight w:val="0"/>
      <w:marTop w:val="0"/>
      <w:marBottom w:val="0"/>
      <w:divBdr>
        <w:top w:val="none" w:sz="0" w:space="0" w:color="auto"/>
        <w:left w:val="none" w:sz="0" w:space="0" w:color="auto"/>
        <w:bottom w:val="none" w:sz="0" w:space="0" w:color="auto"/>
        <w:right w:val="none" w:sz="0" w:space="0" w:color="auto"/>
      </w:divBdr>
    </w:div>
    <w:div w:id="1855805684">
      <w:bodyDiv w:val="1"/>
      <w:marLeft w:val="0"/>
      <w:marRight w:val="0"/>
      <w:marTop w:val="0"/>
      <w:marBottom w:val="0"/>
      <w:divBdr>
        <w:top w:val="none" w:sz="0" w:space="0" w:color="auto"/>
        <w:left w:val="none" w:sz="0" w:space="0" w:color="auto"/>
        <w:bottom w:val="none" w:sz="0" w:space="0" w:color="auto"/>
        <w:right w:val="none" w:sz="0" w:space="0" w:color="auto"/>
      </w:divBdr>
    </w:div>
    <w:div w:id="1863129039">
      <w:bodyDiv w:val="1"/>
      <w:marLeft w:val="0"/>
      <w:marRight w:val="0"/>
      <w:marTop w:val="0"/>
      <w:marBottom w:val="0"/>
      <w:divBdr>
        <w:top w:val="none" w:sz="0" w:space="0" w:color="auto"/>
        <w:left w:val="none" w:sz="0" w:space="0" w:color="auto"/>
        <w:bottom w:val="none" w:sz="0" w:space="0" w:color="auto"/>
        <w:right w:val="none" w:sz="0" w:space="0" w:color="auto"/>
      </w:divBdr>
    </w:div>
    <w:div w:id="1863932247">
      <w:bodyDiv w:val="1"/>
      <w:marLeft w:val="0"/>
      <w:marRight w:val="0"/>
      <w:marTop w:val="0"/>
      <w:marBottom w:val="0"/>
      <w:divBdr>
        <w:top w:val="none" w:sz="0" w:space="0" w:color="auto"/>
        <w:left w:val="none" w:sz="0" w:space="0" w:color="auto"/>
        <w:bottom w:val="none" w:sz="0" w:space="0" w:color="auto"/>
        <w:right w:val="none" w:sz="0" w:space="0" w:color="auto"/>
      </w:divBdr>
    </w:div>
    <w:div w:id="1865094022">
      <w:bodyDiv w:val="1"/>
      <w:marLeft w:val="0"/>
      <w:marRight w:val="0"/>
      <w:marTop w:val="0"/>
      <w:marBottom w:val="0"/>
      <w:divBdr>
        <w:top w:val="none" w:sz="0" w:space="0" w:color="auto"/>
        <w:left w:val="none" w:sz="0" w:space="0" w:color="auto"/>
        <w:bottom w:val="none" w:sz="0" w:space="0" w:color="auto"/>
        <w:right w:val="none" w:sz="0" w:space="0" w:color="auto"/>
      </w:divBdr>
    </w:div>
    <w:div w:id="1872844234">
      <w:bodyDiv w:val="1"/>
      <w:marLeft w:val="0"/>
      <w:marRight w:val="0"/>
      <w:marTop w:val="0"/>
      <w:marBottom w:val="0"/>
      <w:divBdr>
        <w:top w:val="none" w:sz="0" w:space="0" w:color="auto"/>
        <w:left w:val="none" w:sz="0" w:space="0" w:color="auto"/>
        <w:bottom w:val="none" w:sz="0" w:space="0" w:color="auto"/>
        <w:right w:val="none" w:sz="0" w:space="0" w:color="auto"/>
      </w:divBdr>
    </w:div>
    <w:div w:id="1875994793">
      <w:bodyDiv w:val="1"/>
      <w:marLeft w:val="0"/>
      <w:marRight w:val="0"/>
      <w:marTop w:val="0"/>
      <w:marBottom w:val="0"/>
      <w:divBdr>
        <w:top w:val="none" w:sz="0" w:space="0" w:color="auto"/>
        <w:left w:val="none" w:sz="0" w:space="0" w:color="auto"/>
        <w:bottom w:val="none" w:sz="0" w:space="0" w:color="auto"/>
        <w:right w:val="none" w:sz="0" w:space="0" w:color="auto"/>
      </w:divBdr>
    </w:div>
    <w:div w:id="1878815898">
      <w:bodyDiv w:val="1"/>
      <w:marLeft w:val="0"/>
      <w:marRight w:val="0"/>
      <w:marTop w:val="0"/>
      <w:marBottom w:val="0"/>
      <w:divBdr>
        <w:top w:val="none" w:sz="0" w:space="0" w:color="auto"/>
        <w:left w:val="none" w:sz="0" w:space="0" w:color="auto"/>
        <w:bottom w:val="none" w:sz="0" w:space="0" w:color="auto"/>
        <w:right w:val="none" w:sz="0" w:space="0" w:color="auto"/>
      </w:divBdr>
    </w:div>
    <w:div w:id="1884706705">
      <w:bodyDiv w:val="1"/>
      <w:marLeft w:val="0"/>
      <w:marRight w:val="0"/>
      <w:marTop w:val="0"/>
      <w:marBottom w:val="0"/>
      <w:divBdr>
        <w:top w:val="none" w:sz="0" w:space="0" w:color="auto"/>
        <w:left w:val="none" w:sz="0" w:space="0" w:color="auto"/>
        <w:bottom w:val="none" w:sz="0" w:space="0" w:color="auto"/>
        <w:right w:val="none" w:sz="0" w:space="0" w:color="auto"/>
      </w:divBdr>
    </w:div>
    <w:div w:id="1905414455">
      <w:bodyDiv w:val="1"/>
      <w:marLeft w:val="0"/>
      <w:marRight w:val="0"/>
      <w:marTop w:val="0"/>
      <w:marBottom w:val="0"/>
      <w:divBdr>
        <w:top w:val="none" w:sz="0" w:space="0" w:color="auto"/>
        <w:left w:val="none" w:sz="0" w:space="0" w:color="auto"/>
        <w:bottom w:val="none" w:sz="0" w:space="0" w:color="auto"/>
        <w:right w:val="none" w:sz="0" w:space="0" w:color="auto"/>
      </w:divBdr>
    </w:div>
    <w:div w:id="1915891478">
      <w:bodyDiv w:val="1"/>
      <w:marLeft w:val="0"/>
      <w:marRight w:val="0"/>
      <w:marTop w:val="0"/>
      <w:marBottom w:val="0"/>
      <w:divBdr>
        <w:top w:val="none" w:sz="0" w:space="0" w:color="auto"/>
        <w:left w:val="none" w:sz="0" w:space="0" w:color="auto"/>
        <w:bottom w:val="none" w:sz="0" w:space="0" w:color="auto"/>
        <w:right w:val="none" w:sz="0" w:space="0" w:color="auto"/>
      </w:divBdr>
    </w:div>
    <w:div w:id="1921594151">
      <w:bodyDiv w:val="1"/>
      <w:marLeft w:val="0"/>
      <w:marRight w:val="0"/>
      <w:marTop w:val="0"/>
      <w:marBottom w:val="0"/>
      <w:divBdr>
        <w:top w:val="none" w:sz="0" w:space="0" w:color="auto"/>
        <w:left w:val="none" w:sz="0" w:space="0" w:color="auto"/>
        <w:bottom w:val="none" w:sz="0" w:space="0" w:color="auto"/>
        <w:right w:val="none" w:sz="0" w:space="0" w:color="auto"/>
      </w:divBdr>
    </w:div>
    <w:div w:id="1921789101">
      <w:bodyDiv w:val="1"/>
      <w:marLeft w:val="0"/>
      <w:marRight w:val="0"/>
      <w:marTop w:val="0"/>
      <w:marBottom w:val="0"/>
      <w:divBdr>
        <w:top w:val="none" w:sz="0" w:space="0" w:color="auto"/>
        <w:left w:val="none" w:sz="0" w:space="0" w:color="auto"/>
        <w:bottom w:val="none" w:sz="0" w:space="0" w:color="auto"/>
        <w:right w:val="none" w:sz="0" w:space="0" w:color="auto"/>
      </w:divBdr>
    </w:div>
    <w:div w:id="1925414882">
      <w:bodyDiv w:val="1"/>
      <w:marLeft w:val="0"/>
      <w:marRight w:val="0"/>
      <w:marTop w:val="0"/>
      <w:marBottom w:val="0"/>
      <w:divBdr>
        <w:top w:val="none" w:sz="0" w:space="0" w:color="auto"/>
        <w:left w:val="none" w:sz="0" w:space="0" w:color="auto"/>
        <w:bottom w:val="none" w:sz="0" w:space="0" w:color="auto"/>
        <w:right w:val="none" w:sz="0" w:space="0" w:color="auto"/>
      </w:divBdr>
    </w:div>
    <w:div w:id="1925843079">
      <w:bodyDiv w:val="1"/>
      <w:marLeft w:val="0"/>
      <w:marRight w:val="0"/>
      <w:marTop w:val="0"/>
      <w:marBottom w:val="0"/>
      <w:divBdr>
        <w:top w:val="none" w:sz="0" w:space="0" w:color="auto"/>
        <w:left w:val="none" w:sz="0" w:space="0" w:color="auto"/>
        <w:bottom w:val="none" w:sz="0" w:space="0" w:color="auto"/>
        <w:right w:val="none" w:sz="0" w:space="0" w:color="auto"/>
      </w:divBdr>
    </w:div>
    <w:div w:id="1938557238">
      <w:bodyDiv w:val="1"/>
      <w:marLeft w:val="0"/>
      <w:marRight w:val="0"/>
      <w:marTop w:val="0"/>
      <w:marBottom w:val="0"/>
      <w:divBdr>
        <w:top w:val="none" w:sz="0" w:space="0" w:color="auto"/>
        <w:left w:val="none" w:sz="0" w:space="0" w:color="auto"/>
        <w:bottom w:val="none" w:sz="0" w:space="0" w:color="auto"/>
        <w:right w:val="none" w:sz="0" w:space="0" w:color="auto"/>
      </w:divBdr>
    </w:div>
    <w:div w:id="1968388503">
      <w:bodyDiv w:val="1"/>
      <w:marLeft w:val="0"/>
      <w:marRight w:val="0"/>
      <w:marTop w:val="0"/>
      <w:marBottom w:val="0"/>
      <w:divBdr>
        <w:top w:val="none" w:sz="0" w:space="0" w:color="auto"/>
        <w:left w:val="none" w:sz="0" w:space="0" w:color="auto"/>
        <w:bottom w:val="none" w:sz="0" w:space="0" w:color="auto"/>
        <w:right w:val="none" w:sz="0" w:space="0" w:color="auto"/>
      </w:divBdr>
    </w:div>
    <w:div w:id="1968973404">
      <w:bodyDiv w:val="1"/>
      <w:marLeft w:val="0"/>
      <w:marRight w:val="0"/>
      <w:marTop w:val="0"/>
      <w:marBottom w:val="0"/>
      <w:divBdr>
        <w:top w:val="none" w:sz="0" w:space="0" w:color="auto"/>
        <w:left w:val="none" w:sz="0" w:space="0" w:color="auto"/>
        <w:bottom w:val="none" w:sz="0" w:space="0" w:color="auto"/>
        <w:right w:val="none" w:sz="0" w:space="0" w:color="auto"/>
      </w:divBdr>
    </w:div>
    <w:div w:id="1969240547">
      <w:bodyDiv w:val="1"/>
      <w:marLeft w:val="0"/>
      <w:marRight w:val="0"/>
      <w:marTop w:val="0"/>
      <w:marBottom w:val="0"/>
      <w:divBdr>
        <w:top w:val="none" w:sz="0" w:space="0" w:color="auto"/>
        <w:left w:val="none" w:sz="0" w:space="0" w:color="auto"/>
        <w:bottom w:val="none" w:sz="0" w:space="0" w:color="auto"/>
        <w:right w:val="none" w:sz="0" w:space="0" w:color="auto"/>
      </w:divBdr>
    </w:div>
    <w:div w:id="1972786965">
      <w:bodyDiv w:val="1"/>
      <w:marLeft w:val="0"/>
      <w:marRight w:val="0"/>
      <w:marTop w:val="0"/>
      <w:marBottom w:val="0"/>
      <w:divBdr>
        <w:top w:val="none" w:sz="0" w:space="0" w:color="auto"/>
        <w:left w:val="none" w:sz="0" w:space="0" w:color="auto"/>
        <w:bottom w:val="none" w:sz="0" w:space="0" w:color="auto"/>
        <w:right w:val="none" w:sz="0" w:space="0" w:color="auto"/>
      </w:divBdr>
    </w:div>
    <w:div w:id="1991131367">
      <w:bodyDiv w:val="1"/>
      <w:marLeft w:val="0"/>
      <w:marRight w:val="0"/>
      <w:marTop w:val="0"/>
      <w:marBottom w:val="0"/>
      <w:divBdr>
        <w:top w:val="none" w:sz="0" w:space="0" w:color="auto"/>
        <w:left w:val="none" w:sz="0" w:space="0" w:color="auto"/>
        <w:bottom w:val="none" w:sz="0" w:space="0" w:color="auto"/>
        <w:right w:val="none" w:sz="0" w:space="0" w:color="auto"/>
      </w:divBdr>
    </w:div>
    <w:div w:id="1994142877">
      <w:bodyDiv w:val="1"/>
      <w:marLeft w:val="0"/>
      <w:marRight w:val="0"/>
      <w:marTop w:val="0"/>
      <w:marBottom w:val="0"/>
      <w:divBdr>
        <w:top w:val="none" w:sz="0" w:space="0" w:color="auto"/>
        <w:left w:val="none" w:sz="0" w:space="0" w:color="auto"/>
        <w:bottom w:val="none" w:sz="0" w:space="0" w:color="auto"/>
        <w:right w:val="none" w:sz="0" w:space="0" w:color="auto"/>
      </w:divBdr>
    </w:div>
    <w:div w:id="2004308460">
      <w:bodyDiv w:val="1"/>
      <w:marLeft w:val="0"/>
      <w:marRight w:val="0"/>
      <w:marTop w:val="0"/>
      <w:marBottom w:val="0"/>
      <w:divBdr>
        <w:top w:val="none" w:sz="0" w:space="0" w:color="auto"/>
        <w:left w:val="none" w:sz="0" w:space="0" w:color="auto"/>
        <w:bottom w:val="none" w:sz="0" w:space="0" w:color="auto"/>
        <w:right w:val="none" w:sz="0" w:space="0" w:color="auto"/>
      </w:divBdr>
    </w:div>
    <w:div w:id="2009867559">
      <w:bodyDiv w:val="1"/>
      <w:marLeft w:val="0"/>
      <w:marRight w:val="0"/>
      <w:marTop w:val="0"/>
      <w:marBottom w:val="0"/>
      <w:divBdr>
        <w:top w:val="none" w:sz="0" w:space="0" w:color="auto"/>
        <w:left w:val="none" w:sz="0" w:space="0" w:color="auto"/>
        <w:bottom w:val="none" w:sz="0" w:space="0" w:color="auto"/>
        <w:right w:val="none" w:sz="0" w:space="0" w:color="auto"/>
      </w:divBdr>
    </w:div>
    <w:div w:id="2013608376">
      <w:bodyDiv w:val="1"/>
      <w:marLeft w:val="0"/>
      <w:marRight w:val="0"/>
      <w:marTop w:val="0"/>
      <w:marBottom w:val="0"/>
      <w:divBdr>
        <w:top w:val="none" w:sz="0" w:space="0" w:color="auto"/>
        <w:left w:val="none" w:sz="0" w:space="0" w:color="auto"/>
        <w:bottom w:val="none" w:sz="0" w:space="0" w:color="auto"/>
        <w:right w:val="none" w:sz="0" w:space="0" w:color="auto"/>
      </w:divBdr>
    </w:div>
    <w:div w:id="2016883571">
      <w:bodyDiv w:val="1"/>
      <w:marLeft w:val="0"/>
      <w:marRight w:val="0"/>
      <w:marTop w:val="0"/>
      <w:marBottom w:val="0"/>
      <w:divBdr>
        <w:top w:val="none" w:sz="0" w:space="0" w:color="auto"/>
        <w:left w:val="none" w:sz="0" w:space="0" w:color="auto"/>
        <w:bottom w:val="none" w:sz="0" w:space="0" w:color="auto"/>
        <w:right w:val="none" w:sz="0" w:space="0" w:color="auto"/>
      </w:divBdr>
    </w:div>
    <w:div w:id="2038118202">
      <w:bodyDiv w:val="1"/>
      <w:marLeft w:val="0"/>
      <w:marRight w:val="0"/>
      <w:marTop w:val="0"/>
      <w:marBottom w:val="0"/>
      <w:divBdr>
        <w:top w:val="none" w:sz="0" w:space="0" w:color="auto"/>
        <w:left w:val="none" w:sz="0" w:space="0" w:color="auto"/>
        <w:bottom w:val="none" w:sz="0" w:space="0" w:color="auto"/>
        <w:right w:val="none" w:sz="0" w:space="0" w:color="auto"/>
      </w:divBdr>
    </w:div>
    <w:div w:id="2039234576">
      <w:bodyDiv w:val="1"/>
      <w:marLeft w:val="0"/>
      <w:marRight w:val="0"/>
      <w:marTop w:val="0"/>
      <w:marBottom w:val="0"/>
      <w:divBdr>
        <w:top w:val="none" w:sz="0" w:space="0" w:color="auto"/>
        <w:left w:val="none" w:sz="0" w:space="0" w:color="auto"/>
        <w:bottom w:val="none" w:sz="0" w:space="0" w:color="auto"/>
        <w:right w:val="none" w:sz="0" w:space="0" w:color="auto"/>
      </w:divBdr>
    </w:div>
    <w:div w:id="2080857960">
      <w:bodyDiv w:val="1"/>
      <w:marLeft w:val="0"/>
      <w:marRight w:val="0"/>
      <w:marTop w:val="0"/>
      <w:marBottom w:val="0"/>
      <w:divBdr>
        <w:top w:val="none" w:sz="0" w:space="0" w:color="auto"/>
        <w:left w:val="none" w:sz="0" w:space="0" w:color="auto"/>
        <w:bottom w:val="none" w:sz="0" w:space="0" w:color="auto"/>
        <w:right w:val="none" w:sz="0" w:space="0" w:color="auto"/>
      </w:divBdr>
    </w:div>
    <w:div w:id="2081250500">
      <w:bodyDiv w:val="1"/>
      <w:marLeft w:val="0"/>
      <w:marRight w:val="0"/>
      <w:marTop w:val="0"/>
      <w:marBottom w:val="0"/>
      <w:divBdr>
        <w:top w:val="none" w:sz="0" w:space="0" w:color="auto"/>
        <w:left w:val="none" w:sz="0" w:space="0" w:color="auto"/>
        <w:bottom w:val="none" w:sz="0" w:space="0" w:color="auto"/>
        <w:right w:val="none" w:sz="0" w:space="0" w:color="auto"/>
      </w:divBdr>
    </w:div>
    <w:div w:id="2093240274">
      <w:bodyDiv w:val="1"/>
      <w:marLeft w:val="0"/>
      <w:marRight w:val="0"/>
      <w:marTop w:val="0"/>
      <w:marBottom w:val="0"/>
      <w:divBdr>
        <w:top w:val="none" w:sz="0" w:space="0" w:color="auto"/>
        <w:left w:val="none" w:sz="0" w:space="0" w:color="auto"/>
        <w:bottom w:val="none" w:sz="0" w:space="0" w:color="auto"/>
        <w:right w:val="none" w:sz="0" w:space="0" w:color="auto"/>
      </w:divBdr>
    </w:div>
    <w:div w:id="2103716857">
      <w:bodyDiv w:val="1"/>
      <w:marLeft w:val="0"/>
      <w:marRight w:val="0"/>
      <w:marTop w:val="0"/>
      <w:marBottom w:val="0"/>
      <w:divBdr>
        <w:top w:val="none" w:sz="0" w:space="0" w:color="auto"/>
        <w:left w:val="none" w:sz="0" w:space="0" w:color="auto"/>
        <w:bottom w:val="none" w:sz="0" w:space="0" w:color="auto"/>
        <w:right w:val="none" w:sz="0" w:space="0" w:color="auto"/>
      </w:divBdr>
    </w:div>
    <w:div w:id="2109108381">
      <w:bodyDiv w:val="1"/>
      <w:marLeft w:val="0"/>
      <w:marRight w:val="0"/>
      <w:marTop w:val="0"/>
      <w:marBottom w:val="0"/>
      <w:divBdr>
        <w:top w:val="none" w:sz="0" w:space="0" w:color="auto"/>
        <w:left w:val="none" w:sz="0" w:space="0" w:color="auto"/>
        <w:bottom w:val="none" w:sz="0" w:space="0" w:color="auto"/>
        <w:right w:val="none" w:sz="0" w:space="0" w:color="auto"/>
      </w:divBdr>
    </w:div>
    <w:div w:id="2127189599">
      <w:bodyDiv w:val="1"/>
      <w:marLeft w:val="0"/>
      <w:marRight w:val="0"/>
      <w:marTop w:val="0"/>
      <w:marBottom w:val="0"/>
      <w:divBdr>
        <w:top w:val="none" w:sz="0" w:space="0" w:color="auto"/>
        <w:left w:val="none" w:sz="0" w:space="0" w:color="auto"/>
        <w:bottom w:val="none" w:sz="0" w:space="0" w:color="auto"/>
        <w:right w:val="none" w:sz="0" w:space="0" w:color="auto"/>
      </w:divBdr>
    </w:div>
    <w:div w:id="2145347125">
      <w:bodyDiv w:val="1"/>
      <w:marLeft w:val="0"/>
      <w:marRight w:val="0"/>
      <w:marTop w:val="0"/>
      <w:marBottom w:val="0"/>
      <w:divBdr>
        <w:top w:val="none" w:sz="0" w:space="0" w:color="auto"/>
        <w:left w:val="none" w:sz="0" w:space="0" w:color="auto"/>
        <w:bottom w:val="none" w:sz="0" w:space="0" w:color="auto"/>
        <w:right w:val="none" w:sz="0" w:space="0" w:color="auto"/>
      </w:divBdr>
    </w:div>
    <w:div w:id="214573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cos.fernandez-martinez@uantwerpen.be"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theme" Target="theme/theme1.xml"/><Relationship Id="rId23" Type="http://schemas.microsoft.com/office/2018/08/relationships/commentsExtensible" Target="commentsExtensi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fluxnet.fluxdata.org/data/download-dat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19E58-3C48-4EDB-B8A2-FFC49AED6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28</Pages>
  <Words>62326</Words>
  <Characters>355263</Characters>
  <Application>Microsoft Office Word</Application>
  <DocSecurity>0</DocSecurity>
  <Lines>2960</Lines>
  <Paragraphs>833</Paragraphs>
  <ScaleCrop>false</ScaleCrop>
  <HeadingPairs>
    <vt:vector size="8" baseType="variant">
      <vt:variant>
        <vt:lpstr>Título</vt:lpstr>
      </vt:variant>
      <vt:variant>
        <vt:i4>1</vt:i4>
      </vt:variant>
      <vt:variant>
        <vt:lpstr>Title</vt:lpstr>
      </vt:variant>
      <vt:variant>
        <vt:i4>1</vt:i4>
      </vt:variant>
      <vt:variant>
        <vt:lpstr>Titel</vt:lpstr>
      </vt:variant>
      <vt:variant>
        <vt:i4>1</vt:i4>
      </vt:variant>
      <vt:variant>
        <vt:lpstr>Títol</vt:lpstr>
      </vt:variant>
      <vt:variant>
        <vt:i4>1</vt:i4>
      </vt:variant>
    </vt:vector>
  </HeadingPairs>
  <TitlesOfParts>
    <vt:vector size="4" baseType="lpstr">
      <vt:lpstr/>
      <vt:lpstr/>
      <vt:lpstr/>
      <vt:lpstr/>
    </vt:vector>
  </TitlesOfParts>
  <Company>Burriach</Company>
  <LinksUpToDate>false</LinksUpToDate>
  <CharactersWithSpaces>416756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Marcos Fernández-Martínez</dc:creator>
  <cp:keywords/>
  <dc:description/>
  <cp:lastModifiedBy>Marcos Fernández Martínez</cp:lastModifiedBy>
  <cp:revision>40</cp:revision>
  <cp:lastPrinted>2020-06-30T09:16:00Z</cp:lastPrinted>
  <dcterms:created xsi:type="dcterms:W3CDTF">2020-08-13T14:53:00Z</dcterms:created>
  <dcterms:modified xsi:type="dcterms:W3CDTF">2020-10-03T16:00:00Z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http://www.zotero.org/styles/annals-of-botany</vt:lpwstr>
  </property>
  <property fmtid="{D5CDD505-2E9C-101B-9397-08002B2CF9AE}" pid="4" name="Mendeley Recent Style Name 0_1">
    <vt:lpwstr>Annals of Botany</vt:lpwstr>
  </property>
  <property fmtid="{D5CDD505-2E9C-101B-9397-08002B2CF9AE}" pid="5" name="Mendeley Recent Style Id 1_1">
    <vt:lpwstr>http://www.zotero.org/styles/ecography</vt:lpwstr>
  </property>
  <property fmtid="{D5CDD505-2E9C-101B-9397-08002B2CF9AE}" pid="6" name="Mendeley Recent Style Name 1_1">
    <vt:lpwstr>Ecography</vt:lpwstr>
  </property>
  <property fmtid="{D5CDD505-2E9C-101B-9397-08002B2CF9AE}" pid="7" name="Mendeley Recent Style Id 2_1">
    <vt:lpwstr>http://www.zotero.org/styles/global-change-biology</vt:lpwstr>
  </property>
  <property fmtid="{D5CDD505-2E9C-101B-9397-08002B2CF9AE}" pid="8" name="Mendeley Recent Style Name 2_1">
    <vt:lpwstr>Global Change Biology</vt:lpwstr>
  </property>
  <property fmtid="{D5CDD505-2E9C-101B-9397-08002B2CF9AE}" pid="9" name="Mendeley Recent Style Id 3_1">
    <vt:lpwstr>http://www.zotero.org/styles/nature-climate-change</vt:lpwstr>
  </property>
  <property fmtid="{D5CDD505-2E9C-101B-9397-08002B2CF9AE}" pid="10" name="Mendeley Recent Style Name 3_1">
    <vt:lpwstr>Nature Climate Change</vt:lpwstr>
  </property>
  <property fmtid="{D5CDD505-2E9C-101B-9397-08002B2CF9AE}" pid="11" name="Mendeley Recent Style Id 4_1">
    <vt:lpwstr>http://www.zotero.org/styles/new-phytologist</vt:lpwstr>
  </property>
  <property fmtid="{D5CDD505-2E9C-101B-9397-08002B2CF9AE}" pid="12" name="Mendeley Recent Style Name 4_1">
    <vt:lpwstr>New Phytologist</vt:lpwstr>
  </property>
  <property fmtid="{D5CDD505-2E9C-101B-9397-08002B2CF9AE}" pid="13" name="Mendeley Recent Style Id 5_1">
    <vt:lpwstr>http://www.zotero.org/styles/remote-sensing</vt:lpwstr>
  </property>
  <property fmtid="{D5CDD505-2E9C-101B-9397-08002B2CF9AE}" pid="14" name="Mendeley Recent Style Name 5_1">
    <vt:lpwstr>Remote Sensing</vt:lpwstr>
  </property>
  <property fmtid="{D5CDD505-2E9C-101B-9397-08002B2CF9AE}" pid="15" name="Mendeley Recent Style Id 6_1">
    <vt:lpwstr>http://www.zotero.org/styles/science</vt:lpwstr>
  </property>
  <property fmtid="{D5CDD505-2E9C-101B-9397-08002B2CF9AE}" pid="16" name="Mendeley Recent Style Name 6_1">
    <vt:lpwstr>Science</vt:lpwstr>
  </property>
  <property fmtid="{D5CDD505-2E9C-101B-9397-08002B2CF9AE}" pid="17" name="Mendeley Recent Style Id 7_1">
    <vt:lpwstr>http://www.zotero.org/styles/science-of-the-total-environment</vt:lpwstr>
  </property>
  <property fmtid="{D5CDD505-2E9C-101B-9397-08002B2CF9AE}" pid="18" name="Mendeley Recent Style Name 7_1">
    <vt:lpwstr>Science of the Total Environment</vt:lpwstr>
  </property>
  <property fmtid="{D5CDD505-2E9C-101B-9397-08002B2CF9AE}" pid="19" name="Mendeley Recent Style Id 8_1">
    <vt:lpwstr>http://www.zotero.org/styles/the-american-naturalist</vt:lpwstr>
  </property>
  <property fmtid="{D5CDD505-2E9C-101B-9397-08002B2CF9AE}" pid="20" name="Mendeley Recent Style Name 8_1">
    <vt:lpwstr>The American Naturalist</vt:lpwstr>
  </property>
  <property fmtid="{D5CDD505-2E9C-101B-9397-08002B2CF9AE}" pid="21" name="Mendeley Recent Style Id 9_1">
    <vt:lpwstr>http://www.zotero.org/styles/trees</vt:lpwstr>
  </property>
  <property fmtid="{D5CDD505-2E9C-101B-9397-08002B2CF9AE}" pid="22" name="Mendeley Recent Style Name 9_1">
    <vt:lpwstr>Trees</vt:lpwstr>
  </property>
  <property fmtid="{D5CDD505-2E9C-101B-9397-08002B2CF9AE}" pid="23" name="Mendeley Citation Style_1">
    <vt:lpwstr>http://www.zotero.org/styles/global-change-biology</vt:lpwstr>
  </property>
  <property fmtid="{D5CDD505-2E9C-101B-9397-08002B2CF9AE}" pid="24" name="Mendeley Unique User Id_1">
    <vt:lpwstr>73d71d26-34ad-303c-b049-43448787f924</vt:lpwstr>
  </property>
</Properties>
</file>