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48263" w14:textId="37F06BAB" w:rsidR="00457367" w:rsidRPr="00B076ED" w:rsidRDefault="002C78BB" w:rsidP="002C78BB">
      <w:pPr>
        <w:spacing w:line="480" w:lineRule="auto"/>
        <w:jc w:val="both"/>
        <w:rPr>
          <w:rFonts w:ascii="Arial" w:hAnsi="Arial" w:cs="Arial"/>
          <w:b/>
          <w:lang w:val="en-GB"/>
        </w:rPr>
      </w:pPr>
      <w:r w:rsidRPr="00B076ED">
        <w:rPr>
          <w:rFonts w:ascii="Arial" w:hAnsi="Arial" w:cs="Arial"/>
          <w:b/>
          <w:lang w:val="en-GB"/>
        </w:rPr>
        <w:t>Effects of storage conditions on the stability of blood</w:t>
      </w:r>
      <w:r w:rsidR="00626BC8">
        <w:rPr>
          <w:rFonts w:ascii="Arial" w:hAnsi="Arial" w:cs="Arial"/>
          <w:b/>
          <w:lang w:val="en-GB"/>
        </w:rPr>
        <w:t>-based</w:t>
      </w:r>
      <w:r w:rsidRPr="00B076ED">
        <w:rPr>
          <w:rFonts w:ascii="Arial" w:hAnsi="Arial" w:cs="Arial"/>
          <w:b/>
          <w:lang w:val="en-GB"/>
        </w:rPr>
        <w:t xml:space="preserve"> markers for the diagnosis of Alzheimer’s disease. </w:t>
      </w:r>
    </w:p>
    <w:p w14:paraId="2E233B56" w14:textId="77777777" w:rsidR="002C78BB" w:rsidRPr="00B076ED" w:rsidRDefault="002C78BB" w:rsidP="005832A4">
      <w:pPr>
        <w:spacing w:line="480" w:lineRule="auto"/>
        <w:rPr>
          <w:rFonts w:ascii="Arial" w:hAnsi="Arial" w:cs="Arial"/>
          <w:lang w:val="en-GB"/>
        </w:rPr>
      </w:pPr>
    </w:p>
    <w:p w14:paraId="48078401" w14:textId="26E5F83E" w:rsidR="005832A4" w:rsidRPr="00B076ED" w:rsidRDefault="007D0A2D" w:rsidP="005832A4">
      <w:pPr>
        <w:spacing w:line="480" w:lineRule="auto"/>
        <w:rPr>
          <w:rFonts w:ascii="Arial" w:hAnsi="Arial" w:cs="Arial"/>
          <w:lang w:val="es-ES"/>
        </w:rPr>
      </w:pPr>
      <w:r w:rsidRPr="00B076ED">
        <w:rPr>
          <w:rFonts w:ascii="Arial" w:hAnsi="Arial" w:cs="Arial"/>
          <w:lang w:val="es-ES"/>
        </w:rPr>
        <w:t>Andrea Mansilla</w:t>
      </w:r>
      <w:r w:rsidRPr="00B076ED">
        <w:rPr>
          <w:rFonts w:ascii="Arial" w:hAnsi="Arial" w:cs="Arial"/>
          <w:vertAlign w:val="superscript"/>
          <w:lang w:val="es-ES"/>
        </w:rPr>
        <w:t>1</w:t>
      </w:r>
      <w:r w:rsidRPr="00B076ED">
        <w:rPr>
          <w:rFonts w:cs="Calibri"/>
          <w:lang w:val="es-ES"/>
        </w:rPr>
        <w:t>†</w:t>
      </w:r>
      <w:r>
        <w:rPr>
          <w:rFonts w:cs="Calibri"/>
          <w:lang w:val="es-ES"/>
        </w:rPr>
        <w:t xml:space="preserve">, </w:t>
      </w:r>
      <w:r w:rsidR="007A7994" w:rsidRPr="00B076ED">
        <w:rPr>
          <w:rFonts w:ascii="Arial" w:hAnsi="Arial" w:cs="Arial"/>
          <w:lang w:val="es-ES"/>
        </w:rPr>
        <w:t>Marina Canyelles</w:t>
      </w:r>
      <w:r w:rsidR="007A7994" w:rsidRPr="00B076ED">
        <w:rPr>
          <w:rFonts w:ascii="Arial" w:hAnsi="Arial" w:cs="Arial"/>
          <w:vertAlign w:val="superscript"/>
          <w:lang w:val="es-ES"/>
        </w:rPr>
        <w:t>1,2</w:t>
      </w:r>
      <w:r w:rsidR="007A7994" w:rsidRPr="00B076ED">
        <w:rPr>
          <w:rFonts w:cs="Calibri"/>
          <w:lang w:val="es-ES"/>
        </w:rPr>
        <w:t>†</w:t>
      </w:r>
      <w:r w:rsidR="007A7994" w:rsidRPr="00B076ED">
        <w:rPr>
          <w:rFonts w:ascii="Arial" w:hAnsi="Arial" w:cs="Arial"/>
          <w:lang w:val="es-ES"/>
        </w:rPr>
        <w:t>,</w:t>
      </w:r>
      <w:r w:rsidR="009911AD">
        <w:rPr>
          <w:rFonts w:ascii="Arial" w:hAnsi="Arial" w:cs="Arial"/>
          <w:lang w:val="es-ES"/>
        </w:rPr>
        <w:t xml:space="preserve"> </w:t>
      </w:r>
      <w:commentRangeStart w:id="0"/>
      <w:r w:rsidR="009911AD">
        <w:rPr>
          <w:rFonts w:ascii="Arial" w:hAnsi="Arial" w:cs="Arial"/>
          <w:lang w:val="es-ES"/>
        </w:rPr>
        <w:t>Javier Arranz</w:t>
      </w:r>
      <w:r w:rsidR="009911AD" w:rsidRPr="00B076ED">
        <w:rPr>
          <w:rFonts w:ascii="Arial" w:hAnsi="Arial" w:cs="Arial"/>
          <w:vertAlign w:val="superscript"/>
          <w:lang w:val="es-ES"/>
        </w:rPr>
        <w:t>3</w:t>
      </w:r>
      <w:r w:rsidR="009911AD">
        <w:rPr>
          <w:rFonts w:ascii="Arial" w:hAnsi="Arial" w:cs="Arial"/>
          <w:lang w:val="es-ES"/>
        </w:rPr>
        <w:t>, Íñigo Rodríguez-Baz</w:t>
      </w:r>
      <w:r w:rsidR="009911AD" w:rsidRPr="00B076ED">
        <w:rPr>
          <w:rFonts w:ascii="Arial" w:hAnsi="Arial" w:cs="Arial"/>
          <w:vertAlign w:val="superscript"/>
          <w:lang w:val="es-ES"/>
        </w:rPr>
        <w:t>3</w:t>
      </w:r>
      <w:r w:rsidR="009911AD">
        <w:rPr>
          <w:rFonts w:ascii="Arial" w:hAnsi="Arial" w:cs="Arial"/>
          <w:lang w:val="es-ES"/>
        </w:rPr>
        <w:t xml:space="preserve">, </w:t>
      </w:r>
      <w:proofErr w:type="spellStart"/>
      <w:r w:rsidR="009911AD">
        <w:rPr>
          <w:rFonts w:ascii="Arial" w:hAnsi="Arial" w:cs="Arial"/>
          <w:lang w:val="es-ES"/>
        </w:rPr>
        <w:t>Nuole</w:t>
      </w:r>
      <w:proofErr w:type="spellEnd"/>
      <w:r w:rsidR="009911AD">
        <w:rPr>
          <w:rFonts w:ascii="Arial" w:hAnsi="Arial" w:cs="Arial"/>
          <w:lang w:val="es-ES"/>
        </w:rPr>
        <w:t xml:space="preserve"> Zhu</w:t>
      </w:r>
      <w:r w:rsidR="009911AD" w:rsidRPr="00B076ED">
        <w:rPr>
          <w:rFonts w:ascii="Arial" w:hAnsi="Arial" w:cs="Arial"/>
          <w:vertAlign w:val="superscript"/>
          <w:lang w:val="es-ES"/>
        </w:rPr>
        <w:t>3</w:t>
      </w:r>
      <w:r w:rsidR="009911AD">
        <w:rPr>
          <w:rFonts w:ascii="Arial" w:hAnsi="Arial" w:cs="Arial"/>
          <w:lang w:val="es-ES"/>
        </w:rPr>
        <w:t>, Sara Rubio</w:t>
      </w:r>
      <w:r w:rsidR="009911AD" w:rsidRPr="00B076ED">
        <w:rPr>
          <w:rFonts w:ascii="Arial" w:hAnsi="Arial" w:cs="Arial"/>
          <w:vertAlign w:val="superscript"/>
          <w:lang w:val="es-ES"/>
        </w:rPr>
        <w:t>3</w:t>
      </w:r>
      <w:r w:rsidR="009911AD">
        <w:rPr>
          <w:rFonts w:ascii="Arial" w:hAnsi="Arial" w:cs="Arial"/>
          <w:lang w:val="es-ES"/>
        </w:rPr>
        <w:t xml:space="preserve">, </w:t>
      </w:r>
      <w:proofErr w:type="spellStart"/>
      <w:r w:rsidR="009911AD">
        <w:rPr>
          <w:rFonts w:ascii="Arial" w:hAnsi="Arial" w:cs="Arial"/>
          <w:lang w:val="es-ES"/>
        </w:rPr>
        <w:t>Shaimaa</w:t>
      </w:r>
      <w:proofErr w:type="spellEnd"/>
      <w:r w:rsidR="009911AD">
        <w:rPr>
          <w:rFonts w:ascii="Arial" w:hAnsi="Arial" w:cs="Arial"/>
          <w:lang w:val="es-ES"/>
        </w:rPr>
        <w:t xml:space="preserve"> El Bounasri</w:t>
      </w:r>
      <w:r w:rsidR="009911AD" w:rsidRPr="00B076ED">
        <w:rPr>
          <w:rFonts w:ascii="Arial" w:hAnsi="Arial" w:cs="Arial"/>
          <w:vertAlign w:val="superscript"/>
          <w:lang w:val="es-ES"/>
        </w:rPr>
        <w:t>3</w:t>
      </w:r>
      <w:r w:rsidR="009911AD">
        <w:rPr>
          <w:rFonts w:ascii="Arial" w:hAnsi="Arial" w:cs="Arial"/>
          <w:lang w:val="es-ES"/>
        </w:rPr>
        <w:t>, Oriol Sánchez</w:t>
      </w:r>
      <w:r w:rsidR="009911AD" w:rsidRPr="00B076ED">
        <w:rPr>
          <w:rFonts w:ascii="Arial" w:hAnsi="Arial" w:cs="Arial"/>
          <w:vertAlign w:val="superscript"/>
          <w:lang w:val="es-ES"/>
        </w:rPr>
        <w:t>3</w:t>
      </w:r>
      <w:r w:rsidR="009911AD">
        <w:rPr>
          <w:rFonts w:ascii="Arial" w:hAnsi="Arial" w:cs="Arial"/>
          <w:lang w:val="es-ES"/>
        </w:rPr>
        <w:t>, Soraya Torres</w:t>
      </w:r>
      <w:r w:rsidR="009911AD" w:rsidRPr="00B076ED">
        <w:rPr>
          <w:rFonts w:ascii="Arial" w:hAnsi="Arial" w:cs="Arial"/>
          <w:vertAlign w:val="superscript"/>
          <w:lang w:val="es-ES"/>
        </w:rPr>
        <w:t>3</w:t>
      </w:r>
      <w:r w:rsidR="009911AD">
        <w:rPr>
          <w:rFonts w:ascii="Arial" w:hAnsi="Arial" w:cs="Arial"/>
          <w:lang w:val="es-ES"/>
        </w:rPr>
        <w:t>,</w:t>
      </w:r>
      <w:r w:rsidR="009911AD" w:rsidRPr="00B076ED" w:rsidDel="009911AD">
        <w:rPr>
          <w:rFonts w:ascii="Arial" w:hAnsi="Arial" w:cs="Arial"/>
          <w:lang w:val="es-ES"/>
        </w:rPr>
        <w:t xml:space="preserve"> </w:t>
      </w:r>
      <w:r w:rsidR="00A35A8F">
        <w:rPr>
          <w:rFonts w:ascii="Arial" w:hAnsi="Arial" w:cs="Arial"/>
          <w:lang w:val="es-ES"/>
        </w:rPr>
        <w:t>Juan Fortea</w:t>
      </w:r>
      <w:r w:rsidR="00297CF5" w:rsidRPr="00B076ED">
        <w:rPr>
          <w:rFonts w:ascii="Arial" w:hAnsi="Arial" w:cs="Arial"/>
          <w:vertAlign w:val="superscript"/>
          <w:lang w:val="es-ES"/>
        </w:rPr>
        <w:t>3,4</w:t>
      </w:r>
      <w:r w:rsidR="00A35A8F">
        <w:rPr>
          <w:rFonts w:ascii="Arial" w:hAnsi="Arial" w:cs="Arial"/>
          <w:lang w:val="es-ES"/>
        </w:rPr>
        <w:t xml:space="preserve">, </w:t>
      </w:r>
      <w:r w:rsidR="005832A4" w:rsidRPr="00B076ED">
        <w:rPr>
          <w:rFonts w:ascii="Arial" w:hAnsi="Arial" w:cs="Arial"/>
          <w:lang w:val="es-ES"/>
        </w:rPr>
        <w:t>Alberto Lleó</w:t>
      </w:r>
      <w:bookmarkStart w:id="1" w:name="_Hlk94002571"/>
      <w:r w:rsidR="007A7994" w:rsidRPr="00B076ED">
        <w:rPr>
          <w:rFonts w:ascii="Arial" w:hAnsi="Arial" w:cs="Arial"/>
          <w:vertAlign w:val="superscript"/>
          <w:lang w:val="es-ES"/>
        </w:rPr>
        <w:t>3</w:t>
      </w:r>
      <w:r w:rsidR="005C2E39" w:rsidRPr="00B076ED">
        <w:rPr>
          <w:rFonts w:ascii="Arial" w:hAnsi="Arial" w:cs="Arial"/>
          <w:vertAlign w:val="superscript"/>
          <w:lang w:val="es-ES"/>
        </w:rPr>
        <w:t>,</w:t>
      </w:r>
      <w:bookmarkEnd w:id="1"/>
      <w:r w:rsidR="007A7994" w:rsidRPr="00B076ED">
        <w:rPr>
          <w:rFonts w:ascii="Arial" w:hAnsi="Arial" w:cs="Arial"/>
          <w:vertAlign w:val="superscript"/>
          <w:lang w:val="es-ES"/>
        </w:rPr>
        <w:t>4</w:t>
      </w:r>
      <w:commentRangeEnd w:id="0"/>
      <w:r w:rsidR="006B4313">
        <w:rPr>
          <w:rStyle w:val="Refernciadecomentari"/>
        </w:rPr>
        <w:commentReference w:id="0"/>
      </w:r>
      <w:r w:rsidR="005832A4" w:rsidRPr="00B076ED">
        <w:rPr>
          <w:rFonts w:ascii="Arial" w:hAnsi="Arial" w:cs="Arial"/>
          <w:lang w:val="es-ES"/>
        </w:rPr>
        <w:t>, Francisco Blanco-Vaca</w:t>
      </w:r>
      <w:r w:rsidR="005C2E39" w:rsidRPr="00B076ED">
        <w:rPr>
          <w:rFonts w:ascii="Arial" w:hAnsi="Arial" w:cs="Arial"/>
          <w:vertAlign w:val="superscript"/>
          <w:lang w:val="es-ES"/>
        </w:rPr>
        <w:t>1,</w:t>
      </w:r>
      <w:r w:rsidR="007A7994" w:rsidRPr="00B076ED">
        <w:rPr>
          <w:rFonts w:ascii="Arial" w:hAnsi="Arial" w:cs="Arial"/>
          <w:vertAlign w:val="superscript"/>
          <w:lang w:val="es-ES"/>
        </w:rPr>
        <w:t>2</w:t>
      </w:r>
      <w:r w:rsidR="005C2E39" w:rsidRPr="00B076ED">
        <w:rPr>
          <w:rFonts w:ascii="Arial" w:hAnsi="Arial" w:cs="Arial"/>
          <w:vertAlign w:val="superscript"/>
          <w:lang w:val="es-ES"/>
        </w:rPr>
        <w:t>,5</w:t>
      </w:r>
      <w:r w:rsidR="005832A4" w:rsidRPr="00B076ED">
        <w:rPr>
          <w:rFonts w:ascii="Arial" w:hAnsi="Arial" w:cs="Arial"/>
          <w:lang w:val="es-ES"/>
        </w:rPr>
        <w:t>, Daniel Alcolea</w:t>
      </w:r>
      <w:r w:rsidR="007A7994" w:rsidRPr="00B076ED">
        <w:rPr>
          <w:rFonts w:ascii="Arial" w:hAnsi="Arial" w:cs="Arial"/>
          <w:vertAlign w:val="superscript"/>
          <w:lang w:val="es-ES"/>
        </w:rPr>
        <w:t>3</w:t>
      </w:r>
      <w:r w:rsidR="005C2E39" w:rsidRPr="00B076ED">
        <w:rPr>
          <w:rFonts w:ascii="Arial" w:hAnsi="Arial" w:cs="Arial"/>
          <w:vertAlign w:val="superscript"/>
          <w:lang w:val="es-ES"/>
        </w:rPr>
        <w:t>,</w:t>
      </w:r>
      <w:r w:rsidR="007A7994" w:rsidRPr="00B076ED">
        <w:rPr>
          <w:rFonts w:ascii="Arial" w:hAnsi="Arial" w:cs="Arial"/>
          <w:vertAlign w:val="superscript"/>
          <w:lang w:val="es-ES"/>
        </w:rPr>
        <w:t>4</w:t>
      </w:r>
      <w:r w:rsidR="005832A4" w:rsidRPr="00B076ED">
        <w:rPr>
          <w:rFonts w:ascii="Arial" w:hAnsi="Arial" w:cs="Arial"/>
          <w:lang w:val="es-ES"/>
        </w:rPr>
        <w:t>*</w:t>
      </w:r>
      <w:r w:rsidR="0081699F" w:rsidRPr="00B076ED">
        <w:rPr>
          <w:rFonts w:ascii="Arial" w:hAnsi="Arial" w:cs="Arial"/>
          <w:lang w:val="es-ES"/>
        </w:rPr>
        <w:t>, Mireia Tondo</w:t>
      </w:r>
      <w:r w:rsidR="005C2E39" w:rsidRPr="00B076ED">
        <w:rPr>
          <w:rFonts w:ascii="Arial" w:hAnsi="Arial" w:cs="Arial"/>
          <w:vertAlign w:val="superscript"/>
          <w:lang w:val="es-ES"/>
        </w:rPr>
        <w:t>1,</w:t>
      </w:r>
      <w:r w:rsidR="007A7994" w:rsidRPr="00B076ED">
        <w:rPr>
          <w:rFonts w:ascii="Arial" w:hAnsi="Arial" w:cs="Arial"/>
          <w:vertAlign w:val="superscript"/>
          <w:lang w:val="es-ES"/>
        </w:rPr>
        <w:t>2</w:t>
      </w:r>
      <w:r w:rsidR="00CA2D9E" w:rsidRPr="00B076ED">
        <w:rPr>
          <w:rFonts w:ascii="Arial" w:hAnsi="Arial" w:cs="Arial"/>
          <w:vertAlign w:val="superscript"/>
          <w:lang w:val="es-ES"/>
        </w:rPr>
        <w:t>,6</w:t>
      </w:r>
      <w:r w:rsidR="0081699F" w:rsidRPr="00B076ED">
        <w:rPr>
          <w:rFonts w:ascii="Arial" w:hAnsi="Arial" w:cs="Arial"/>
          <w:lang w:val="es-ES"/>
        </w:rPr>
        <w:t>*.</w:t>
      </w:r>
    </w:p>
    <w:p w14:paraId="635FEF68" w14:textId="77777777" w:rsidR="005832A4" w:rsidRPr="00B076ED" w:rsidRDefault="005832A4" w:rsidP="005832A4">
      <w:pPr>
        <w:spacing w:line="360" w:lineRule="auto"/>
        <w:rPr>
          <w:rFonts w:ascii="Arial" w:hAnsi="Arial" w:cs="Arial"/>
          <w:lang w:val="en-GB"/>
        </w:rPr>
      </w:pPr>
      <w:r w:rsidRPr="00B076ED">
        <w:rPr>
          <w:rFonts w:ascii="Arial" w:hAnsi="Arial" w:cs="Arial"/>
          <w:lang w:val="en-GB"/>
        </w:rPr>
        <w:t>(1) Department of Biochemistry, Hospital de la Santa Creu i Sant Pau, Biomedical Research Institute (IIB) Sant Pau, Barcelona, Spain.</w:t>
      </w:r>
    </w:p>
    <w:p w14:paraId="3DC1E4D0" w14:textId="77777777" w:rsidR="007A7994" w:rsidRPr="00B076ED" w:rsidRDefault="007A7994" w:rsidP="007A7994">
      <w:pPr>
        <w:spacing w:line="360" w:lineRule="auto"/>
        <w:rPr>
          <w:rFonts w:ascii="Arial" w:hAnsi="Arial" w:cs="Arial"/>
          <w:lang w:val="en-GB"/>
        </w:rPr>
      </w:pPr>
      <w:r w:rsidRPr="00B076ED">
        <w:rPr>
          <w:rFonts w:ascii="Arial" w:hAnsi="Arial" w:cs="Arial"/>
          <w:lang w:val="en-GB"/>
        </w:rPr>
        <w:t xml:space="preserve">(2) </w:t>
      </w:r>
      <w:proofErr w:type="spellStart"/>
      <w:r w:rsidRPr="00B076ED">
        <w:rPr>
          <w:rFonts w:ascii="Arial" w:hAnsi="Arial" w:cs="Arial"/>
          <w:lang w:val="en-GB"/>
        </w:rPr>
        <w:t>Center</w:t>
      </w:r>
      <w:proofErr w:type="spellEnd"/>
      <w:r w:rsidRPr="00B076ED">
        <w:rPr>
          <w:rFonts w:ascii="Arial" w:hAnsi="Arial" w:cs="Arial"/>
          <w:lang w:val="en-GB"/>
        </w:rPr>
        <w:t xml:space="preserve"> of Biomedical Investigation Network for Diabetes and Metabolic Diseases (CIBERDEM), Madrid, Spain.</w:t>
      </w:r>
    </w:p>
    <w:p w14:paraId="25C7FB77" w14:textId="543FD878" w:rsidR="007A7994" w:rsidRPr="00B076ED" w:rsidRDefault="007A7994" w:rsidP="007A7994">
      <w:pPr>
        <w:spacing w:line="360" w:lineRule="auto"/>
        <w:rPr>
          <w:rFonts w:ascii="Arial" w:hAnsi="Arial" w:cs="Arial"/>
          <w:lang w:val="en-GB"/>
        </w:rPr>
      </w:pPr>
      <w:r w:rsidRPr="00B076ED">
        <w:rPr>
          <w:rFonts w:ascii="Arial" w:hAnsi="Arial" w:cs="Arial"/>
          <w:lang w:val="en-GB"/>
        </w:rPr>
        <w:t>(3) Sant Pau Memory Unit, Department of Neurology, Hospital de la Santa Creu i Sant Pau, Biomedical Research Institute (IIB</w:t>
      </w:r>
      <w:r w:rsidR="003C2485" w:rsidRPr="00B076ED">
        <w:rPr>
          <w:rFonts w:ascii="Arial" w:hAnsi="Arial" w:cs="Arial"/>
          <w:lang w:val="en-GB"/>
        </w:rPr>
        <w:t xml:space="preserve"> Sant Pau</w:t>
      </w:r>
      <w:r w:rsidRPr="00B076ED">
        <w:rPr>
          <w:rFonts w:ascii="Arial" w:hAnsi="Arial" w:cs="Arial"/>
          <w:lang w:val="en-GB"/>
        </w:rPr>
        <w:t>) Sant Pau</w:t>
      </w:r>
      <w:r w:rsidR="00CF59E4">
        <w:rPr>
          <w:rFonts w:ascii="Arial" w:hAnsi="Arial" w:cs="Arial"/>
          <w:lang w:val="en-GB"/>
        </w:rPr>
        <w:t>,</w:t>
      </w:r>
      <w:r w:rsidR="00CF59E4" w:rsidRPr="00CF59E4">
        <w:rPr>
          <w:rFonts w:ascii="Arial" w:hAnsi="Arial" w:cs="Arial"/>
          <w:lang w:val="en-GB"/>
        </w:rPr>
        <w:t xml:space="preserve"> </w:t>
      </w:r>
      <w:r w:rsidR="00CF59E4" w:rsidRPr="00B076ED">
        <w:rPr>
          <w:rFonts w:ascii="Arial" w:hAnsi="Arial" w:cs="Arial"/>
          <w:lang w:val="en-GB"/>
        </w:rPr>
        <w:t>Barcelona, Spain</w:t>
      </w:r>
      <w:r w:rsidRPr="00B076ED">
        <w:rPr>
          <w:rFonts w:ascii="Arial" w:hAnsi="Arial" w:cs="Arial"/>
          <w:lang w:val="en-GB"/>
        </w:rPr>
        <w:t>.</w:t>
      </w:r>
    </w:p>
    <w:p w14:paraId="58A734B3" w14:textId="38D0CFD5" w:rsidR="005832A4" w:rsidRPr="00B076ED" w:rsidRDefault="005832A4" w:rsidP="005832A4">
      <w:pPr>
        <w:spacing w:line="360" w:lineRule="auto"/>
        <w:rPr>
          <w:rFonts w:ascii="Arial" w:hAnsi="Arial" w:cs="Arial"/>
          <w:lang w:val="en-GB"/>
        </w:rPr>
      </w:pPr>
      <w:r w:rsidRPr="00B076ED">
        <w:rPr>
          <w:rFonts w:ascii="Arial" w:hAnsi="Arial" w:cs="Arial"/>
          <w:lang w:val="en-GB"/>
        </w:rPr>
        <w:t>(</w:t>
      </w:r>
      <w:r w:rsidR="007A7994" w:rsidRPr="00B076ED">
        <w:rPr>
          <w:rFonts w:ascii="Arial" w:hAnsi="Arial" w:cs="Arial"/>
          <w:lang w:val="en-GB"/>
        </w:rPr>
        <w:t>4</w:t>
      </w:r>
      <w:r w:rsidRPr="00B076ED">
        <w:rPr>
          <w:rFonts w:ascii="Arial" w:hAnsi="Arial" w:cs="Arial"/>
          <w:lang w:val="en-GB"/>
        </w:rPr>
        <w:t xml:space="preserve">) </w:t>
      </w:r>
      <w:proofErr w:type="spellStart"/>
      <w:r w:rsidRPr="00B076ED">
        <w:rPr>
          <w:rFonts w:ascii="Arial" w:hAnsi="Arial" w:cs="Arial"/>
          <w:lang w:val="en-GB"/>
        </w:rPr>
        <w:t>Center</w:t>
      </w:r>
      <w:proofErr w:type="spellEnd"/>
      <w:r w:rsidRPr="00B076ED">
        <w:rPr>
          <w:rFonts w:ascii="Arial" w:hAnsi="Arial" w:cs="Arial"/>
          <w:lang w:val="en-GB"/>
        </w:rPr>
        <w:t xml:space="preserve"> of Biomedical Investigation Network for Neurodegenerative Diseases (CIBERNED), Madrid, Spain. </w:t>
      </w:r>
    </w:p>
    <w:p w14:paraId="3538A168" w14:textId="153D8E6D" w:rsidR="005832A4" w:rsidRPr="00B076ED" w:rsidRDefault="005832A4" w:rsidP="005832A4">
      <w:pPr>
        <w:spacing w:line="480" w:lineRule="auto"/>
        <w:rPr>
          <w:rFonts w:ascii="Arial" w:hAnsi="Arial" w:cs="Arial"/>
          <w:lang w:val="es-ES"/>
        </w:rPr>
      </w:pPr>
      <w:r w:rsidRPr="00B076ED">
        <w:rPr>
          <w:rFonts w:ascii="Arial" w:hAnsi="Arial" w:cs="Arial"/>
          <w:lang w:val="es-ES"/>
        </w:rPr>
        <w:t>(</w:t>
      </w:r>
      <w:r w:rsidR="001769C4" w:rsidRPr="00B076ED">
        <w:rPr>
          <w:rFonts w:ascii="Arial" w:hAnsi="Arial" w:cs="Arial"/>
          <w:lang w:val="es-ES"/>
        </w:rPr>
        <w:t>5</w:t>
      </w:r>
      <w:r w:rsidRPr="00B076ED">
        <w:rPr>
          <w:rFonts w:ascii="Arial" w:hAnsi="Arial" w:cs="Arial"/>
          <w:lang w:val="es-ES"/>
        </w:rPr>
        <w:t xml:space="preserve">) </w:t>
      </w:r>
      <w:proofErr w:type="spellStart"/>
      <w:r w:rsidRPr="00B076ED">
        <w:rPr>
          <w:rFonts w:ascii="Arial" w:hAnsi="Arial" w:cs="Arial"/>
          <w:lang w:val="es-ES"/>
        </w:rPr>
        <w:t>Department</w:t>
      </w:r>
      <w:proofErr w:type="spellEnd"/>
      <w:r w:rsidRPr="00B076ED">
        <w:rPr>
          <w:rFonts w:ascii="Arial" w:hAnsi="Arial" w:cs="Arial"/>
          <w:lang w:val="es-ES"/>
        </w:rPr>
        <w:t xml:space="preserve"> </w:t>
      </w:r>
      <w:proofErr w:type="spellStart"/>
      <w:r w:rsidRPr="00B076ED">
        <w:rPr>
          <w:rFonts w:ascii="Arial" w:hAnsi="Arial" w:cs="Arial"/>
          <w:lang w:val="es-ES"/>
        </w:rPr>
        <w:t>of</w:t>
      </w:r>
      <w:proofErr w:type="spellEnd"/>
      <w:r w:rsidRPr="00B076ED">
        <w:rPr>
          <w:rFonts w:ascii="Arial" w:hAnsi="Arial" w:cs="Arial"/>
          <w:lang w:val="es-ES"/>
        </w:rPr>
        <w:t xml:space="preserve"> </w:t>
      </w:r>
      <w:proofErr w:type="spellStart"/>
      <w:r w:rsidRPr="00B076ED">
        <w:rPr>
          <w:rFonts w:ascii="Arial" w:hAnsi="Arial" w:cs="Arial"/>
          <w:lang w:val="es-ES"/>
        </w:rPr>
        <w:t>Biochemistry</w:t>
      </w:r>
      <w:proofErr w:type="spellEnd"/>
      <w:r w:rsidRPr="00B076ED">
        <w:rPr>
          <w:rFonts w:ascii="Arial" w:hAnsi="Arial" w:cs="Arial"/>
          <w:lang w:val="es-ES"/>
        </w:rPr>
        <w:t xml:space="preserve"> and Molecular </w:t>
      </w:r>
      <w:proofErr w:type="spellStart"/>
      <w:r w:rsidRPr="00B076ED">
        <w:rPr>
          <w:rFonts w:ascii="Arial" w:hAnsi="Arial" w:cs="Arial"/>
          <w:lang w:val="es-ES"/>
        </w:rPr>
        <w:t>Biology</w:t>
      </w:r>
      <w:proofErr w:type="spellEnd"/>
      <w:r w:rsidRPr="00B076ED">
        <w:rPr>
          <w:rFonts w:ascii="Arial" w:hAnsi="Arial" w:cs="Arial"/>
          <w:lang w:val="es-ES"/>
        </w:rPr>
        <w:t xml:space="preserve">, </w:t>
      </w:r>
      <w:proofErr w:type="spellStart"/>
      <w:r w:rsidRPr="00B076ED">
        <w:rPr>
          <w:rFonts w:ascii="Arial" w:hAnsi="Arial" w:cs="Arial"/>
          <w:lang w:val="es-ES"/>
        </w:rPr>
        <w:t>Universitat</w:t>
      </w:r>
      <w:proofErr w:type="spellEnd"/>
      <w:r w:rsidRPr="00B076ED">
        <w:rPr>
          <w:rFonts w:ascii="Arial" w:hAnsi="Arial" w:cs="Arial"/>
          <w:lang w:val="es-ES"/>
        </w:rPr>
        <w:t xml:space="preserve"> </w:t>
      </w:r>
      <w:proofErr w:type="spellStart"/>
      <w:r w:rsidRPr="00B076ED">
        <w:rPr>
          <w:rFonts w:ascii="Arial" w:hAnsi="Arial" w:cs="Arial"/>
          <w:lang w:val="es-ES"/>
        </w:rPr>
        <w:t>Autònoma</w:t>
      </w:r>
      <w:proofErr w:type="spellEnd"/>
      <w:r w:rsidRPr="00B076ED">
        <w:rPr>
          <w:rFonts w:ascii="Arial" w:hAnsi="Arial" w:cs="Arial"/>
          <w:lang w:val="es-ES"/>
        </w:rPr>
        <w:t xml:space="preserve"> de Barcelona, Barcelona, </w:t>
      </w:r>
      <w:proofErr w:type="spellStart"/>
      <w:r w:rsidRPr="00B076ED">
        <w:rPr>
          <w:rFonts w:ascii="Arial" w:hAnsi="Arial" w:cs="Arial"/>
          <w:lang w:val="es-ES"/>
        </w:rPr>
        <w:t>Spain</w:t>
      </w:r>
      <w:proofErr w:type="spellEnd"/>
      <w:r w:rsidRPr="00B076ED">
        <w:rPr>
          <w:rFonts w:ascii="Arial" w:hAnsi="Arial" w:cs="Arial"/>
          <w:lang w:val="es-ES"/>
        </w:rPr>
        <w:t>.</w:t>
      </w:r>
    </w:p>
    <w:p w14:paraId="145E183D" w14:textId="6588C01E" w:rsidR="00CA2D9E" w:rsidRPr="00B076ED" w:rsidRDefault="00CA2D9E" w:rsidP="005832A4">
      <w:pPr>
        <w:spacing w:line="480" w:lineRule="auto"/>
        <w:rPr>
          <w:rFonts w:ascii="Arial" w:hAnsi="Arial" w:cs="Arial"/>
          <w:lang w:val="es-ES"/>
        </w:rPr>
      </w:pPr>
      <w:r w:rsidRPr="00B076ED">
        <w:rPr>
          <w:rFonts w:ascii="Arial" w:hAnsi="Arial" w:cs="Arial"/>
          <w:lang w:val="es-ES"/>
        </w:rPr>
        <w:t>(6) Comisión de Neuroquímica y Enfermedades Neurológicas, Sociedad Española de Medicina de Laboratorio</w:t>
      </w:r>
      <w:r w:rsidR="00347C8E" w:rsidRPr="00B076ED">
        <w:rPr>
          <w:rFonts w:ascii="Arial" w:hAnsi="Arial" w:cs="Arial"/>
          <w:lang w:val="es-ES"/>
        </w:rPr>
        <w:t xml:space="preserve">, </w:t>
      </w:r>
      <w:proofErr w:type="spellStart"/>
      <w:r w:rsidR="00347C8E" w:rsidRPr="00B076ED">
        <w:rPr>
          <w:rFonts w:ascii="Arial" w:hAnsi="Arial" w:cs="Arial"/>
          <w:lang w:val="es-ES"/>
        </w:rPr>
        <w:t>Spain</w:t>
      </w:r>
      <w:proofErr w:type="spellEnd"/>
      <w:r w:rsidR="00347C8E" w:rsidRPr="00B076ED">
        <w:rPr>
          <w:rFonts w:ascii="Arial" w:hAnsi="Arial" w:cs="Arial"/>
          <w:lang w:val="es-ES"/>
        </w:rPr>
        <w:t xml:space="preserve">. </w:t>
      </w:r>
    </w:p>
    <w:p w14:paraId="30DEACAF" w14:textId="77777777" w:rsidR="007A7994" w:rsidRPr="00B076ED" w:rsidRDefault="007A7994" w:rsidP="005832A4">
      <w:pPr>
        <w:spacing w:line="480" w:lineRule="auto"/>
        <w:rPr>
          <w:rFonts w:ascii="Arial" w:hAnsi="Arial" w:cs="Arial"/>
          <w:lang w:val="es-ES"/>
        </w:rPr>
      </w:pPr>
    </w:p>
    <w:p w14:paraId="5894E906" w14:textId="0BBEE5EF" w:rsidR="009272DF" w:rsidRPr="00111946" w:rsidRDefault="007A7994" w:rsidP="005832A4">
      <w:pPr>
        <w:spacing w:line="480" w:lineRule="auto"/>
        <w:rPr>
          <w:rFonts w:ascii="Arial" w:hAnsi="Arial" w:cs="Arial"/>
          <w:lang w:val="en-GB"/>
        </w:rPr>
      </w:pPr>
      <w:r w:rsidRPr="00111946">
        <w:rPr>
          <w:rFonts w:cs="Calibri"/>
          <w:lang w:val="en-GB"/>
        </w:rPr>
        <w:t xml:space="preserve">† </w:t>
      </w:r>
      <w:r w:rsidRPr="00111946">
        <w:rPr>
          <w:rFonts w:ascii="Arial" w:hAnsi="Arial" w:cs="Arial"/>
          <w:lang w:val="en-GB"/>
        </w:rPr>
        <w:t>These authors contributed equally to this work.</w:t>
      </w:r>
    </w:p>
    <w:p w14:paraId="63BC67A4" w14:textId="3715BFE7" w:rsidR="008705FE" w:rsidRPr="00111946" w:rsidRDefault="005832A4" w:rsidP="005832A4">
      <w:pPr>
        <w:spacing w:line="480" w:lineRule="auto"/>
        <w:rPr>
          <w:rStyle w:val="Enlla"/>
          <w:rFonts w:ascii="Arial" w:hAnsi="Arial" w:cs="Arial"/>
          <w:lang w:val="en-GB"/>
        </w:rPr>
      </w:pPr>
      <w:r w:rsidRPr="00111946">
        <w:rPr>
          <w:rFonts w:ascii="Arial" w:hAnsi="Arial" w:cs="Arial"/>
          <w:lang w:val="en-GB"/>
        </w:rPr>
        <w:t xml:space="preserve">* Address correspondence to: Mireia Tondo and Daniel Alcolea, Hospital de la Santa Creu i Sant Pau, C/Sant </w:t>
      </w:r>
      <w:proofErr w:type="spellStart"/>
      <w:r w:rsidRPr="00111946">
        <w:rPr>
          <w:rFonts w:ascii="Arial" w:hAnsi="Arial" w:cs="Arial"/>
          <w:lang w:val="en-GB"/>
        </w:rPr>
        <w:t>Quintí</w:t>
      </w:r>
      <w:proofErr w:type="spellEnd"/>
      <w:r w:rsidRPr="00111946">
        <w:rPr>
          <w:rFonts w:ascii="Arial" w:hAnsi="Arial" w:cs="Arial"/>
          <w:lang w:val="en-GB"/>
        </w:rPr>
        <w:t xml:space="preserve"> 89, 08041 Barcelona, Spain. Tel.: +34</w:t>
      </w:r>
      <w:r w:rsidR="00C04D27" w:rsidRPr="00111946">
        <w:rPr>
          <w:rFonts w:ascii="Arial" w:hAnsi="Arial" w:cs="Arial"/>
          <w:lang w:val="en-GB"/>
        </w:rPr>
        <w:t xml:space="preserve"> </w:t>
      </w:r>
      <w:r w:rsidRPr="00111946">
        <w:rPr>
          <w:rFonts w:ascii="Arial" w:hAnsi="Arial" w:cs="Arial"/>
          <w:lang w:val="en-GB"/>
        </w:rPr>
        <w:t>93</w:t>
      </w:r>
      <w:r w:rsidR="00C04D27" w:rsidRPr="00111946">
        <w:rPr>
          <w:rFonts w:ascii="Arial" w:hAnsi="Arial" w:cs="Arial"/>
          <w:lang w:val="en-GB"/>
        </w:rPr>
        <w:t xml:space="preserve"> </w:t>
      </w:r>
      <w:r w:rsidRPr="00111946">
        <w:rPr>
          <w:rFonts w:ascii="Arial" w:hAnsi="Arial" w:cs="Arial"/>
          <w:lang w:val="en-GB"/>
        </w:rPr>
        <w:t>5537358</w:t>
      </w:r>
      <w:r w:rsidR="001E792E" w:rsidRPr="00111946">
        <w:rPr>
          <w:rFonts w:ascii="Arial" w:hAnsi="Arial" w:cs="Arial"/>
          <w:lang w:val="en-GB"/>
        </w:rPr>
        <w:t>;</w:t>
      </w:r>
      <w:r w:rsidRPr="00111946">
        <w:rPr>
          <w:rFonts w:ascii="Arial" w:hAnsi="Arial" w:cs="Arial"/>
          <w:lang w:val="en-GB"/>
        </w:rPr>
        <w:t xml:space="preserve"> e-mail: </w:t>
      </w:r>
      <w:hyperlink r:id="rId11" w:history="1">
        <w:r w:rsidRPr="00111946">
          <w:rPr>
            <w:rStyle w:val="Enlla"/>
            <w:rFonts w:ascii="Arial" w:hAnsi="Arial" w:cs="Arial"/>
            <w:lang w:val="en-GB"/>
          </w:rPr>
          <w:t>mtondo@santpau.cat</w:t>
        </w:r>
      </w:hyperlink>
      <w:r w:rsidRPr="00111946">
        <w:rPr>
          <w:rStyle w:val="Enlla"/>
          <w:rFonts w:ascii="Arial" w:hAnsi="Arial" w:cs="Arial"/>
          <w:color w:val="auto"/>
          <w:u w:val="none"/>
          <w:lang w:val="en-GB"/>
        </w:rPr>
        <w:t xml:space="preserve">; </w:t>
      </w:r>
      <w:hyperlink r:id="rId12" w:history="1">
        <w:r w:rsidR="00B37D68" w:rsidRPr="00B37D68">
          <w:rPr>
            <w:rStyle w:val="Enlla"/>
            <w:rFonts w:ascii="Arial" w:hAnsi="Arial" w:cs="Arial"/>
            <w:lang w:val="en-GB"/>
          </w:rPr>
          <w:t>dalcolea@santpau.cat</w:t>
        </w:r>
      </w:hyperlink>
    </w:p>
    <w:p w14:paraId="4DE0DDF6" w14:textId="77777777" w:rsidR="008705FE" w:rsidRPr="00111946" w:rsidRDefault="008705FE">
      <w:pPr>
        <w:spacing w:after="160" w:line="259" w:lineRule="auto"/>
        <w:rPr>
          <w:rStyle w:val="Enlla"/>
          <w:rFonts w:ascii="Arial" w:hAnsi="Arial" w:cs="Arial"/>
          <w:lang w:val="en-GB"/>
        </w:rPr>
      </w:pPr>
      <w:r w:rsidRPr="00111946">
        <w:rPr>
          <w:rStyle w:val="Enlla"/>
          <w:rFonts w:ascii="Arial" w:hAnsi="Arial" w:cs="Arial"/>
          <w:lang w:val="en-GB"/>
        </w:rPr>
        <w:br w:type="page"/>
      </w:r>
    </w:p>
    <w:p w14:paraId="2C261190" w14:textId="21D0C048" w:rsidR="00596026" w:rsidRDefault="00596026" w:rsidP="00596026">
      <w:pPr>
        <w:spacing w:line="480" w:lineRule="auto"/>
        <w:rPr>
          <w:rFonts w:ascii="Arial" w:hAnsi="Arial" w:cs="Arial"/>
          <w:b/>
          <w:lang w:val="en-GB"/>
        </w:rPr>
      </w:pPr>
      <w:r w:rsidRPr="00111946">
        <w:rPr>
          <w:rFonts w:ascii="Arial" w:hAnsi="Arial" w:cs="Arial"/>
          <w:b/>
          <w:lang w:val="en-GB"/>
        </w:rPr>
        <w:lastRenderedPageBreak/>
        <w:t>Abstract</w:t>
      </w:r>
    </w:p>
    <w:p w14:paraId="5E714D04" w14:textId="369E0AF5" w:rsidR="002A1C88" w:rsidRPr="008C245D" w:rsidRDefault="002A1C88" w:rsidP="002A1C88">
      <w:pPr>
        <w:spacing w:line="480" w:lineRule="auto"/>
        <w:jc w:val="both"/>
        <w:rPr>
          <w:rFonts w:ascii="Arial" w:hAnsi="Arial" w:cs="Arial"/>
          <w:lang w:val="en-GB"/>
        </w:rPr>
      </w:pPr>
      <w:r w:rsidRPr="008C245D">
        <w:rPr>
          <w:rFonts w:ascii="Arial" w:hAnsi="Arial" w:cs="Arial"/>
          <w:b/>
          <w:lang w:val="en-US"/>
        </w:rPr>
        <w:t>Background</w:t>
      </w:r>
      <w:r w:rsidRPr="008C245D">
        <w:rPr>
          <w:rFonts w:ascii="Arial" w:hAnsi="Arial" w:cs="Arial"/>
          <w:lang w:val="en-US"/>
        </w:rPr>
        <w:t xml:space="preserve">: Alzheimer’s disease (AD) is considered the most common cause of dementia in older people. Recently, blood-based markers (BBM) Aβ1-42, Aβ1-40, and </w:t>
      </w:r>
      <w:proofErr w:type="spellStart"/>
      <w:r w:rsidRPr="008C245D">
        <w:rPr>
          <w:rFonts w:ascii="Arial" w:hAnsi="Arial" w:cs="Arial"/>
          <w:lang w:val="en-US"/>
        </w:rPr>
        <w:t>phospho</w:t>
      </w:r>
      <w:proofErr w:type="spellEnd"/>
      <w:r w:rsidRPr="008C245D">
        <w:rPr>
          <w:rFonts w:ascii="Arial" w:hAnsi="Arial" w:cs="Arial"/>
          <w:lang w:val="en-US"/>
        </w:rPr>
        <w:t xml:space="preserve"> Tau</w:t>
      </w:r>
      <w:r>
        <w:rPr>
          <w:rFonts w:ascii="Arial" w:hAnsi="Arial" w:cs="Arial"/>
          <w:lang w:val="en-US"/>
        </w:rPr>
        <w:t>181</w:t>
      </w:r>
      <w:r w:rsidRPr="008C245D">
        <w:rPr>
          <w:rFonts w:ascii="Arial" w:hAnsi="Arial" w:cs="Arial"/>
          <w:lang w:val="en-US"/>
        </w:rPr>
        <w:t xml:space="preserve"> (p-Tau</w:t>
      </w:r>
      <w:r>
        <w:rPr>
          <w:rFonts w:ascii="Arial" w:hAnsi="Arial" w:cs="Arial"/>
          <w:lang w:val="en-US"/>
        </w:rPr>
        <w:t>181</w:t>
      </w:r>
      <w:r w:rsidRPr="008C245D">
        <w:rPr>
          <w:rFonts w:ascii="Arial" w:hAnsi="Arial" w:cs="Arial"/>
          <w:lang w:val="en-US"/>
        </w:rPr>
        <w:t>) have demonstrated the potential to transform the diagnosis and prognostic assessment of AD. Our aim was to investigate the effect of different storage conditions on the quantification of these BBM and to evaluate the interchangeability of plasma and serum samples.</w:t>
      </w:r>
      <w:r w:rsidRPr="008C245D">
        <w:rPr>
          <w:rFonts w:ascii="Arial" w:hAnsi="Arial" w:cs="Arial"/>
          <w:lang w:val="en-GB"/>
        </w:rPr>
        <w:t xml:space="preserve"> </w:t>
      </w:r>
      <w:r w:rsidRPr="008C245D">
        <w:rPr>
          <w:rFonts w:ascii="Arial" w:hAnsi="Arial" w:cs="Arial"/>
          <w:b/>
          <w:lang w:val="en-US"/>
        </w:rPr>
        <w:t>Material and Methods</w:t>
      </w:r>
      <w:r w:rsidRPr="008C245D">
        <w:rPr>
          <w:rFonts w:ascii="Arial" w:hAnsi="Arial" w:cs="Arial"/>
          <w:lang w:val="en-US"/>
        </w:rPr>
        <w:t xml:space="preserve">: </w:t>
      </w:r>
      <w:r w:rsidR="00D83B7F">
        <w:rPr>
          <w:rFonts w:ascii="Arial" w:hAnsi="Arial" w:cs="Arial"/>
          <w:lang w:val="en-US"/>
        </w:rPr>
        <w:t>Thirty-two</w:t>
      </w:r>
      <w:r w:rsidRPr="008C245D">
        <w:rPr>
          <w:rFonts w:ascii="Arial" w:hAnsi="Arial" w:cs="Arial"/>
          <w:lang w:val="en-US"/>
        </w:rPr>
        <w:t xml:space="preserve"> individuals with some degree of cognitive impairment were </w:t>
      </w:r>
      <w:r w:rsidR="00D83B7F">
        <w:rPr>
          <w:rFonts w:ascii="Arial" w:hAnsi="Arial" w:cs="Arial"/>
          <w:lang w:val="en-US"/>
        </w:rPr>
        <w:t>studied</w:t>
      </w:r>
      <w:r w:rsidRPr="008C245D">
        <w:rPr>
          <w:rFonts w:ascii="Arial" w:hAnsi="Arial" w:cs="Arial"/>
          <w:lang w:val="en-US"/>
        </w:rPr>
        <w:t xml:space="preserve">. Thirty further patients were retrospectively selected. Aβ1-42, Aβ1-40 and p-Tau181 were quantified using the LUMIPULSE-G600II automated platform. </w:t>
      </w:r>
      <w:r w:rsidRPr="008C245D">
        <w:rPr>
          <w:rFonts w:ascii="Arial" w:hAnsi="Arial" w:cs="Arial"/>
          <w:b/>
          <w:lang w:val="en-US"/>
        </w:rPr>
        <w:t>Results</w:t>
      </w:r>
      <w:r w:rsidRPr="008C245D">
        <w:rPr>
          <w:rFonts w:ascii="Arial" w:hAnsi="Arial" w:cs="Arial"/>
          <w:lang w:val="en-US"/>
        </w:rPr>
        <w:t xml:space="preserve">: Storing samples at 4ºC for 8-9 days was associated with a decrease on Aβ fractions but not when stored for 1-2 days. Using the ratio </w:t>
      </w:r>
      <w:r w:rsidR="00053017">
        <w:rPr>
          <w:rFonts w:ascii="Arial" w:hAnsi="Arial" w:cs="Arial"/>
          <w:lang w:val="en-US"/>
        </w:rPr>
        <w:t>partially</w:t>
      </w:r>
      <w:r w:rsidRPr="008C245D">
        <w:rPr>
          <w:rFonts w:ascii="Arial" w:hAnsi="Arial" w:cs="Arial"/>
          <w:lang w:val="en-US"/>
        </w:rPr>
        <w:t xml:space="preserve"> attenuate</w:t>
      </w:r>
      <w:r w:rsidR="00053017">
        <w:rPr>
          <w:rFonts w:ascii="Arial" w:hAnsi="Arial" w:cs="Arial"/>
          <w:lang w:val="en-US"/>
        </w:rPr>
        <w:t>d</w:t>
      </w:r>
      <w:r w:rsidRPr="008C245D">
        <w:rPr>
          <w:rFonts w:ascii="Arial" w:hAnsi="Arial" w:cs="Arial"/>
          <w:lang w:val="en-US"/>
        </w:rPr>
        <w:t xml:space="preserve"> the pre-analytical effects. For p-Tau181, samples stored at 4ºC presented lower concentrations, whereas frozen samples presented higher ones. To assess interchangeability between conditions, </w:t>
      </w:r>
      <w:bookmarkStart w:id="2" w:name="_Hlk120711092"/>
      <w:r w:rsidRPr="008C245D">
        <w:rPr>
          <w:rFonts w:ascii="Arial" w:hAnsi="Arial" w:cs="Arial"/>
          <w:lang w:val="en-US"/>
        </w:rPr>
        <w:t xml:space="preserve">correction factors for </w:t>
      </w:r>
      <w:r>
        <w:rPr>
          <w:rFonts w:ascii="Arial" w:hAnsi="Arial" w:cs="Arial"/>
          <w:lang w:val="en-US"/>
        </w:rPr>
        <w:t>magnitudes</w:t>
      </w:r>
      <w:r w:rsidRPr="008C245D">
        <w:rPr>
          <w:rFonts w:ascii="Arial" w:hAnsi="Arial" w:cs="Arial"/>
          <w:lang w:val="en-US"/>
        </w:rPr>
        <w:t xml:space="preserve"> that showed strong correlations</w:t>
      </w:r>
      <w:bookmarkEnd w:id="2"/>
      <w:r w:rsidRPr="008C245D">
        <w:rPr>
          <w:rFonts w:ascii="Arial" w:hAnsi="Arial" w:cs="Arial"/>
          <w:lang w:val="en-US"/>
        </w:rPr>
        <w:t xml:space="preserve"> (p-Tau181)</w:t>
      </w:r>
      <w:r w:rsidR="00D83B7F">
        <w:rPr>
          <w:rFonts w:ascii="Arial" w:hAnsi="Arial" w:cs="Arial"/>
          <w:lang w:val="en-US"/>
        </w:rPr>
        <w:t xml:space="preserve"> </w:t>
      </w:r>
      <w:r w:rsidR="00D83B7F" w:rsidRPr="008C245D">
        <w:rPr>
          <w:rFonts w:ascii="Arial" w:hAnsi="Arial" w:cs="Arial"/>
          <w:lang w:val="en-US"/>
        </w:rPr>
        <w:t>we</w:t>
      </w:r>
      <w:r w:rsidR="00D83B7F">
        <w:rPr>
          <w:rFonts w:ascii="Arial" w:hAnsi="Arial" w:cs="Arial"/>
          <w:lang w:val="en-US"/>
        </w:rPr>
        <w:t>re</w:t>
      </w:r>
      <w:r w:rsidR="00D83B7F" w:rsidRPr="008C245D">
        <w:rPr>
          <w:rFonts w:ascii="Arial" w:hAnsi="Arial" w:cs="Arial"/>
          <w:lang w:val="en-US"/>
        </w:rPr>
        <w:t xml:space="preserve"> calculated</w:t>
      </w:r>
      <w:r w:rsidR="00D83B7F">
        <w:rPr>
          <w:rFonts w:ascii="Arial" w:hAnsi="Arial" w:cs="Arial"/>
          <w:lang w:val="en-US"/>
        </w:rPr>
        <w:t>,</w:t>
      </w:r>
      <w:r w:rsidR="00D83B7F" w:rsidRPr="008C245D">
        <w:rPr>
          <w:rFonts w:ascii="Arial" w:hAnsi="Arial" w:cs="Arial"/>
          <w:lang w:val="en-US"/>
        </w:rPr>
        <w:t xml:space="preserve"> </w:t>
      </w:r>
      <w:r w:rsidRPr="008C245D">
        <w:rPr>
          <w:rFonts w:ascii="Arial" w:hAnsi="Arial" w:cs="Arial"/>
          <w:lang w:val="en-US"/>
        </w:rPr>
        <w:t xml:space="preserve">followed by clinical agreement studies. </w:t>
      </w:r>
      <w:r w:rsidRPr="008C245D">
        <w:rPr>
          <w:rFonts w:ascii="Arial" w:hAnsi="Arial" w:cs="Arial"/>
          <w:b/>
          <w:lang w:val="en-US"/>
        </w:rPr>
        <w:t>Conclusion</w:t>
      </w:r>
      <w:r w:rsidRPr="008C245D">
        <w:rPr>
          <w:rFonts w:ascii="Arial" w:hAnsi="Arial" w:cs="Arial"/>
          <w:lang w:val="en-US"/>
        </w:rPr>
        <w:t>: Our findings provide relevant information for the standardization of sample collection and storage in the analysis of AD blood biomarkers</w:t>
      </w:r>
      <w:r w:rsidR="00053017">
        <w:rPr>
          <w:rFonts w:ascii="Arial" w:hAnsi="Arial" w:cs="Arial"/>
          <w:lang w:val="en-US"/>
        </w:rPr>
        <w:t xml:space="preserve"> in an automated platform</w:t>
      </w:r>
      <w:r w:rsidRPr="008C245D">
        <w:rPr>
          <w:rFonts w:ascii="Arial" w:hAnsi="Arial" w:cs="Arial"/>
          <w:lang w:val="en-US"/>
        </w:rPr>
        <w:t>. This knowledge is crucial to ensure their introduction into clinical settings.</w:t>
      </w:r>
    </w:p>
    <w:p w14:paraId="561EAB24" w14:textId="7AFEECF5" w:rsidR="00596026" w:rsidRPr="00111946" w:rsidRDefault="00596026" w:rsidP="00596026">
      <w:pPr>
        <w:spacing w:line="480" w:lineRule="auto"/>
        <w:rPr>
          <w:rFonts w:ascii="Arial" w:hAnsi="Arial" w:cs="Arial"/>
          <w:lang w:val="en-GB"/>
        </w:rPr>
      </w:pPr>
      <w:r w:rsidRPr="00111946">
        <w:rPr>
          <w:rFonts w:ascii="Arial" w:hAnsi="Arial" w:cs="Arial"/>
          <w:b/>
          <w:lang w:val="en-GB"/>
        </w:rPr>
        <w:t xml:space="preserve">Keywords: </w:t>
      </w:r>
      <w:r w:rsidRPr="00111946">
        <w:rPr>
          <w:rFonts w:ascii="Arial" w:hAnsi="Arial" w:cs="Arial"/>
          <w:lang w:val="en-GB"/>
        </w:rPr>
        <w:t xml:space="preserve">Alzheimer’s Disease, Automated platforms, </w:t>
      </w:r>
      <w:r w:rsidR="00DF7401" w:rsidRPr="00111946">
        <w:rPr>
          <w:rFonts w:ascii="Arial" w:hAnsi="Arial" w:cs="Arial"/>
          <w:lang w:val="en-GB"/>
        </w:rPr>
        <w:t>Plasma</w:t>
      </w:r>
      <w:r w:rsidRPr="00111946">
        <w:rPr>
          <w:rFonts w:ascii="Arial" w:hAnsi="Arial" w:cs="Arial"/>
          <w:lang w:val="en-GB"/>
        </w:rPr>
        <w:t xml:space="preserve">, </w:t>
      </w:r>
      <w:r w:rsidR="002A1C88">
        <w:rPr>
          <w:rFonts w:ascii="Arial" w:hAnsi="Arial" w:cs="Arial"/>
          <w:lang w:val="en-GB"/>
        </w:rPr>
        <w:t>Serum</w:t>
      </w:r>
      <w:r w:rsidR="00053017">
        <w:rPr>
          <w:rFonts w:ascii="Arial" w:hAnsi="Arial" w:cs="Arial"/>
          <w:lang w:val="en-GB"/>
        </w:rPr>
        <w:t>,</w:t>
      </w:r>
      <w:r w:rsidR="002A1C88">
        <w:rPr>
          <w:rFonts w:ascii="Arial" w:hAnsi="Arial" w:cs="Arial"/>
          <w:lang w:val="en-GB"/>
        </w:rPr>
        <w:t xml:space="preserve"> Blood-based Markers, </w:t>
      </w:r>
      <w:r w:rsidRPr="00111946">
        <w:rPr>
          <w:rFonts w:ascii="Arial" w:hAnsi="Arial" w:cs="Arial"/>
          <w:lang w:val="en-GB"/>
        </w:rPr>
        <w:t>Amyloid, Tau</w:t>
      </w:r>
      <w:r w:rsidR="00D83B7F">
        <w:rPr>
          <w:rFonts w:ascii="Arial" w:hAnsi="Arial" w:cs="Arial"/>
          <w:lang w:val="en-GB"/>
        </w:rPr>
        <w:t>.</w:t>
      </w:r>
    </w:p>
    <w:p w14:paraId="0B054C69" w14:textId="77777777" w:rsidR="002A1C88" w:rsidRPr="00E93C66" w:rsidRDefault="002A1C88" w:rsidP="002A1C88">
      <w:pPr>
        <w:spacing w:line="480" w:lineRule="auto"/>
        <w:rPr>
          <w:rFonts w:ascii="Arial" w:hAnsi="Arial" w:cs="Arial"/>
          <w:b/>
        </w:rPr>
      </w:pPr>
      <w:r w:rsidRPr="00E93C66">
        <w:rPr>
          <w:rFonts w:ascii="Arial" w:hAnsi="Arial" w:cs="Arial"/>
          <w:b/>
          <w:lang w:val="en-US"/>
        </w:rPr>
        <w:t>Highlights</w:t>
      </w:r>
      <w:r w:rsidRPr="00E93C66">
        <w:rPr>
          <w:rFonts w:ascii="Arial" w:hAnsi="Arial" w:cs="Arial"/>
          <w:b/>
        </w:rPr>
        <w:t xml:space="preserve"> </w:t>
      </w:r>
    </w:p>
    <w:p w14:paraId="655104A6" w14:textId="24BE2E25" w:rsidR="002A1C88" w:rsidRPr="00E93C66" w:rsidRDefault="002A1C88" w:rsidP="002A1C88">
      <w:pPr>
        <w:pStyle w:val="Pargrafdellista"/>
        <w:numPr>
          <w:ilvl w:val="0"/>
          <w:numId w:val="2"/>
        </w:numPr>
        <w:spacing w:after="160" w:line="480" w:lineRule="auto"/>
        <w:jc w:val="both"/>
        <w:rPr>
          <w:rFonts w:ascii="Arial" w:hAnsi="Arial" w:cs="Arial"/>
          <w:lang w:val="en-US"/>
        </w:rPr>
      </w:pPr>
      <w:r>
        <w:rPr>
          <w:rFonts w:ascii="Arial" w:hAnsi="Arial" w:cs="Arial"/>
          <w:lang w:val="en-US"/>
        </w:rPr>
        <w:t>B</w:t>
      </w:r>
      <w:r w:rsidRPr="008C245D">
        <w:rPr>
          <w:rFonts w:ascii="Arial" w:hAnsi="Arial" w:cs="Arial"/>
          <w:lang w:val="en-US"/>
        </w:rPr>
        <w:t xml:space="preserve">lood-based markers </w:t>
      </w:r>
      <w:r w:rsidR="00053017">
        <w:rPr>
          <w:rFonts w:ascii="Arial" w:hAnsi="Arial" w:cs="Arial"/>
          <w:lang w:val="en-US"/>
        </w:rPr>
        <w:t xml:space="preserve">(BBM) </w:t>
      </w:r>
      <w:r>
        <w:rPr>
          <w:rFonts w:ascii="Arial" w:hAnsi="Arial" w:cs="Arial"/>
          <w:lang w:val="en-US"/>
        </w:rPr>
        <w:t xml:space="preserve">for the diagnosis of </w:t>
      </w:r>
      <w:r w:rsidRPr="00E93C66">
        <w:rPr>
          <w:rFonts w:ascii="Arial" w:hAnsi="Arial" w:cs="Arial"/>
          <w:lang w:val="en-US"/>
        </w:rPr>
        <w:t xml:space="preserve">Alzheimer </w:t>
      </w:r>
      <w:r>
        <w:rPr>
          <w:rFonts w:ascii="Arial" w:hAnsi="Arial" w:cs="Arial"/>
          <w:lang w:val="en-US"/>
        </w:rPr>
        <w:t>disease</w:t>
      </w:r>
      <w:r w:rsidRPr="00E93C66">
        <w:rPr>
          <w:rFonts w:ascii="Arial" w:hAnsi="Arial" w:cs="Arial"/>
          <w:lang w:val="en-US"/>
        </w:rPr>
        <w:t xml:space="preserve"> </w:t>
      </w:r>
      <w:r>
        <w:rPr>
          <w:rFonts w:ascii="Arial" w:hAnsi="Arial" w:cs="Arial"/>
          <w:lang w:val="en-US"/>
        </w:rPr>
        <w:t>(AD)</w:t>
      </w:r>
    </w:p>
    <w:p w14:paraId="702C5075" w14:textId="17DA5DE3" w:rsidR="002A1C88" w:rsidRDefault="002A1C88" w:rsidP="002A1C88">
      <w:pPr>
        <w:pStyle w:val="Pargrafdellista"/>
        <w:numPr>
          <w:ilvl w:val="0"/>
          <w:numId w:val="2"/>
        </w:numPr>
        <w:spacing w:after="160" w:line="480" w:lineRule="auto"/>
        <w:jc w:val="both"/>
        <w:rPr>
          <w:rFonts w:ascii="Arial" w:hAnsi="Arial" w:cs="Arial"/>
          <w:lang w:val="en-US"/>
        </w:rPr>
      </w:pPr>
      <w:r w:rsidRPr="00E93C66">
        <w:rPr>
          <w:rFonts w:ascii="Arial" w:hAnsi="Arial" w:cs="Arial"/>
          <w:lang w:val="en-US"/>
        </w:rPr>
        <w:t xml:space="preserve">Impact of different storage conditions on the analysis of </w:t>
      </w:r>
      <w:r w:rsidR="00053017">
        <w:rPr>
          <w:rFonts w:ascii="Arial" w:hAnsi="Arial" w:cs="Arial"/>
          <w:lang w:val="en-US"/>
        </w:rPr>
        <w:t>BBM</w:t>
      </w:r>
    </w:p>
    <w:p w14:paraId="6F1797E1" w14:textId="77777777" w:rsidR="002A1C88" w:rsidRPr="00E93C66" w:rsidRDefault="002A1C88" w:rsidP="002A1C88">
      <w:pPr>
        <w:pStyle w:val="Pargrafdellista"/>
        <w:numPr>
          <w:ilvl w:val="0"/>
          <w:numId w:val="2"/>
        </w:numPr>
        <w:spacing w:after="160" w:line="480" w:lineRule="auto"/>
        <w:jc w:val="both"/>
        <w:rPr>
          <w:rFonts w:ascii="Arial" w:hAnsi="Arial" w:cs="Arial"/>
          <w:lang w:val="en-US"/>
        </w:rPr>
      </w:pPr>
      <w:r>
        <w:rPr>
          <w:rFonts w:ascii="Arial" w:hAnsi="Arial" w:cs="Arial"/>
          <w:lang w:val="en-GB"/>
        </w:rPr>
        <w:t>I</w:t>
      </w:r>
      <w:r w:rsidRPr="00253D1F">
        <w:rPr>
          <w:rFonts w:ascii="Arial" w:hAnsi="Arial" w:cs="Arial"/>
          <w:lang w:val="en-GB"/>
        </w:rPr>
        <w:t>nterchangeability evaluat</w:t>
      </w:r>
      <w:r>
        <w:rPr>
          <w:rFonts w:ascii="Arial" w:hAnsi="Arial" w:cs="Arial"/>
          <w:lang w:val="en-GB"/>
        </w:rPr>
        <w:t>ion</w:t>
      </w:r>
      <w:r w:rsidRPr="00253D1F">
        <w:rPr>
          <w:rFonts w:ascii="Arial" w:hAnsi="Arial" w:cs="Arial"/>
          <w:lang w:val="en-GB"/>
        </w:rPr>
        <w:t xml:space="preserve"> </w:t>
      </w:r>
      <w:r>
        <w:rPr>
          <w:rFonts w:ascii="Arial" w:hAnsi="Arial" w:cs="Arial"/>
          <w:lang w:val="en-GB"/>
        </w:rPr>
        <w:t>between</w:t>
      </w:r>
      <w:r w:rsidRPr="00253D1F">
        <w:rPr>
          <w:rFonts w:ascii="Arial" w:hAnsi="Arial" w:cs="Arial"/>
          <w:lang w:val="en-GB"/>
        </w:rPr>
        <w:t xml:space="preserve"> plasma</w:t>
      </w:r>
      <w:r>
        <w:rPr>
          <w:rFonts w:ascii="Arial" w:hAnsi="Arial" w:cs="Arial"/>
          <w:lang w:val="en-GB"/>
        </w:rPr>
        <w:t>-EDTA</w:t>
      </w:r>
      <w:r w:rsidRPr="00253D1F">
        <w:rPr>
          <w:rFonts w:ascii="Arial" w:hAnsi="Arial" w:cs="Arial"/>
          <w:lang w:val="en-GB"/>
        </w:rPr>
        <w:t xml:space="preserve"> and serum samples</w:t>
      </w:r>
    </w:p>
    <w:p w14:paraId="6A5513CB" w14:textId="07B8AD93" w:rsidR="00F42A62" w:rsidRPr="00053017" w:rsidRDefault="002A1C88" w:rsidP="007B2EA2">
      <w:pPr>
        <w:pStyle w:val="Pargrafdellista"/>
        <w:numPr>
          <w:ilvl w:val="0"/>
          <w:numId w:val="2"/>
        </w:numPr>
        <w:spacing w:after="160" w:line="259" w:lineRule="auto"/>
        <w:jc w:val="both"/>
        <w:rPr>
          <w:rFonts w:ascii="Arial" w:hAnsi="Arial" w:cs="Arial"/>
          <w:lang w:val="en-GB"/>
        </w:rPr>
      </w:pPr>
      <w:r w:rsidRPr="00053017">
        <w:rPr>
          <w:rFonts w:ascii="Arial" w:hAnsi="Arial" w:cs="Arial"/>
          <w:lang w:val="en-US"/>
        </w:rPr>
        <w:t>Automated platform</w:t>
      </w:r>
      <w:r w:rsidR="00053017">
        <w:rPr>
          <w:rFonts w:ascii="Arial" w:hAnsi="Arial" w:cs="Arial"/>
          <w:lang w:val="en-US"/>
        </w:rPr>
        <w:t>s</w:t>
      </w:r>
      <w:r w:rsidRPr="00053017">
        <w:rPr>
          <w:rFonts w:ascii="Arial" w:hAnsi="Arial" w:cs="Arial"/>
          <w:lang w:val="en-US"/>
        </w:rPr>
        <w:t xml:space="preserve"> </w:t>
      </w:r>
      <w:r w:rsidR="00F42A62" w:rsidRPr="00053017">
        <w:rPr>
          <w:rFonts w:ascii="Arial" w:hAnsi="Arial" w:cs="Arial"/>
          <w:lang w:val="en-GB"/>
        </w:rPr>
        <w:br w:type="page"/>
      </w:r>
    </w:p>
    <w:p w14:paraId="5CE53CB1" w14:textId="77777777" w:rsidR="00F42A62" w:rsidRPr="00111946" w:rsidRDefault="00F42A62" w:rsidP="005832A4">
      <w:pPr>
        <w:spacing w:line="480" w:lineRule="auto"/>
        <w:rPr>
          <w:rFonts w:ascii="Arial" w:hAnsi="Arial" w:cs="Arial"/>
          <w:b/>
          <w:lang w:val="en-GB"/>
        </w:rPr>
      </w:pPr>
      <w:r w:rsidRPr="00111946">
        <w:rPr>
          <w:rFonts w:ascii="Arial" w:hAnsi="Arial" w:cs="Arial"/>
          <w:b/>
          <w:lang w:val="en-GB"/>
        </w:rPr>
        <w:lastRenderedPageBreak/>
        <w:t>Abbreviations</w:t>
      </w:r>
    </w:p>
    <w:p w14:paraId="61564C5B" w14:textId="658B0ECB" w:rsidR="009058C4" w:rsidRPr="00111946" w:rsidRDefault="009058C4">
      <w:pPr>
        <w:spacing w:after="160" w:line="259" w:lineRule="auto"/>
        <w:rPr>
          <w:rFonts w:ascii="Arial" w:hAnsi="Arial" w:cs="Arial"/>
          <w:lang w:val="en-GB"/>
        </w:rPr>
      </w:pPr>
      <w:r w:rsidRPr="00111946">
        <w:rPr>
          <w:rFonts w:ascii="Arial" w:hAnsi="Arial" w:cs="Arial"/>
          <w:lang w:val="en-GB"/>
        </w:rPr>
        <w:t>Alzheimer’s disease (AD</w:t>
      </w:r>
      <w:r w:rsidR="00C70A5E" w:rsidRPr="00111946">
        <w:rPr>
          <w:rFonts w:ascii="Arial" w:hAnsi="Arial" w:cs="Arial"/>
          <w:lang w:val="en-GB"/>
        </w:rPr>
        <w:t>)</w:t>
      </w:r>
      <w:r w:rsidRPr="00111946">
        <w:rPr>
          <w:rFonts w:ascii="Arial" w:hAnsi="Arial" w:cs="Arial"/>
          <w:lang w:val="en-GB"/>
        </w:rPr>
        <w:t xml:space="preserve"> </w:t>
      </w:r>
    </w:p>
    <w:p w14:paraId="46BC3B24" w14:textId="3FFF84F7" w:rsidR="009877F6" w:rsidRPr="00111946" w:rsidRDefault="00D45530">
      <w:pPr>
        <w:spacing w:after="160" w:line="259" w:lineRule="auto"/>
        <w:rPr>
          <w:rFonts w:ascii="Arial" w:hAnsi="Arial" w:cs="Arial"/>
          <w:lang w:val="en-GB"/>
        </w:rPr>
      </w:pPr>
      <w:r w:rsidRPr="00111946">
        <w:rPr>
          <w:rFonts w:ascii="Arial" w:hAnsi="Arial" w:cs="Arial"/>
          <w:lang w:val="en-GB"/>
        </w:rPr>
        <w:t>A</w:t>
      </w:r>
      <w:r w:rsidR="009058C4" w:rsidRPr="00111946">
        <w:rPr>
          <w:rFonts w:ascii="Arial" w:hAnsi="Arial" w:cs="Arial"/>
          <w:lang w:val="en-GB"/>
        </w:rPr>
        <w:t>myloid-beta (Aβ)</w:t>
      </w:r>
    </w:p>
    <w:p w14:paraId="489CC5F5" w14:textId="52E1AC5B" w:rsidR="00C4225F" w:rsidRPr="00111946" w:rsidRDefault="00C4225F">
      <w:pPr>
        <w:spacing w:after="160" w:line="259" w:lineRule="auto"/>
        <w:rPr>
          <w:rFonts w:ascii="Arial" w:hAnsi="Arial" w:cs="Arial"/>
          <w:lang w:val="en-GB"/>
        </w:rPr>
      </w:pPr>
      <w:r w:rsidRPr="00111946">
        <w:rPr>
          <w:rFonts w:ascii="Arial" w:hAnsi="Arial" w:cs="Arial"/>
          <w:lang w:val="en-GB"/>
        </w:rPr>
        <w:t>Blood-based markers (BBM)</w:t>
      </w:r>
    </w:p>
    <w:p w14:paraId="3E35A620" w14:textId="40A80119" w:rsidR="009877F6" w:rsidRPr="00111946" w:rsidRDefault="009877F6" w:rsidP="009877F6">
      <w:pPr>
        <w:spacing w:after="160" w:line="259" w:lineRule="auto"/>
        <w:rPr>
          <w:rFonts w:ascii="Arial" w:hAnsi="Arial" w:cs="Arial"/>
          <w:lang w:val="en-GB"/>
        </w:rPr>
      </w:pPr>
      <w:r w:rsidRPr="00111946">
        <w:rPr>
          <w:rFonts w:ascii="Arial" w:hAnsi="Arial" w:cs="Arial"/>
          <w:lang w:val="en-GB"/>
        </w:rPr>
        <w:t>Cerebrospinal fluid (CSF</w:t>
      </w:r>
      <w:r w:rsidR="00C70A5E" w:rsidRPr="00111946">
        <w:rPr>
          <w:rFonts w:ascii="Arial" w:hAnsi="Arial" w:cs="Arial"/>
          <w:lang w:val="en-GB"/>
        </w:rPr>
        <w:t>)</w:t>
      </w:r>
    </w:p>
    <w:p w14:paraId="512EA44E" w14:textId="0304D5FE" w:rsidR="00253D1F" w:rsidRDefault="00253D1F" w:rsidP="009877F6">
      <w:pPr>
        <w:spacing w:after="160" w:line="259" w:lineRule="auto"/>
        <w:rPr>
          <w:rFonts w:ascii="Arial" w:hAnsi="Arial" w:cs="Arial"/>
          <w:lang w:val="en-GB"/>
        </w:rPr>
      </w:pPr>
      <w:r>
        <w:rPr>
          <w:rFonts w:ascii="Arial" w:hAnsi="Arial" w:cs="Arial"/>
          <w:lang w:val="en-GB"/>
        </w:rPr>
        <w:t>E</w:t>
      </w:r>
      <w:r w:rsidRPr="00111946">
        <w:rPr>
          <w:rFonts w:ascii="Arial" w:hAnsi="Arial" w:cs="Arial"/>
          <w:lang w:val="en-GB"/>
        </w:rPr>
        <w:t>thylen</w:t>
      </w:r>
      <w:r w:rsidR="003066B4">
        <w:rPr>
          <w:rFonts w:ascii="Arial" w:hAnsi="Arial" w:cs="Arial"/>
          <w:lang w:val="en-GB"/>
        </w:rPr>
        <w:t xml:space="preserve">e </w:t>
      </w:r>
      <w:r w:rsidRPr="00111946">
        <w:rPr>
          <w:rFonts w:ascii="Arial" w:hAnsi="Arial" w:cs="Arial"/>
          <w:lang w:val="en-GB"/>
        </w:rPr>
        <w:t>diamine</w:t>
      </w:r>
      <w:r w:rsidR="003066B4">
        <w:rPr>
          <w:rFonts w:ascii="Arial" w:hAnsi="Arial" w:cs="Arial"/>
          <w:lang w:val="en-GB"/>
        </w:rPr>
        <w:t xml:space="preserve"> </w:t>
      </w:r>
      <w:r w:rsidR="00EA3C70" w:rsidRPr="00111946">
        <w:rPr>
          <w:rFonts w:ascii="Arial" w:hAnsi="Arial" w:cs="Arial"/>
          <w:lang w:val="en-GB"/>
        </w:rPr>
        <w:t>tetra acetic</w:t>
      </w:r>
      <w:r w:rsidRPr="00111946">
        <w:rPr>
          <w:rFonts w:ascii="Arial" w:hAnsi="Arial" w:cs="Arial"/>
          <w:lang w:val="en-GB"/>
        </w:rPr>
        <w:t xml:space="preserve"> acid</w:t>
      </w:r>
      <w:r>
        <w:rPr>
          <w:rFonts w:ascii="Arial" w:hAnsi="Arial" w:cs="Arial"/>
          <w:lang w:val="en-GB"/>
        </w:rPr>
        <w:t xml:space="preserve"> (EDTA)</w:t>
      </w:r>
    </w:p>
    <w:p w14:paraId="49A60876" w14:textId="6C8D1184" w:rsidR="00DA420A" w:rsidRDefault="00DA420A" w:rsidP="009877F6">
      <w:pPr>
        <w:spacing w:after="160" w:line="259" w:lineRule="auto"/>
        <w:rPr>
          <w:rFonts w:ascii="Arial" w:hAnsi="Arial" w:cs="Arial"/>
          <w:lang w:val="en-GB"/>
        </w:rPr>
      </w:pPr>
      <w:r>
        <w:rPr>
          <w:rFonts w:ascii="Arial" w:hAnsi="Arial" w:cs="Arial"/>
          <w:lang w:val="en-GB"/>
        </w:rPr>
        <w:t>Kappa (k)</w:t>
      </w:r>
    </w:p>
    <w:p w14:paraId="5C1A94C1" w14:textId="3D679403" w:rsidR="009877F6" w:rsidRPr="00111946" w:rsidRDefault="00D45530" w:rsidP="009877F6">
      <w:pPr>
        <w:spacing w:after="160" w:line="259" w:lineRule="auto"/>
        <w:rPr>
          <w:rFonts w:ascii="Arial" w:hAnsi="Arial" w:cs="Arial"/>
          <w:lang w:val="en-GB"/>
        </w:rPr>
      </w:pPr>
      <w:proofErr w:type="spellStart"/>
      <w:r w:rsidRPr="00111946">
        <w:rPr>
          <w:rFonts w:ascii="Arial" w:hAnsi="Arial" w:cs="Arial"/>
          <w:lang w:val="en-GB"/>
        </w:rPr>
        <w:t>P</w:t>
      </w:r>
      <w:r w:rsidR="009877F6" w:rsidRPr="00111946">
        <w:rPr>
          <w:rFonts w:ascii="Arial" w:hAnsi="Arial" w:cs="Arial"/>
          <w:lang w:val="en-GB"/>
        </w:rPr>
        <w:t>hospho</w:t>
      </w:r>
      <w:proofErr w:type="spellEnd"/>
      <w:r w:rsidR="009877F6" w:rsidRPr="00111946">
        <w:rPr>
          <w:rFonts w:ascii="Arial" w:hAnsi="Arial" w:cs="Arial"/>
          <w:lang w:val="en-GB"/>
        </w:rPr>
        <w:t xml:space="preserve"> Tau (p-Tau)</w:t>
      </w:r>
    </w:p>
    <w:p w14:paraId="7105E092" w14:textId="4778FC28" w:rsidR="00C70A5E" w:rsidRPr="00111946" w:rsidRDefault="00D45530" w:rsidP="009877F6">
      <w:pPr>
        <w:spacing w:after="160" w:line="259" w:lineRule="auto"/>
        <w:rPr>
          <w:rFonts w:ascii="Arial" w:hAnsi="Arial" w:cs="Arial"/>
          <w:lang w:val="en-GB"/>
        </w:rPr>
      </w:pPr>
      <w:r w:rsidRPr="00111946">
        <w:rPr>
          <w:rFonts w:ascii="Arial" w:hAnsi="Arial" w:cs="Arial"/>
          <w:lang w:val="en-GB"/>
        </w:rPr>
        <w:t>R</w:t>
      </w:r>
      <w:r w:rsidR="00C70A5E" w:rsidRPr="00111946">
        <w:rPr>
          <w:rFonts w:ascii="Arial" w:hAnsi="Arial" w:cs="Arial"/>
          <w:lang w:val="en-GB"/>
        </w:rPr>
        <w:t>oom temperature (RT)</w:t>
      </w:r>
    </w:p>
    <w:p w14:paraId="3570D8CF" w14:textId="3A1E97BF" w:rsidR="00D45530" w:rsidRPr="00111946" w:rsidRDefault="00D45530" w:rsidP="009877F6">
      <w:pPr>
        <w:spacing w:after="160" w:line="259" w:lineRule="auto"/>
        <w:rPr>
          <w:rFonts w:ascii="Arial" w:hAnsi="Arial" w:cs="Arial"/>
          <w:lang w:val="en-GB"/>
        </w:rPr>
      </w:pPr>
      <w:r w:rsidRPr="00111946">
        <w:rPr>
          <w:rFonts w:ascii="Arial" w:hAnsi="Arial" w:cs="Arial"/>
          <w:lang w:val="en-GB"/>
        </w:rPr>
        <w:t xml:space="preserve">Confidence </w:t>
      </w:r>
      <w:r w:rsidR="009B2FF4" w:rsidRPr="00111946">
        <w:rPr>
          <w:rFonts w:ascii="Arial" w:hAnsi="Arial" w:cs="Arial"/>
          <w:lang w:val="en-GB"/>
        </w:rPr>
        <w:t>i</w:t>
      </w:r>
      <w:r w:rsidRPr="00111946">
        <w:rPr>
          <w:rFonts w:ascii="Arial" w:hAnsi="Arial" w:cs="Arial"/>
          <w:lang w:val="en-GB"/>
        </w:rPr>
        <w:t>nterval (CI)</w:t>
      </w:r>
    </w:p>
    <w:p w14:paraId="7DA67F91" w14:textId="01B2DD67" w:rsidR="00D45530" w:rsidRPr="00111946" w:rsidRDefault="00D45530" w:rsidP="009877F6">
      <w:pPr>
        <w:spacing w:after="160" w:line="259" w:lineRule="auto"/>
        <w:rPr>
          <w:rFonts w:ascii="Arial" w:hAnsi="Arial" w:cs="Arial"/>
          <w:lang w:val="en-GB"/>
        </w:rPr>
      </w:pPr>
      <w:r w:rsidRPr="00111946">
        <w:rPr>
          <w:rFonts w:ascii="Arial" w:hAnsi="Arial" w:cs="Arial"/>
          <w:lang w:val="en-GB"/>
        </w:rPr>
        <w:t>Coefficient of variation (CV)</w:t>
      </w:r>
    </w:p>
    <w:p w14:paraId="2F17462D" w14:textId="77777777" w:rsidR="00253D1F" w:rsidRDefault="00445177" w:rsidP="00253D1F">
      <w:pPr>
        <w:spacing w:after="160" w:line="259" w:lineRule="auto"/>
        <w:rPr>
          <w:rFonts w:ascii="Arial" w:hAnsi="Arial" w:cs="Arial"/>
          <w:lang w:val="en-GB"/>
        </w:rPr>
      </w:pPr>
      <w:r w:rsidRPr="00111946">
        <w:rPr>
          <w:rFonts w:ascii="Arial" w:hAnsi="Arial" w:cs="Arial"/>
          <w:lang w:val="en-GB"/>
        </w:rPr>
        <w:t>Standard deviation (SD)</w:t>
      </w:r>
      <w:r w:rsidR="00253D1F" w:rsidRPr="00253D1F">
        <w:rPr>
          <w:rFonts w:ascii="Arial" w:hAnsi="Arial" w:cs="Arial"/>
          <w:lang w:val="en-GB"/>
        </w:rPr>
        <w:t xml:space="preserve"> </w:t>
      </w:r>
    </w:p>
    <w:p w14:paraId="36D0A33B" w14:textId="5A9C0922" w:rsidR="00253D1F" w:rsidRPr="00111946" w:rsidRDefault="00253D1F" w:rsidP="00253D1F">
      <w:pPr>
        <w:spacing w:after="160" w:line="259" w:lineRule="auto"/>
        <w:rPr>
          <w:rFonts w:ascii="Arial" w:hAnsi="Arial" w:cs="Arial"/>
          <w:lang w:val="en-GB"/>
        </w:rPr>
      </w:pPr>
      <w:r w:rsidRPr="00111946">
        <w:rPr>
          <w:rFonts w:ascii="Arial" w:hAnsi="Arial" w:cs="Arial"/>
          <w:lang w:val="en-GB"/>
        </w:rPr>
        <w:t>Total Tau (t-Tau)</w:t>
      </w:r>
    </w:p>
    <w:p w14:paraId="02C9A41B" w14:textId="28CA812A" w:rsidR="008705FE" w:rsidRPr="00111946" w:rsidRDefault="008705FE">
      <w:pPr>
        <w:spacing w:after="160" w:line="259" w:lineRule="auto"/>
        <w:rPr>
          <w:rFonts w:ascii="Arial" w:hAnsi="Arial" w:cs="Arial"/>
          <w:lang w:val="en-GB"/>
        </w:rPr>
      </w:pPr>
      <w:r w:rsidRPr="00111946">
        <w:rPr>
          <w:rFonts w:ascii="Arial" w:hAnsi="Arial" w:cs="Arial"/>
          <w:lang w:val="en-GB"/>
        </w:rPr>
        <w:br w:type="page"/>
      </w:r>
    </w:p>
    <w:p w14:paraId="0CA95A2E" w14:textId="6F8D74C1" w:rsidR="008705FE" w:rsidRPr="00111946" w:rsidRDefault="008705FE" w:rsidP="008705FE">
      <w:pPr>
        <w:pStyle w:val="Pargrafdellista"/>
        <w:numPr>
          <w:ilvl w:val="0"/>
          <w:numId w:val="1"/>
        </w:numPr>
        <w:spacing w:line="480" w:lineRule="auto"/>
        <w:rPr>
          <w:rFonts w:ascii="Arial" w:hAnsi="Arial" w:cs="Arial"/>
          <w:b/>
          <w:lang w:val="en-GB"/>
        </w:rPr>
      </w:pPr>
      <w:r w:rsidRPr="00111946">
        <w:rPr>
          <w:rFonts w:ascii="Arial" w:hAnsi="Arial" w:cs="Arial"/>
          <w:b/>
          <w:lang w:val="en-GB"/>
        </w:rPr>
        <w:lastRenderedPageBreak/>
        <w:t>Introduction</w:t>
      </w:r>
      <w:r w:rsidR="00F21644" w:rsidRPr="00111946">
        <w:rPr>
          <w:rFonts w:ascii="Arial" w:hAnsi="Arial" w:cs="Arial"/>
          <w:b/>
          <w:lang w:val="en-GB"/>
        </w:rPr>
        <w:softHyphen/>
      </w:r>
    </w:p>
    <w:p w14:paraId="4AFA6C40" w14:textId="2F530AE1" w:rsidR="0064077B" w:rsidRPr="00111946" w:rsidRDefault="008E724C" w:rsidP="0064077B">
      <w:pPr>
        <w:spacing w:line="480" w:lineRule="auto"/>
        <w:jc w:val="both"/>
        <w:rPr>
          <w:rFonts w:ascii="Arial" w:hAnsi="Arial" w:cs="Arial"/>
          <w:lang w:val="en-GB"/>
        </w:rPr>
      </w:pPr>
      <w:r w:rsidRPr="00111946">
        <w:rPr>
          <w:rFonts w:ascii="Arial" w:hAnsi="Arial" w:cs="Arial"/>
          <w:lang w:val="en-GB"/>
        </w:rPr>
        <w:t>The most frequent cause of dementia in older adults</w:t>
      </w:r>
      <w:r w:rsidR="008B7476" w:rsidRPr="00111946">
        <w:rPr>
          <w:rFonts w:ascii="Arial" w:hAnsi="Arial" w:cs="Arial"/>
          <w:lang w:val="en-GB"/>
        </w:rPr>
        <w:t xml:space="preserve"> is</w:t>
      </w:r>
      <w:r w:rsidRPr="00111946">
        <w:rPr>
          <w:rFonts w:ascii="Arial" w:hAnsi="Arial" w:cs="Arial"/>
          <w:lang w:val="en-GB"/>
        </w:rPr>
        <w:t xml:space="preserve"> Alzheimer's disease (AD)</w:t>
      </w:r>
      <w:r w:rsidR="00F5100A" w:rsidRPr="00111946">
        <w:rPr>
          <w:rFonts w:ascii="Arial" w:hAnsi="Arial" w:cs="Arial"/>
          <w:lang w:val="en-GB"/>
        </w:rPr>
        <w:t xml:space="preserve"> (</w:t>
      </w:r>
      <w:r w:rsidR="00877DF4" w:rsidRPr="00111946">
        <w:rPr>
          <w:rFonts w:ascii="Arial" w:hAnsi="Arial" w:cs="Arial"/>
          <w:highlight w:val="lightGray"/>
          <w:lang w:val="en-GB"/>
        </w:rPr>
        <w:t>doi.org/</w:t>
      </w:r>
      <w:hyperlink r:id="rId13" w:tgtFrame="_blank" w:history="1">
        <w:r w:rsidR="00877DF4" w:rsidRPr="00111946">
          <w:rPr>
            <w:rFonts w:ascii="Arial" w:hAnsi="Arial" w:cs="Arial"/>
            <w:highlight w:val="lightGray"/>
            <w:lang w:val="en-GB"/>
          </w:rPr>
          <w:t>10.1159/000197897</w:t>
        </w:r>
      </w:hyperlink>
      <w:r w:rsidR="00877DF4" w:rsidRPr="00111946">
        <w:rPr>
          <w:rFonts w:ascii="Arial" w:hAnsi="Arial" w:cs="Arial"/>
          <w:lang w:val="en-GB"/>
        </w:rPr>
        <w:t xml:space="preserve">), </w:t>
      </w:r>
      <w:r w:rsidRPr="00111946">
        <w:rPr>
          <w:rFonts w:ascii="Arial" w:hAnsi="Arial" w:cs="Arial"/>
          <w:lang w:val="en-GB"/>
        </w:rPr>
        <w:t xml:space="preserve">a chronic </w:t>
      </w:r>
      <w:r w:rsidR="008B7476" w:rsidRPr="00111946">
        <w:rPr>
          <w:rFonts w:ascii="Arial" w:hAnsi="Arial" w:cs="Arial"/>
          <w:lang w:val="en-GB"/>
        </w:rPr>
        <w:t>neurodegenerative</w:t>
      </w:r>
      <w:r w:rsidRPr="00111946">
        <w:rPr>
          <w:rFonts w:ascii="Arial" w:hAnsi="Arial" w:cs="Arial"/>
          <w:lang w:val="en-GB"/>
        </w:rPr>
        <w:t xml:space="preserve"> condition</w:t>
      </w:r>
      <w:r w:rsidR="00572B3B" w:rsidRPr="00111946">
        <w:rPr>
          <w:rFonts w:ascii="Arial" w:hAnsi="Arial" w:cs="Arial"/>
          <w:lang w:val="en-GB"/>
        </w:rPr>
        <w:t xml:space="preserve"> with an </w:t>
      </w:r>
      <w:r w:rsidR="00960974" w:rsidRPr="00111946">
        <w:rPr>
          <w:rFonts w:ascii="Arial" w:hAnsi="Arial" w:cs="Arial"/>
          <w:lang w:val="en-GB"/>
        </w:rPr>
        <w:t xml:space="preserve">increasing </w:t>
      </w:r>
      <w:r w:rsidR="00572B3B" w:rsidRPr="00111946">
        <w:rPr>
          <w:rFonts w:ascii="Arial" w:hAnsi="Arial" w:cs="Arial"/>
          <w:lang w:val="en-GB"/>
        </w:rPr>
        <w:t xml:space="preserve">incidence </w:t>
      </w:r>
      <w:r w:rsidR="00960974" w:rsidRPr="00111946">
        <w:rPr>
          <w:rFonts w:ascii="Arial" w:hAnsi="Arial" w:cs="Arial"/>
          <w:lang w:val="en-GB"/>
        </w:rPr>
        <w:t xml:space="preserve">expected </w:t>
      </w:r>
      <w:r w:rsidR="00E81442" w:rsidRPr="00111946">
        <w:rPr>
          <w:rFonts w:ascii="Arial" w:hAnsi="Arial" w:cs="Arial"/>
          <w:lang w:val="en-GB"/>
        </w:rPr>
        <w:t xml:space="preserve">to reach </w:t>
      </w:r>
      <w:r w:rsidR="00F5100A" w:rsidRPr="00111946">
        <w:rPr>
          <w:rFonts w:ascii="Arial" w:hAnsi="Arial" w:cs="Arial"/>
          <w:lang w:val="en-GB"/>
        </w:rPr>
        <w:t>150 million people by the year 2050 (</w:t>
      </w:r>
      <w:r w:rsidR="00DD0108" w:rsidRPr="00111946">
        <w:rPr>
          <w:rFonts w:ascii="Arial" w:hAnsi="Arial" w:cs="Arial"/>
          <w:highlight w:val="lightGray"/>
          <w:lang w:val="en-GB"/>
        </w:rPr>
        <w:t>DOI: </w:t>
      </w:r>
      <w:hyperlink r:id="rId14" w:tgtFrame="_blank" w:history="1">
        <w:r w:rsidR="00DD0108" w:rsidRPr="00111946">
          <w:rPr>
            <w:rFonts w:ascii="Arial" w:hAnsi="Arial" w:cs="Arial"/>
            <w:highlight w:val="lightGray"/>
            <w:lang w:val="en-GB"/>
          </w:rPr>
          <w:t>10.1016/S2468-2667(21)00249-8</w:t>
        </w:r>
      </w:hyperlink>
      <w:r w:rsidR="00DD0108" w:rsidRPr="00111946">
        <w:rPr>
          <w:rFonts w:ascii="Arial" w:hAnsi="Arial" w:cs="Arial"/>
          <w:lang w:val="en-GB"/>
        </w:rPr>
        <w:t xml:space="preserve">). </w:t>
      </w:r>
      <w:r w:rsidR="008B7476" w:rsidRPr="00111946">
        <w:rPr>
          <w:rFonts w:ascii="Arial" w:hAnsi="Arial" w:cs="Arial"/>
          <w:lang w:val="en-GB"/>
        </w:rPr>
        <w:t xml:space="preserve">Despite </w:t>
      </w:r>
      <w:r w:rsidR="00337A0F">
        <w:rPr>
          <w:rFonts w:ascii="Arial" w:hAnsi="Arial" w:cs="Arial"/>
          <w:lang w:val="en-GB"/>
        </w:rPr>
        <w:t xml:space="preserve">the fact that </w:t>
      </w:r>
      <w:r w:rsidR="008B7476" w:rsidRPr="00111946">
        <w:rPr>
          <w:rFonts w:ascii="Arial" w:hAnsi="Arial" w:cs="Arial"/>
          <w:lang w:val="en-GB"/>
        </w:rPr>
        <w:t xml:space="preserve">clinical symptoms </w:t>
      </w:r>
      <w:r w:rsidR="0064077B" w:rsidRPr="00111946">
        <w:rPr>
          <w:rFonts w:ascii="Arial" w:hAnsi="Arial" w:cs="Arial"/>
          <w:lang w:val="en-GB"/>
        </w:rPr>
        <w:t xml:space="preserve">still </w:t>
      </w:r>
      <w:r w:rsidR="008B7476" w:rsidRPr="00111946">
        <w:rPr>
          <w:rFonts w:ascii="Arial" w:hAnsi="Arial" w:cs="Arial"/>
          <w:lang w:val="en-GB"/>
        </w:rPr>
        <w:t xml:space="preserve">serve as the </w:t>
      </w:r>
      <w:r w:rsidR="00082771" w:rsidRPr="00111946">
        <w:rPr>
          <w:rFonts w:ascii="Arial" w:hAnsi="Arial" w:cs="Arial"/>
          <w:lang w:val="en-GB"/>
        </w:rPr>
        <w:t xml:space="preserve">basis </w:t>
      </w:r>
      <w:r w:rsidR="008B7476" w:rsidRPr="00111946">
        <w:rPr>
          <w:rFonts w:ascii="Arial" w:hAnsi="Arial" w:cs="Arial"/>
          <w:lang w:val="en-GB"/>
        </w:rPr>
        <w:t>of the diagnosis, i</w:t>
      </w:r>
      <w:r w:rsidRPr="00111946">
        <w:rPr>
          <w:rFonts w:ascii="Arial" w:hAnsi="Arial" w:cs="Arial"/>
          <w:lang w:val="en-GB"/>
        </w:rPr>
        <w:t>maging and</w:t>
      </w:r>
      <w:r w:rsidR="00753C78" w:rsidRPr="00111946">
        <w:rPr>
          <w:rFonts w:ascii="Arial" w:hAnsi="Arial" w:cs="Arial"/>
          <w:lang w:val="en-GB"/>
        </w:rPr>
        <w:t>/or</w:t>
      </w:r>
      <w:r w:rsidRPr="00111946">
        <w:rPr>
          <w:rFonts w:ascii="Arial" w:hAnsi="Arial" w:cs="Arial"/>
          <w:lang w:val="en-GB"/>
        </w:rPr>
        <w:t xml:space="preserve"> cerebrospinal fluid (CSF)</w:t>
      </w:r>
      <w:r w:rsidR="00F5100A" w:rsidRPr="00111946">
        <w:rPr>
          <w:rFonts w:ascii="Arial" w:hAnsi="Arial" w:cs="Arial"/>
          <w:lang w:val="en-GB"/>
        </w:rPr>
        <w:t xml:space="preserve"> biomarkers </w:t>
      </w:r>
      <w:r w:rsidRPr="00111946">
        <w:rPr>
          <w:rFonts w:ascii="Arial" w:hAnsi="Arial" w:cs="Arial"/>
          <w:lang w:val="en-GB"/>
        </w:rPr>
        <w:t xml:space="preserve">are </w:t>
      </w:r>
      <w:r w:rsidR="00753C78" w:rsidRPr="00111946">
        <w:rPr>
          <w:rFonts w:ascii="Arial" w:hAnsi="Arial" w:cs="Arial"/>
          <w:lang w:val="en-GB"/>
        </w:rPr>
        <w:t>required</w:t>
      </w:r>
      <w:r w:rsidR="008B7476" w:rsidRPr="00111946">
        <w:rPr>
          <w:rFonts w:ascii="Arial" w:hAnsi="Arial" w:cs="Arial"/>
          <w:lang w:val="en-GB"/>
        </w:rPr>
        <w:t xml:space="preserve"> for the </w:t>
      </w:r>
      <w:r w:rsidR="00753C78" w:rsidRPr="00111946">
        <w:rPr>
          <w:rFonts w:ascii="Arial" w:hAnsi="Arial" w:cs="Arial"/>
          <w:lang w:val="en-GB"/>
        </w:rPr>
        <w:t xml:space="preserve">pathophysiological diagnosis of the </w:t>
      </w:r>
      <w:r w:rsidR="008B7476" w:rsidRPr="00111946">
        <w:rPr>
          <w:rFonts w:ascii="Arial" w:hAnsi="Arial" w:cs="Arial"/>
          <w:lang w:val="en-GB"/>
        </w:rPr>
        <w:t>disease</w:t>
      </w:r>
      <w:r w:rsidR="00753C78" w:rsidRPr="00111946">
        <w:rPr>
          <w:rFonts w:ascii="Arial" w:hAnsi="Arial" w:cs="Arial"/>
          <w:lang w:val="en-GB"/>
        </w:rPr>
        <w:t xml:space="preserve"> </w:t>
      </w:r>
      <w:r w:rsidR="00F5100A" w:rsidRPr="00111946">
        <w:rPr>
          <w:rFonts w:ascii="Arial" w:hAnsi="Arial" w:cs="Arial"/>
          <w:lang w:val="en-GB"/>
        </w:rPr>
        <w:t>(</w:t>
      </w:r>
      <w:hyperlink r:id="rId15" w:history="1">
        <w:r w:rsidR="00F72C4A" w:rsidRPr="00111946">
          <w:rPr>
            <w:rFonts w:ascii="Arial" w:hAnsi="Arial" w:cs="Arial"/>
            <w:highlight w:val="lightGray"/>
            <w:lang w:val="en-GB"/>
          </w:rPr>
          <w:t>doi.org/10.1016/j.jalz.2018.02.018</w:t>
        </w:r>
      </w:hyperlink>
      <w:r w:rsidR="00F72C4A" w:rsidRPr="00111946">
        <w:rPr>
          <w:rFonts w:ascii="Arial" w:hAnsi="Arial" w:cs="Arial"/>
          <w:lang w:val="en-GB"/>
        </w:rPr>
        <w:t xml:space="preserve">; </w:t>
      </w:r>
      <w:r w:rsidR="00F72C4A" w:rsidRPr="00111946">
        <w:rPr>
          <w:rFonts w:ascii="Arial" w:hAnsi="Arial" w:cs="Arial"/>
          <w:highlight w:val="lightGray"/>
          <w:lang w:val="en-GB"/>
        </w:rPr>
        <w:t>doi.org/10.1016/S1474-4422(14)70090-0</w:t>
      </w:r>
      <w:r w:rsidR="00F5100A" w:rsidRPr="00111946">
        <w:rPr>
          <w:rFonts w:ascii="Arial" w:hAnsi="Arial" w:cs="Arial"/>
          <w:lang w:val="en-GB"/>
        </w:rPr>
        <w:t>)</w:t>
      </w:r>
      <w:r w:rsidR="008B7476" w:rsidRPr="00111946">
        <w:rPr>
          <w:rFonts w:ascii="Arial" w:hAnsi="Arial" w:cs="Arial"/>
          <w:lang w:val="en-GB"/>
        </w:rPr>
        <w:t xml:space="preserve"> </w:t>
      </w:r>
      <w:r w:rsidR="00F5100A" w:rsidRPr="00111946">
        <w:rPr>
          <w:rFonts w:ascii="Arial" w:hAnsi="Arial" w:cs="Arial"/>
          <w:lang w:val="en-GB"/>
        </w:rPr>
        <w:t>(</w:t>
      </w:r>
      <w:r w:rsidR="00F72C4A" w:rsidRPr="00111946">
        <w:rPr>
          <w:rFonts w:ascii="Arial" w:hAnsi="Arial" w:cs="Arial"/>
          <w:highlight w:val="lightGray"/>
          <w:lang w:val="en-GB"/>
        </w:rPr>
        <w:t>doi.org/10.1038/nrneurol.2014.232</w:t>
      </w:r>
      <w:r w:rsidR="00F5100A" w:rsidRPr="00111946">
        <w:rPr>
          <w:rFonts w:ascii="Arial" w:hAnsi="Arial" w:cs="Arial"/>
          <w:lang w:val="en-GB"/>
        </w:rPr>
        <w:t>)</w:t>
      </w:r>
      <w:r w:rsidR="008B7476" w:rsidRPr="00111946">
        <w:rPr>
          <w:rFonts w:ascii="Arial" w:hAnsi="Arial" w:cs="Arial"/>
          <w:lang w:val="en-GB"/>
        </w:rPr>
        <w:t>.</w:t>
      </w:r>
      <w:r w:rsidR="0064077B" w:rsidRPr="00111946">
        <w:rPr>
          <w:rFonts w:ascii="Arial" w:hAnsi="Arial" w:cs="Arial"/>
          <w:lang w:val="en-GB"/>
        </w:rPr>
        <w:t xml:space="preserve"> </w:t>
      </w:r>
    </w:p>
    <w:p w14:paraId="236F2C65" w14:textId="14008689" w:rsidR="00BC0C5C" w:rsidRPr="00726091" w:rsidRDefault="008B7476" w:rsidP="00BC0C5C">
      <w:pPr>
        <w:spacing w:line="480" w:lineRule="auto"/>
        <w:jc w:val="both"/>
        <w:rPr>
          <w:rFonts w:ascii="Arial" w:hAnsi="Arial" w:cs="Arial"/>
          <w:lang w:val="en-GB"/>
        </w:rPr>
      </w:pPr>
      <w:r w:rsidRPr="00111946">
        <w:rPr>
          <w:rFonts w:ascii="Arial" w:hAnsi="Arial" w:cs="Arial"/>
          <w:lang w:val="en-GB"/>
        </w:rPr>
        <w:t>Amyloid-beta (Aβ) plaques and hyperphosphorylated tau protein aggregation in intracellular neurofibrillary tangles are two significant neuropathological hallmarks of AD</w:t>
      </w:r>
      <w:r w:rsidR="00F5100A" w:rsidRPr="00111946">
        <w:rPr>
          <w:rFonts w:ascii="Arial" w:hAnsi="Arial" w:cs="Arial"/>
          <w:lang w:val="en-GB"/>
        </w:rPr>
        <w:t xml:space="preserve"> (</w:t>
      </w:r>
      <w:r w:rsidR="00F72C4A" w:rsidRPr="00111946">
        <w:rPr>
          <w:rFonts w:ascii="Arial" w:hAnsi="Arial" w:cs="Arial"/>
          <w:highlight w:val="lightGray"/>
          <w:lang w:val="en-GB"/>
        </w:rPr>
        <w:t>doi.org/10.1038/s41583-019-0240-3</w:t>
      </w:r>
      <w:r w:rsidR="00F5100A" w:rsidRPr="00111946">
        <w:rPr>
          <w:rFonts w:ascii="Arial" w:hAnsi="Arial" w:cs="Arial"/>
          <w:lang w:val="en-GB"/>
        </w:rPr>
        <w:t>)</w:t>
      </w:r>
      <w:r w:rsidRPr="00111946">
        <w:rPr>
          <w:rFonts w:ascii="Arial" w:hAnsi="Arial" w:cs="Arial"/>
          <w:lang w:val="en-GB"/>
        </w:rPr>
        <w:t xml:space="preserve">. These processes can be monitored by measuring amyloid peptides </w:t>
      </w:r>
      <w:r w:rsidR="0089482B" w:rsidRPr="00111946">
        <w:rPr>
          <w:rFonts w:ascii="Arial" w:hAnsi="Arial" w:cs="Arial"/>
          <w:lang w:val="en-GB"/>
        </w:rPr>
        <w:t>(</w:t>
      </w:r>
      <w:r w:rsidRPr="00111946">
        <w:rPr>
          <w:rFonts w:ascii="Arial" w:hAnsi="Arial" w:cs="Arial"/>
          <w:lang w:val="en-GB"/>
        </w:rPr>
        <w:t>Aβ1-42 and Aβ1-40</w:t>
      </w:r>
      <w:r w:rsidR="0089482B" w:rsidRPr="00111946">
        <w:rPr>
          <w:rFonts w:ascii="Arial" w:hAnsi="Arial" w:cs="Arial"/>
          <w:lang w:val="en-GB"/>
        </w:rPr>
        <w:t>)</w:t>
      </w:r>
      <w:r w:rsidRPr="00111946">
        <w:rPr>
          <w:rFonts w:ascii="Arial" w:hAnsi="Arial" w:cs="Arial"/>
          <w:lang w:val="en-GB"/>
        </w:rPr>
        <w:t xml:space="preserve">, total Tau (t-Tau), and </w:t>
      </w:r>
      <w:proofErr w:type="spellStart"/>
      <w:r w:rsidRPr="00111946">
        <w:rPr>
          <w:rFonts w:ascii="Arial" w:hAnsi="Arial" w:cs="Arial"/>
          <w:lang w:val="en-GB"/>
        </w:rPr>
        <w:t>phospho</w:t>
      </w:r>
      <w:proofErr w:type="spellEnd"/>
      <w:r w:rsidRPr="00111946">
        <w:rPr>
          <w:rFonts w:ascii="Arial" w:hAnsi="Arial" w:cs="Arial"/>
          <w:lang w:val="en-GB"/>
        </w:rPr>
        <w:t xml:space="preserve"> Tau (p-Tau) proteins in CSF</w:t>
      </w:r>
      <w:r w:rsidR="00DA6C0F" w:rsidRPr="00111946">
        <w:rPr>
          <w:rFonts w:ascii="Arial" w:hAnsi="Arial" w:cs="Arial"/>
          <w:lang w:val="en-GB"/>
        </w:rPr>
        <w:t xml:space="preserve"> (</w:t>
      </w:r>
      <w:hyperlink r:id="rId16" w:history="1">
        <w:r w:rsidR="00DD0108" w:rsidRPr="00111946">
          <w:rPr>
            <w:rFonts w:ascii="Arial" w:hAnsi="Arial" w:cs="Arial"/>
            <w:highlight w:val="lightGray"/>
            <w:lang w:val="en-GB"/>
          </w:rPr>
          <w:t>doi.org/10.1038/nrneurol.2010.214</w:t>
        </w:r>
      </w:hyperlink>
      <w:r w:rsidR="00F72C4A" w:rsidRPr="00111946">
        <w:rPr>
          <w:rFonts w:ascii="Arial" w:hAnsi="Arial" w:cs="Arial"/>
          <w:lang w:val="en-GB"/>
        </w:rPr>
        <w:t xml:space="preserve">; </w:t>
      </w:r>
      <w:r w:rsidR="00F72C4A" w:rsidRPr="00111946">
        <w:rPr>
          <w:rFonts w:ascii="Arial" w:hAnsi="Arial" w:cs="Arial"/>
          <w:highlight w:val="lightGray"/>
          <w:lang w:val="en-GB"/>
        </w:rPr>
        <w:t>doi.org/10.1080/15622975.2017.1375556</w:t>
      </w:r>
      <w:r w:rsidR="00DA6C0F" w:rsidRPr="00111946">
        <w:rPr>
          <w:rFonts w:ascii="Arial" w:hAnsi="Arial" w:cs="Arial"/>
          <w:lang w:val="en-GB"/>
        </w:rPr>
        <w:t>)</w:t>
      </w:r>
      <w:r w:rsidRPr="00111946">
        <w:rPr>
          <w:rFonts w:ascii="Arial" w:hAnsi="Arial" w:cs="Arial"/>
          <w:lang w:val="en-GB"/>
        </w:rPr>
        <w:t xml:space="preserve">. As a result, AD patients </w:t>
      </w:r>
      <w:r w:rsidR="00111946">
        <w:rPr>
          <w:rFonts w:ascii="Arial" w:hAnsi="Arial" w:cs="Arial"/>
          <w:lang w:val="en-GB"/>
        </w:rPr>
        <w:t>present with</w:t>
      </w:r>
      <w:r w:rsidRPr="00111946">
        <w:rPr>
          <w:rFonts w:ascii="Arial" w:hAnsi="Arial" w:cs="Arial"/>
          <w:lang w:val="en-GB"/>
        </w:rPr>
        <w:t xml:space="preserve"> a </w:t>
      </w:r>
      <w:r w:rsidR="00AD5479" w:rsidRPr="00111946">
        <w:rPr>
          <w:rFonts w:ascii="Arial" w:hAnsi="Arial" w:cs="Arial"/>
          <w:lang w:val="en-GB"/>
        </w:rPr>
        <w:t xml:space="preserve">consistent and </w:t>
      </w:r>
      <w:r w:rsidR="009E198F" w:rsidRPr="00111946">
        <w:rPr>
          <w:rFonts w:ascii="Arial" w:hAnsi="Arial" w:cs="Arial"/>
          <w:lang w:val="en-GB"/>
        </w:rPr>
        <w:t>characteristic</w:t>
      </w:r>
      <w:r w:rsidRPr="00111946">
        <w:rPr>
          <w:rFonts w:ascii="Arial" w:hAnsi="Arial" w:cs="Arial"/>
          <w:lang w:val="en-GB"/>
        </w:rPr>
        <w:t xml:space="preserve"> </w:t>
      </w:r>
      <w:r w:rsidR="009E198F" w:rsidRPr="00111946">
        <w:rPr>
          <w:rFonts w:ascii="Arial" w:hAnsi="Arial" w:cs="Arial"/>
          <w:lang w:val="en-GB"/>
        </w:rPr>
        <w:t xml:space="preserve">CSF </w:t>
      </w:r>
      <w:r w:rsidRPr="00111946">
        <w:rPr>
          <w:rFonts w:ascii="Arial" w:hAnsi="Arial" w:cs="Arial"/>
          <w:lang w:val="en-GB"/>
        </w:rPr>
        <w:t xml:space="preserve">profile </w:t>
      </w:r>
      <w:r w:rsidR="001F3F07" w:rsidRPr="00111946">
        <w:rPr>
          <w:rFonts w:ascii="Arial" w:hAnsi="Arial" w:cs="Arial"/>
          <w:lang w:val="en-GB"/>
        </w:rPr>
        <w:t>with</w:t>
      </w:r>
      <w:r w:rsidRPr="00111946">
        <w:rPr>
          <w:rFonts w:ascii="Arial" w:hAnsi="Arial" w:cs="Arial"/>
          <w:lang w:val="en-GB"/>
        </w:rPr>
        <w:t xml:space="preserve"> elevated levels of </w:t>
      </w:r>
      <w:r w:rsidR="0037773F" w:rsidRPr="00111946">
        <w:rPr>
          <w:rFonts w:ascii="Arial" w:hAnsi="Arial" w:cs="Arial"/>
          <w:lang w:val="en-GB"/>
        </w:rPr>
        <w:t>t</w:t>
      </w:r>
      <w:r w:rsidRPr="00111946">
        <w:rPr>
          <w:rFonts w:ascii="Arial" w:hAnsi="Arial" w:cs="Arial"/>
          <w:lang w:val="en-GB"/>
        </w:rPr>
        <w:t xml:space="preserve">-Tau and </w:t>
      </w:r>
      <w:r w:rsidR="0037773F" w:rsidRPr="00111946">
        <w:rPr>
          <w:rFonts w:ascii="Arial" w:hAnsi="Arial" w:cs="Arial"/>
          <w:lang w:val="en-GB"/>
        </w:rPr>
        <w:t>p</w:t>
      </w:r>
      <w:r w:rsidRPr="00111946">
        <w:rPr>
          <w:rFonts w:ascii="Arial" w:hAnsi="Arial" w:cs="Arial"/>
          <w:lang w:val="en-GB"/>
        </w:rPr>
        <w:t>-Tau together with lower concentrations of Aβ1-42 and a low Aβ1-42/Aβ1-40 ratio</w:t>
      </w:r>
      <w:r w:rsidR="00C416BC" w:rsidRPr="00111946">
        <w:rPr>
          <w:rFonts w:ascii="Arial" w:hAnsi="Arial" w:cs="Arial"/>
          <w:lang w:val="en-GB"/>
        </w:rPr>
        <w:t xml:space="preserve"> compared to cognitively normal controls</w:t>
      </w:r>
      <w:r w:rsidR="00AD5479" w:rsidRPr="00111946">
        <w:rPr>
          <w:rFonts w:ascii="Arial" w:hAnsi="Arial" w:cs="Arial"/>
          <w:lang w:val="en-GB"/>
        </w:rPr>
        <w:t xml:space="preserve"> (</w:t>
      </w:r>
      <w:r w:rsidR="00480829" w:rsidRPr="00480829">
        <w:rPr>
          <w:rFonts w:ascii="Arial" w:hAnsi="Arial" w:cs="Arial"/>
          <w:highlight w:val="lightGray"/>
          <w:lang w:val="en-GB"/>
        </w:rPr>
        <w:t>doi: 10.1002/alz.12545</w:t>
      </w:r>
      <w:r w:rsidR="00AD5479" w:rsidRPr="00111946">
        <w:rPr>
          <w:rFonts w:ascii="Arial" w:hAnsi="Arial" w:cs="Arial"/>
          <w:lang w:val="en-GB"/>
        </w:rPr>
        <w:t>)</w:t>
      </w:r>
      <w:r w:rsidR="00371D02" w:rsidRPr="00111946">
        <w:rPr>
          <w:rFonts w:ascii="Arial" w:hAnsi="Arial" w:cs="Arial"/>
          <w:lang w:val="en-GB"/>
        </w:rPr>
        <w:t xml:space="preserve">. </w:t>
      </w:r>
      <w:r w:rsidR="00C4225F" w:rsidRPr="00111946">
        <w:rPr>
          <w:rFonts w:ascii="Arial" w:hAnsi="Arial" w:cs="Arial"/>
          <w:lang w:val="en-GB"/>
        </w:rPr>
        <w:t xml:space="preserve">More recently, blood-based markers (BBM) have demonstrated the potential to transform the diagnosis and prognostic assessment of AD as well as the planning of interventional trials </w:t>
      </w:r>
      <w:r w:rsidR="000175C9" w:rsidRPr="00111946">
        <w:rPr>
          <w:rFonts w:ascii="Arial" w:hAnsi="Arial" w:cs="Arial"/>
          <w:lang w:val="en-GB"/>
        </w:rPr>
        <w:t>(</w:t>
      </w:r>
      <w:proofErr w:type="spellStart"/>
      <w:r w:rsidR="008B7025" w:rsidRPr="00111946">
        <w:rPr>
          <w:rFonts w:ascii="Arial" w:hAnsi="Arial" w:cs="Arial"/>
          <w:highlight w:val="lightGray"/>
          <w:lang w:val="en-GB"/>
        </w:rPr>
        <w:t>doi</w:t>
      </w:r>
      <w:proofErr w:type="spellEnd"/>
      <w:r w:rsidR="008B7025" w:rsidRPr="00111946">
        <w:rPr>
          <w:rFonts w:ascii="Arial" w:hAnsi="Arial" w:cs="Arial"/>
          <w:highlight w:val="lightGray"/>
          <w:lang w:val="en-GB"/>
        </w:rPr>
        <w:t xml:space="preserve">: 10.1001/jamaneurol.2021.3180; </w:t>
      </w:r>
      <w:proofErr w:type="spellStart"/>
      <w:r w:rsidR="000175C9" w:rsidRPr="00111946">
        <w:rPr>
          <w:rFonts w:ascii="Arial" w:hAnsi="Arial" w:cs="Arial"/>
          <w:highlight w:val="lightGray"/>
          <w:lang w:val="en-GB"/>
        </w:rPr>
        <w:t>doi</w:t>
      </w:r>
      <w:proofErr w:type="spellEnd"/>
      <w:r w:rsidR="000175C9" w:rsidRPr="00111946">
        <w:rPr>
          <w:rFonts w:ascii="Arial" w:hAnsi="Arial" w:cs="Arial"/>
          <w:highlight w:val="lightGray"/>
          <w:lang w:val="en-GB"/>
        </w:rPr>
        <w:t>: 10.1002/alz.12756</w:t>
      </w:r>
      <w:r w:rsidR="00390560" w:rsidRPr="00111946">
        <w:rPr>
          <w:rFonts w:ascii="Arial" w:hAnsi="Arial" w:cs="Arial"/>
          <w:lang w:val="en-GB"/>
        </w:rPr>
        <w:t>).</w:t>
      </w:r>
      <w:r w:rsidR="00386E89" w:rsidRPr="00111946">
        <w:rPr>
          <w:rFonts w:ascii="Arial" w:hAnsi="Arial" w:cs="Arial"/>
          <w:lang w:val="en-GB"/>
        </w:rPr>
        <w:t xml:space="preserve"> However, </w:t>
      </w:r>
      <w:r w:rsidR="004971BB" w:rsidRPr="00111946">
        <w:rPr>
          <w:rFonts w:ascii="Arial" w:hAnsi="Arial" w:cs="Arial"/>
          <w:lang w:val="en-GB"/>
        </w:rPr>
        <w:t>and similar to what has been observed in CSF (</w:t>
      </w:r>
      <w:hyperlink r:id="rId17" w:tgtFrame="_blank" w:tooltip="Persistent link using digital object identifier" w:history="1">
        <w:r w:rsidR="00DD0108" w:rsidRPr="00111946">
          <w:rPr>
            <w:rFonts w:ascii="Arial" w:hAnsi="Arial" w:cs="Arial"/>
            <w:highlight w:val="lightGray"/>
            <w:lang w:val="en-GB"/>
          </w:rPr>
          <w:t>doi.org/10.1016/j.jalz.2018.05.008</w:t>
        </w:r>
      </w:hyperlink>
      <w:r w:rsidR="004971BB" w:rsidRPr="00111946">
        <w:rPr>
          <w:rFonts w:ascii="Arial" w:hAnsi="Arial" w:cs="Arial"/>
          <w:highlight w:val="lightGray"/>
          <w:lang w:val="en-GB"/>
        </w:rPr>
        <w:t>)</w:t>
      </w:r>
      <w:r w:rsidR="004971BB" w:rsidRPr="00111946">
        <w:rPr>
          <w:rFonts w:ascii="Arial" w:hAnsi="Arial" w:cs="Arial"/>
          <w:lang w:val="en-GB"/>
        </w:rPr>
        <w:t xml:space="preserve">, </w:t>
      </w:r>
      <w:r w:rsidR="00337A0F">
        <w:rPr>
          <w:rFonts w:ascii="Arial" w:hAnsi="Arial" w:cs="Arial"/>
          <w:lang w:val="en-GB"/>
        </w:rPr>
        <w:t>standardization of</w:t>
      </w:r>
      <w:r w:rsidRPr="00111946">
        <w:rPr>
          <w:rFonts w:ascii="Arial" w:hAnsi="Arial" w:cs="Arial"/>
          <w:lang w:val="en-GB"/>
        </w:rPr>
        <w:t xml:space="preserve"> sample </w:t>
      </w:r>
      <w:r w:rsidR="00390560" w:rsidRPr="00111946">
        <w:rPr>
          <w:rFonts w:ascii="Arial" w:hAnsi="Arial" w:cs="Arial"/>
          <w:lang w:val="en-GB"/>
        </w:rPr>
        <w:t>handling</w:t>
      </w:r>
      <w:r w:rsidRPr="00111946">
        <w:rPr>
          <w:rFonts w:ascii="Arial" w:hAnsi="Arial" w:cs="Arial"/>
          <w:lang w:val="en-GB"/>
        </w:rPr>
        <w:t xml:space="preserve"> has shown to be crucial for preventing dementia misdiagnosis</w:t>
      </w:r>
      <w:r w:rsidR="00BB18D4" w:rsidRPr="00111946">
        <w:rPr>
          <w:rFonts w:ascii="Arial" w:hAnsi="Arial" w:cs="Arial"/>
          <w:lang w:val="en-GB"/>
        </w:rPr>
        <w:t xml:space="preserve"> </w:t>
      </w:r>
      <w:r w:rsidR="009303E9" w:rsidRPr="00111946">
        <w:rPr>
          <w:rFonts w:ascii="Arial" w:hAnsi="Arial" w:cs="Arial"/>
          <w:lang w:val="en-GB"/>
        </w:rPr>
        <w:t>(</w:t>
      </w:r>
      <w:r w:rsidR="00A02F35" w:rsidRPr="00A02F35">
        <w:rPr>
          <w:rFonts w:ascii="Arial" w:hAnsi="Arial" w:cs="Arial"/>
          <w:highlight w:val="lightGray"/>
          <w:lang w:val="en-GB"/>
        </w:rPr>
        <w:t>doi: 10.1002/alz.12510</w:t>
      </w:r>
      <w:r w:rsidR="009303E9" w:rsidRPr="00111946">
        <w:rPr>
          <w:rFonts w:ascii="Arial" w:hAnsi="Arial" w:cs="Arial"/>
          <w:lang w:val="en-GB"/>
        </w:rPr>
        <w:t xml:space="preserve">). </w:t>
      </w:r>
      <w:r w:rsidR="00A15338" w:rsidRPr="00111946">
        <w:rPr>
          <w:rFonts w:ascii="Arial" w:hAnsi="Arial" w:cs="Arial"/>
          <w:lang w:val="en-GB"/>
        </w:rPr>
        <w:t>In that regard</w:t>
      </w:r>
      <w:r w:rsidR="00671EA0" w:rsidRPr="00111946">
        <w:rPr>
          <w:rFonts w:ascii="Arial" w:hAnsi="Arial" w:cs="Arial"/>
          <w:lang w:val="en-GB"/>
        </w:rPr>
        <w:t xml:space="preserve">, understanding the effects of pre-analytical </w:t>
      </w:r>
      <w:r w:rsidR="00390560" w:rsidRPr="00111946">
        <w:rPr>
          <w:rFonts w:ascii="Arial" w:hAnsi="Arial" w:cs="Arial"/>
          <w:lang w:val="en-GB"/>
        </w:rPr>
        <w:t>conditions</w:t>
      </w:r>
      <w:r w:rsidR="00671EA0" w:rsidRPr="00111946">
        <w:rPr>
          <w:rFonts w:ascii="Arial" w:hAnsi="Arial" w:cs="Arial"/>
          <w:lang w:val="en-GB"/>
        </w:rPr>
        <w:t xml:space="preserve"> on </w:t>
      </w:r>
      <w:r w:rsidR="00A15338" w:rsidRPr="00111946">
        <w:rPr>
          <w:rFonts w:ascii="Arial" w:hAnsi="Arial" w:cs="Arial"/>
          <w:lang w:val="en-GB"/>
        </w:rPr>
        <w:t>BBM</w:t>
      </w:r>
      <w:r w:rsidR="00671EA0" w:rsidRPr="00111946">
        <w:rPr>
          <w:rFonts w:ascii="Arial" w:hAnsi="Arial" w:cs="Arial"/>
          <w:lang w:val="en-GB"/>
        </w:rPr>
        <w:t xml:space="preserve"> and implementing standardized operation procedures to limit variation are critical for achieving consistency across studies, technologies, and laboratories.</w:t>
      </w:r>
      <w:r w:rsidR="00ED6638" w:rsidRPr="00111946">
        <w:rPr>
          <w:rFonts w:ascii="Arial" w:hAnsi="Arial" w:cs="Arial"/>
          <w:lang w:val="en-GB"/>
        </w:rPr>
        <w:t xml:space="preserve"> Several studies </w:t>
      </w:r>
      <w:r w:rsidR="009E0324" w:rsidRPr="00111946">
        <w:rPr>
          <w:rFonts w:ascii="Arial" w:hAnsi="Arial" w:cs="Arial"/>
          <w:lang w:val="en-GB"/>
        </w:rPr>
        <w:t xml:space="preserve">have </w:t>
      </w:r>
      <w:r w:rsidR="00ED6638" w:rsidRPr="00111946">
        <w:rPr>
          <w:rFonts w:ascii="Arial" w:hAnsi="Arial" w:cs="Arial"/>
          <w:lang w:val="en-GB"/>
        </w:rPr>
        <w:t>explor</w:t>
      </w:r>
      <w:r w:rsidR="009E0324" w:rsidRPr="00111946">
        <w:rPr>
          <w:rFonts w:ascii="Arial" w:hAnsi="Arial" w:cs="Arial"/>
          <w:lang w:val="en-GB"/>
        </w:rPr>
        <w:t>ed</w:t>
      </w:r>
      <w:r w:rsidR="00ED6638" w:rsidRPr="00111946">
        <w:rPr>
          <w:rFonts w:ascii="Arial" w:hAnsi="Arial" w:cs="Arial"/>
          <w:lang w:val="en-GB"/>
        </w:rPr>
        <w:t xml:space="preserve"> pre-analytical stability of </w:t>
      </w:r>
      <w:r w:rsidR="00A15338" w:rsidRPr="00111946">
        <w:rPr>
          <w:rFonts w:ascii="Arial" w:hAnsi="Arial" w:cs="Arial"/>
          <w:lang w:val="en-GB"/>
        </w:rPr>
        <w:t>BBM</w:t>
      </w:r>
      <w:r w:rsidR="00C4225F" w:rsidRPr="00111946">
        <w:rPr>
          <w:rFonts w:ascii="Arial" w:hAnsi="Arial" w:cs="Arial"/>
          <w:lang w:val="en-GB"/>
        </w:rPr>
        <w:t xml:space="preserve"> including </w:t>
      </w:r>
      <w:r w:rsidR="00ED6638" w:rsidRPr="00111946">
        <w:rPr>
          <w:rFonts w:ascii="Arial" w:hAnsi="Arial" w:cs="Arial"/>
          <w:lang w:val="en-GB"/>
        </w:rPr>
        <w:t xml:space="preserve">Aβ42, Aβ40 and </w:t>
      </w:r>
      <w:proofErr w:type="spellStart"/>
      <w:r w:rsidR="00777005" w:rsidRPr="008C245D">
        <w:rPr>
          <w:rFonts w:ascii="Arial" w:hAnsi="Arial" w:cs="Arial"/>
          <w:lang w:val="en-US"/>
        </w:rPr>
        <w:t>phospho</w:t>
      </w:r>
      <w:proofErr w:type="spellEnd"/>
      <w:r w:rsidR="00777005" w:rsidRPr="008C245D">
        <w:rPr>
          <w:rFonts w:ascii="Arial" w:hAnsi="Arial" w:cs="Arial"/>
          <w:lang w:val="en-US"/>
        </w:rPr>
        <w:t xml:space="preserve"> Tau</w:t>
      </w:r>
      <w:r w:rsidR="00777005">
        <w:rPr>
          <w:rFonts w:ascii="Arial" w:hAnsi="Arial" w:cs="Arial"/>
          <w:lang w:val="en-US"/>
        </w:rPr>
        <w:t>181</w:t>
      </w:r>
      <w:r w:rsidR="00777005" w:rsidRPr="008C245D">
        <w:rPr>
          <w:rFonts w:ascii="Arial" w:hAnsi="Arial" w:cs="Arial"/>
          <w:lang w:val="en-US"/>
        </w:rPr>
        <w:t xml:space="preserve"> </w:t>
      </w:r>
      <w:r w:rsidR="00DA5618">
        <w:rPr>
          <w:rFonts w:ascii="Arial" w:hAnsi="Arial" w:cs="Arial"/>
          <w:lang w:val="en-US"/>
        </w:rPr>
        <w:t>(</w:t>
      </w:r>
      <w:r w:rsidR="00ED6638" w:rsidRPr="00111946">
        <w:rPr>
          <w:rFonts w:ascii="Arial" w:hAnsi="Arial" w:cs="Arial"/>
          <w:lang w:val="en-GB"/>
        </w:rPr>
        <w:t>p-Tau181</w:t>
      </w:r>
      <w:r w:rsidR="00DA5618">
        <w:rPr>
          <w:rFonts w:ascii="Arial" w:hAnsi="Arial" w:cs="Arial"/>
          <w:lang w:val="en-GB"/>
        </w:rPr>
        <w:t>)</w:t>
      </w:r>
      <w:r w:rsidR="00ED6638" w:rsidRPr="00111946">
        <w:rPr>
          <w:rFonts w:ascii="Arial" w:hAnsi="Arial" w:cs="Arial"/>
          <w:lang w:val="en-GB"/>
        </w:rPr>
        <w:t xml:space="preserve"> (</w:t>
      </w:r>
      <w:proofErr w:type="spellStart"/>
      <w:r w:rsidR="00A02F35" w:rsidRPr="00216B9E">
        <w:rPr>
          <w:rFonts w:ascii="Arial" w:hAnsi="Arial" w:cs="Arial"/>
          <w:highlight w:val="lightGray"/>
          <w:lang w:val="en-GB"/>
        </w:rPr>
        <w:t>doi</w:t>
      </w:r>
      <w:proofErr w:type="spellEnd"/>
      <w:r w:rsidR="00A02F35" w:rsidRPr="00216B9E">
        <w:rPr>
          <w:rFonts w:ascii="Arial" w:hAnsi="Arial" w:cs="Arial"/>
          <w:highlight w:val="lightGray"/>
          <w:lang w:val="en-GB"/>
        </w:rPr>
        <w:t>: 10.1016/j.dadm.2019.02.002</w:t>
      </w:r>
      <w:r w:rsidR="00ED6638" w:rsidRPr="00111946">
        <w:rPr>
          <w:rFonts w:ascii="Arial" w:hAnsi="Arial" w:cs="Arial"/>
          <w:highlight w:val="lightGray"/>
          <w:lang w:val="en-GB"/>
        </w:rPr>
        <w:t xml:space="preserve">; </w:t>
      </w:r>
      <w:proofErr w:type="spellStart"/>
      <w:r w:rsidR="00A02F35" w:rsidRPr="00216B9E">
        <w:rPr>
          <w:rFonts w:ascii="Arial" w:hAnsi="Arial" w:cs="Arial"/>
          <w:highlight w:val="lightGray"/>
          <w:lang w:val="en-GB"/>
        </w:rPr>
        <w:t>doi</w:t>
      </w:r>
      <w:proofErr w:type="spellEnd"/>
      <w:r w:rsidR="00A02F35" w:rsidRPr="00216B9E">
        <w:rPr>
          <w:rFonts w:ascii="Arial" w:hAnsi="Arial" w:cs="Arial"/>
          <w:highlight w:val="lightGray"/>
          <w:lang w:val="en-GB"/>
        </w:rPr>
        <w:t>: 10.1002/dad2.12168</w:t>
      </w:r>
      <w:r w:rsidR="00ED6638" w:rsidRPr="00111946">
        <w:rPr>
          <w:rFonts w:ascii="Arial" w:hAnsi="Arial" w:cs="Arial"/>
          <w:highlight w:val="lightGray"/>
          <w:lang w:val="en-GB"/>
        </w:rPr>
        <w:t xml:space="preserve">; </w:t>
      </w:r>
      <w:proofErr w:type="spellStart"/>
      <w:r w:rsidR="00A02F35" w:rsidRPr="00216B9E">
        <w:rPr>
          <w:rFonts w:ascii="Arial" w:hAnsi="Arial" w:cs="Arial"/>
          <w:highlight w:val="lightGray"/>
          <w:lang w:val="en-GB"/>
        </w:rPr>
        <w:t>doi</w:t>
      </w:r>
      <w:proofErr w:type="spellEnd"/>
      <w:r w:rsidR="00A02F35" w:rsidRPr="00216B9E">
        <w:rPr>
          <w:rFonts w:ascii="Arial" w:hAnsi="Arial" w:cs="Arial"/>
          <w:highlight w:val="lightGray"/>
          <w:lang w:val="en-GB"/>
        </w:rPr>
        <w:t xml:space="preserve">: </w:t>
      </w:r>
      <w:r w:rsidR="00A02F35" w:rsidRPr="00216B9E">
        <w:rPr>
          <w:rFonts w:ascii="Arial" w:hAnsi="Arial" w:cs="Arial"/>
          <w:highlight w:val="lightGray"/>
          <w:lang w:val="en-GB"/>
        </w:rPr>
        <w:lastRenderedPageBreak/>
        <w:t>10.3233/JAD-200777</w:t>
      </w:r>
      <w:r w:rsidR="00ED6638" w:rsidRPr="00111946">
        <w:rPr>
          <w:rFonts w:ascii="Arial" w:hAnsi="Arial" w:cs="Arial"/>
          <w:highlight w:val="lightGray"/>
          <w:lang w:val="en-GB"/>
        </w:rPr>
        <w:t xml:space="preserve">; </w:t>
      </w:r>
      <w:proofErr w:type="spellStart"/>
      <w:r w:rsidR="00216B9E" w:rsidRPr="00216B9E">
        <w:rPr>
          <w:rFonts w:ascii="Arial" w:hAnsi="Arial" w:cs="Arial"/>
          <w:highlight w:val="lightGray"/>
          <w:lang w:val="en-GB"/>
        </w:rPr>
        <w:t>doi</w:t>
      </w:r>
      <w:proofErr w:type="spellEnd"/>
      <w:r w:rsidR="00216B9E" w:rsidRPr="00216B9E">
        <w:rPr>
          <w:rFonts w:ascii="Arial" w:hAnsi="Arial" w:cs="Arial"/>
          <w:highlight w:val="lightGray"/>
          <w:lang w:val="en-GB"/>
        </w:rPr>
        <w:t>: 10.1159/000509358</w:t>
      </w:r>
      <w:r w:rsidR="00ED6638" w:rsidRPr="00111946">
        <w:rPr>
          <w:rFonts w:ascii="Arial" w:hAnsi="Arial" w:cs="Arial"/>
          <w:highlight w:val="lightGray"/>
          <w:lang w:val="en-GB"/>
        </w:rPr>
        <w:t xml:space="preserve">; </w:t>
      </w:r>
      <w:proofErr w:type="spellStart"/>
      <w:r w:rsidR="00216B9E" w:rsidRPr="00216B9E">
        <w:rPr>
          <w:rFonts w:ascii="Arial" w:hAnsi="Arial" w:cs="Arial"/>
          <w:highlight w:val="lightGray"/>
          <w:lang w:val="en-GB"/>
        </w:rPr>
        <w:t>doi</w:t>
      </w:r>
      <w:proofErr w:type="spellEnd"/>
      <w:r w:rsidR="00216B9E" w:rsidRPr="00216B9E">
        <w:rPr>
          <w:rFonts w:ascii="Arial" w:hAnsi="Arial" w:cs="Arial"/>
          <w:highlight w:val="lightGray"/>
          <w:lang w:val="en-GB"/>
        </w:rPr>
        <w:t>: 10.1016/j.dadm.2018.06.001.</w:t>
      </w:r>
      <w:r w:rsidR="00ED6638" w:rsidRPr="00111946">
        <w:rPr>
          <w:rFonts w:ascii="Arial" w:hAnsi="Arial" w:cs="Arial"/>
          <w:highlight w:val="lightGray"/>
          <w:lang w:val="en-GB"/>
        </w:rPr>
        <w:t xml:space="preserve">; </w:t>
      </w:r>
      <w:r w:rsidR="00216B9E" w:rsidRPr="00216B9E">
        <w:rPr>
          <w:rFonts w:ascii="Arial" w:hAnsi="Arial" w:cs="Arial"/>
          <w:highlight w:val="lightGray"/>
          <w:lang w:val="en-GB"/>
        </w:rPr>
        <w:t>doi: 10.1159/000506278</w:t>
      </w:r>
      <w:r w:rsidR="00991BE9" w:rsidRPr="00111946">
        <w:rPr>
          <w:rFonts w:ascii="Arial" w:hAnsi="Arial" w:cs="Arial"/>
          <w:highlight w:val="lightGray"/>
          <w:lang w:val="en-GB"/>
        </w:rPr>
        <w:t xml:space="preserve">; </w:t>
      </w:r>
      <w:proofErr w:type="spellStart"/>
      <w:r w:rsidR="00A02F35" w:rsidRPr="00A02F35">
        <w:rPr>
          <w:rFonts w:ascii="Arial" w:hAnsi="Arial" w:cs="Arial"/>
          <w:highlight w:val="lightGray"/>
          <w:lang w:val="en-GB"/>
        </w:rPr>
        <w:t>doi</w:t>
      </w:r>
      <w:proofErr w:type="spellEnd"/>
      <w:r w:rsidR="00A02F35" w:rsidRPr="00A02F35">
        <w:rPr>
          <w:rFonts w:ascii="Arial" w:hAnsi="Arial" w:cs="Arial"/>
          <w:highlight w:val="lightGray"/>
          <w:lang w:val="en-GB"/>
        </w:rPr>
        <w:t>: 10.1002/alz.12510</w:t>
      </w:r>
      <w:r w:rsidR="00E03DB5">
        <w:rPr>
          <w:rFonts w:ascii="Arial" w:hAnsi="Arial" w:cs="Arial"/>
          <w:highlight w:val="lightGray"/>
          <w:lang w:val="en-GB"/>
        </w:rPr>
        <w:t xml:space="preserve">; </w:t>
      </w:r>
      <w:r w:rsidR="00E03DB5" w:rsidRPr="00E03DB5">
        <w:rPr>
          <w:rFonts w:ascii="Arial" w:hAnsi="Arial" w:cs="Arial"/>
          <w:highlight w:val="lightGray"/>
          <w:lang w:val="en-GB"/>
        </w:rPr>
        <w:t>doi.org/10.1515/cclm-2022-0770</w:t>
      </w:r>
      <w:r w:rsidR="00ED6638" w:rsidRPr="00111946">
        <w:rPr>
          <w:rFonts w:ascii="Arial" w:hAnsi="Arial" w:cs="Arial"/>
          <w:lang w:val="en-GB"/>
        </w:rPr>
        <w:t>)</w:t>
      </w:r>
      <w:r w:rsidR="00974EF2" w:rsidRPr="00111946">
        <w:rPr>
          <w:rFonts w:ascii="Arial" w:hAnsi="Arial" w:cs="Arial"/>
          <w:lang w:val="en-GB"/>
        </w:rPr>
        <w:t>.</w:t>
      </w:r>
      <w:r w:rsidR="00ED6638" w:rsidRPr="00111946">
        <w:rPr>
          <w:rFonts w:ascii="Arial" w:hAnsi="Arial" w:cs="Arial"/>
          <w:lang w:val="en-GB"/>
        </w:rPr>
        <w:t xml:space="preserve"> </w:t>
      </w:r>
      <w:r w:rsidR="00974EF2" w:rsidRPr="00111946">
        <w:rPr>
          <w:rFonts w:ascii="Arial" w:hAnsi="Arial" w:cs="Arial"/>
          <w:lang w:val="en-GB"/>
        </w:rPr>
        <w:t>H</w:t>
      </w:r>
      <w:r w:rsidR="00507631" w:rsidRPr="00111946">
        <w:rPr>
          <w:rFonts w:ascii="Arial" w:hAnsi="Arial" w:cs="Arial"/>
          <w:lang w:val="en-GB"/>
        </w:rPr>
        <w:t xml:space="preserve">owever, studies investigating such effects in more heterogeneous populations are still scarce. </w:t>
      </w:r>
      <w:r w:rsidR="0037773F" w:rsidRPr="00111946">
        <w:rPr>
          <w:rFonts w:ascii="Arial" w:hAnsi="Arial" w:cs="Arial"/>
          <w:lang w:val="en-GB"/>
        </w:rPr>
        <w:t>Another major question for the study of BBM is the type of sample to be used.</w:t>
      </w:r>
      <w:r w:rsidR="00991BE9" w:rsidRPr="00111946">
        <w:rPr>
          <w:rFonts w:ascii="Arial" w:hAnsi="Arial" w:cs="Arial"/>
          <w:lang w:val="en-GB"/>
        </w:rPr>
        <w:t xml:space="preserve"> </w:t>
      </w:r>
      <w:r w:rsidR="00D50254">
        <w:rPr>
          <w:rFonts w:ascii="Arial" w:hAnsi="Arial" w:cs="Arial"/>
          <w:lang w:val="en-GB"/>
        </w:rPr>
        <w:t>T</w:t>
      </w:r>
      <w:r w:rsidR="00D50254" w:rsidRPr="00111946">
        <w:rPr>
          <w:rFonts w:ascii="Arial" w:hAnsi="Arial" w:cs="Arial"/>
          <w:lang w:val="en-GB"/>
        </w:rPr>
        <w:t>he</w:t>
      </w:r>
      <w:r w:rsidR="00D50254" w:rsidRPr="00111946">
        <w:rPr>
          <w:rFonts w:ascii="Arial" w:hAnsi="Arial" w:cs="Arial"/>
          <w:shd w:val="clear" w:color="auto" w:fill="FFFFFF"/>
          <w:lang w:val="en-GB"/>
        </w:rPr>
        <w:t xml:space="preserve"> most common matrix in dementia biobanks </w:t>
      </w:r>
      <w:r w:rsidR="00D50254">
        <w:rPr>
          <w:rFonts w:ascii="Arial" w:hAnsi="Arial" w:cs="Arial"/>
          <w:shd w:val="clear" w:color="auto" w:fill="FFFFFF"/>
          <w:lang w:val="en-GB"/>
        </w:rPr>
        <w:t>is p</w:t>
      </w:r>
      <w:r w:rsidR="0043538D" w:rsidRPr="00111946">
        <w:rPr>
          <w:rFonts w:ascii="Arial" w:hAnsi="Arial" w:cs="Arial"/>
          <w:lang w:val="en-GB"/>
        </w:rPr>
        <w:t>lasma</w:t>
      </w:r>
      <w:r w:rsidR="00D50254">
        <w:rPr>
          <w:rFonts w:ascii="Arial" w:hAnsi="Arial" w:cs="Arial"/>
          <w:shd w:val="clear" w:color="auto" w:fill="FFFFFF"/>
          <w:lang w:val="en-GB"/>
        </w:rPr>
        <w:t xml:space="preserve">, usually </w:t>
      </w:r>
      <w:r w:rsidR="00726091" w:rsidRPr="00111946">
        <w:rPr>
          <w:rFonts w:ascii="Arial" w:hAnsi="Arial" w:cs="Arial"/>
          <w:shd w:val="clear" w:color="auto" w:fill="FFFFFF"/>
          <w:lang w:val="en-GB"/>
        </w:rPr>
        <w:t xml:space="preserve">derived from blood collected in </w:t>
      </w:r>
      <w:r w:rsidR="00726091">
        <w:rPr>
          <w:rFonts w:ascii="Arial" w:hAnsi="Arial" w:cs="Arial"/>
          <w:shd w:val="clear" w:color="auto" w:fill="FFFFFF"/>
          <w:lang w:val="en-GB"/>
        </w:rPr>
        <w:t xml:space="preserve">tubes containing </w:t>
      </w:r>
      <w:r w:rsidR="00726091" w:rsidRPr="00111946">
        <w:rPr>
          <w:rFonts w:ascii="Arial" w:hAnsi="Arial" w:cs="Arial"/>
          <w:lang w:val="en-GB"/>
        </w:rPr>
        <w:t>ethylene</w:t>
      </w:r>
      <w:r w:rsidR="00726091">
        <w:rPr>
          <w:rFonts w:ascii="Arial" w:hAnsi="Arial" w:cs="Arial"/>
          <w:lang w:val="en-GB"/>
        </w:rPr>
        <w:t xml:space="preserve"> </w:t>
      </w:r>
      <w:r w:rsidR="00726091" w:rsidRPr="00111946">
        <w:rPr>
          <w:rFonts w:ascii="Arial" w:hAnsi="Arial" w:cs="Arial"/>
          <w:lang w:val="en-GB"/>
        </w:rPr>
        <w:t>diamine</w:t>
      </w:r>
      <w:r w:rsidR="00726091">
        <w:rPr>
          <w:rFonts w:ascii="Arial" w:hAnsi="Arial" w:cs="Arial"/>
          <w:lang w:val="en-GB"/>
        </w:rPr>
        <w:t xml:space="preserve"> </w:t>
      </w:r>
      <w:r w:rsidR="00726091" w:rsidRPr="00111946">
        <w:rPr>
          <w:rFonts w:ascii="Arial" w:hAnsi="Arial" w:cs="Arial"/>
          <w:lang w:val="en-GB"/>
        </w:rPr>
        <w:t>tetra</w:t>
      </w:r>
      <w:r w:rsidR="00726091">
        <w:rPr>
          <w:rFonts w:ascii="Arial" w:hAnsi="Arial" w:cs="Arial"/>
          <w:lang w:val="en-GB"/>
        </w:rPr>
        <w:t xml:space="preserve"> </w:t>
      </w:r>
      <w:r w:rsidR="00726091" w:rsidRPr="00111946">
        <w:rPr>
          <w:rFonts w:ascii="Arial" w:hAnsi="Arial" w:cs="Arial"/>
          <w:lang w:val="en-GB"/>
        </w:rPr>
        <w:t>acetic acid (</w:t>
      </w:r>
      <w:r w:rsidR="00726091" w:rsidRPr="00111946">
        <w:rPr>
          <w:rFonts w:ascii="Arial" w:hAnsi="Arial" w:cs="Arial"/>
          <w:shd w:val="clear" w:color="auto" w:fill="FFFFFF"/>
          <w:lang w:val="en-GB"/>
        </w:rPr>
        <w:t>EDTA)</w:t>
      </w:r>
      <w:r w:rsidR="00F42C0A">
        <w:rPr>
          <w:rFonts w:ascii="Arial" w:hAnsi="Arial" w:cs="Arial"/>
          <w:lang w:val="en-GB"/>
        </w:rPr>
        <w:t xml:space="preserve"> </w:t>
      </w:r>
      <w:r w:rsidR="0096670A" w:rsidRPr="00111946">
        <w:rPr>
          <w:rFonts w:ascii="Arial" w:hAnsi="Arial" w:cs="Arial"/>
          <w:shd w:val="clear" w:color="auto" w:fill="FFFFFF"/>
          <w:lang w:val="en-GB"/>
        </w:rPr>
        <w:t>(</w:t>
      </w:r>
      <w:proofErr w:type="spellStart"/>
      <w:r w:rsidR="00A02F35" w:rsidRPr="00A02F35">
        <w:rPr>
          <w:rFonts w:ascii="Arial" w:hAnsi="Arial" w:cs="Arial"/>
          <w:highlight w:val="lightGray"/>
          <w:lang w:val="en-GB"/>
        </w:rPr>
        <w:t>doi</w:t>
      </w:r>
      <w:proofErr w:type="spellEnd"/>
      <w:r w:rsidR="00A02F35" w:rsidRPr="00A02F35">
        <w:rPr>
          <w:rFonts w:ascii="Arial" w:hAnsi="Arial" w:cs="Arial"/>
          <w:highlight w:val="lightGray"/>
          <w:lang w:val="en-GB"/>
        </w:rPr>
        <w:t>: 10.1002/alz.12510</w:t>
      </w:r>
      <w:r w:rsidR="0096670A" w:rsidRPr="00111946">
        <w:rPr>
          <w:rFonts w:ascii="Arial" w:hAnsi="Arial" w:cs="Arial"/>
          <w:shd w:val="clear" w:color="auto" w:fill="FFFFFF"/>
          <w:lang w:val="en-GB"/>
        </w:rPr>
        <w:t>)</w:t>
      </w:r>
      <w:r w:rsidR="009761F5" w:rsidRPr="00111946">
        <w:rPr>
          <w:rFonts w:ascii="Arial" w:hAnsi="Arial" w:cs="Arial"/>
          <w:shd w:val="clear" w:color="auto" w:fill="FFFFFF"/>
          <w:lang w:val="en-GB"/>
        </w:rPr>
        <w:t xml:space="preserve">. Nonetheless, </w:t>
      </w:r>
      <w:r w:rsidR="00A13449" w:rsidRPr="00111946">
        <w:rPr>
          <w:rFonts w:ascii="Arial" w:hAnsi="Arial" w:cs="Arial"/>
          <w:shd w:val="clear" w:color="auto" w:fill="FFFFFF"/>
          <w:lang w:val="en-GB"/>
        </w:rPr>
        <w:t xml:space="preserve">other matrices such as </w:t>
      </w:r>
      <w:r w:rsidR="009761F5" w:rsidRPr="00111946">
        <w:rPr>
          <w:rFonts w:ascii="Arial" w:hAnsi="Arial" w:cs="Arial"/>
          <w:shd w:val="clear" w:color="auto" w:fill="FFFFFF"/>
          <w:lang w:val="en-GB"/>
        </w:rPr>
        <w:t>serum</w:t>
      </w:r>
      <w:r w:rsidR="004901AE">
        <w:rPr>
          <w:rFonts w:ascii="Arial" w:hAnsi="Arial" w:cs="Arial"/>
          <w:shd w:val="clear" w:color="auto" w:fill="FFFFFF"/>
          <w:lang w:val="en-GB"/>
        </w:rPr>
        <w:t xml:space="preserve"> </w:t>
      </w:r>
      <w:r w:rsidR="00C1020E">
        <w:rPr>
          <w:rFonts w:ascii="Arial" w:hAnsi="Arial" w:cs="Arial"/>
          <w:shd w:val="clear" w:color="auto" w:fill="FFFFFF"/>
          <w:lang w:val="en-GB"/>
        </w:rPr>
        <w:t>are regularly</w:t>
      </w:r>
      <w:r w:rsidR="00772186" w:rsidRPr="00111946">
        <w:rPr>
          <w:rFonts w:ascii="Arial" w:hAnsi="Arial" w:cs="Arial"/>
          <w:shd w:val="clear" w:color="auto" w:fill="FFFFFF"/>
          <w:lang w:val="en-GB"/>
        </w:rPr>
        <w:t xml:space="preserve"> </w:t>
      </w:r>
      <w:r w:rsidR="00C1020E">
        <w:rPr>
          <w:rFonts w:ascii="Arial" w:hAnsi="Arial" w:cs="Arial"/>
          <w:shd w:val="clear" w:color="auto" w:fill="FFFFFF"/>
          <w:lang w:val="en-GB"/>
        </w:rPr>
        <w:t>used</w:t>
      </w:r>
      <w:r w:rsidR="00772186" w:rsidRPr="00111946">
        <w:rPr>
          <w:rFonts w:ascii="Arial" w:hAnsi="Arial" w:cs="Arial"/>
          <w:shd w:val="clear" w:color="auto" w:fill="FFFFFF"/>
          <w:lang w:val="en-GB"/>
        </w:rPr>
        <w:t xml:space="preserve"> </w:t>
      </w:r>
      <w:r w:rsidR="009761F5" w:rsidRPr="00111946">
        <w:rPr>
          <w:rFonts w:ascii="Arial" w:hAnsi="Arial" w:cs="Arial"/>
          <w:shd w:val="clear" w:color="auto" w:fill="FFFFFF"/>
          <w:lang w:val="en-GB"/>
        </w:rPr>
        <w:t>in clinical laborator</w:t>
      </w:r>
      <w:r w:rsidR="00253D1F">
        <w:rPr>
          <w:rFonts w:ascii="Arial" w:hAnsi="Arial" w:cs="Arial"/>
          <w:shd w:val="clear" w:color="auto" w:fill="FFFFFF"/>
          <w:lang w:val="en-GB"/>
        </w:rPr>
        <w:t>ies</w:t>
      </w:r>
      <w:r w:rsidR="00726091">
        <w:rPr>
          <w:rFonts w:ascii="Arial" w:hAnsi="Arial" w:cs="Arial"/>
          <w:shd w:val="clear" w:color="auto" w:fill="FFFFFF"/>
          <w:lang w:val="en-GB"/>
        </w:rPr>
        <w:t>.</w:t>
      </w:r>
      <w:r w:rsidR="009761F5" w:rsidRPr="00111946">
        <w:rPr>
          <w:rFonts w:ascii="Arial" w:hAnsi="Arial" w:cs="Arial"/>
          <w:shd w:val="clear" w:color="auto" w:fill="FFFFFF"/>
          <w:lang w:val="en-GB"/>
        </w:rPr>
        <w:t xml:space="preserve"> </w:t>
      </w:r>
      <w:r w:rsidR="00726091">
        <w:rPr>
          <w:rFonts w:ascii="Arial" w:hAnsi="Arial" w:cs="Arial"/>
          <w:shd w:val="clear" w:color="auto" w:fill="FFFFFF"/>
          <w:lang w:val="en-GB"/>
        </w:rPr>
        <w:t>T</w:t>
      </w:r>
      <w:r w:rsidR="00253D1F">
        <w:rPr>
          <w:rFonts w:ascii="Arial" w:hAnsi="Arial" w:cs="Arial"/>
          <w:shd w:val="clear" w:color="auto" w:fill="FFFFFF"/>
          <w:lang w:val="en-GB"/>
        </w:rPr>
        <w:t>hus,</w:t>
      </w:r>
      <w:r w:rsidR="009761F5" w:rsidRPr="00111946">
        <w:rPr>
          <w:rFonts w:ascii="Arial" w:hAnsi="Arial" w:cs="Arial"/>
          <w:shd w:val="clear" w:color="auto" w:fill="FFFFFF"/>
          <w:lang w:val="en-GB"/>
        </w:rPr>
        <w:t xml:space="preserve"> </w:t>
      </w:r>
      <w:r w:rsidR="00CE4E4C">
        <w:rPr>
          <w:rFonts w:ascii="Arial" w:hAnsi="Arial" w:cs="Arial"/>
          <w:shd w:val="clear" w:color="auto" w:fill="FFFFFF"/>
          <w:lang w:val="en-GB"/>
        </w:rPr>
        <w:t>comparing</w:t>
      </w:r>
      <w:r w:rsidR="003C0F0D">
        <w:rPr>
          <w:rFonts w:ascii="Arial" w:hAnsi="Arial" w:cs="Arial"/>
          <w:shd w:val="clear" w:color="auto" w:fill="FFFFFF"/>
          <w:lang w:val="en-GB"/>
        </w:rPr>
        <w:t xml:space="preserve"> the effects of preanalytical conditions </w:t>
      </w:r>
      <w:r w:rsidR="00CE4E4C">
        <w:rPr>
          <w:rFonts w:ascii="Arial" w:hAnsi="Arial" w:cs="Arial"/>
          <w:shd w:val="clear" w:color="auto" w:fill="FFFFFF"/>
          <w:lang w:val="en-GB"/>
        </w:rPr>
        <w:t>between matrices</w:t>
      </w:r>
      <w:r w:rsidR="00A3184A">
        <w:rPr>
          <w:rFonts w:ascii="Arial" w:hAnsi="Arial" w:cs="Arial"/>
          <w:shd w:val="clear" w:color="auto" w:fill="FFFFFF"/>
          <w:lang w:val="en-GB"/>
        </w:rPr>
        <w:t xml:space="preserve"> </w:t>
      </w:r>
      <w:r w:rsidR="009761F5" w:rsidRPr="00111946">
        <w:rPr>
          <w:rFonts w:ascii="Arial" w:hAnsi="Arial" w:cs="Arial"/>
          <w:shd w:val="clear" w:color="auto" w:fill="FFFFFF"/>
          <w:lang w:val="en-GB"/>
        </w:rPr>
        <w:t xml:space="preserve">could facilitate the implementation of </w:t>
      </w:r>
      <w:r w:rsidR="00F16177" w:rsidRPr="00111946">
        <w:rPr>
          <w:rFonts w:ascii="Arial" w:hAnsi="Arial" w:cs="Arial"/>
          <w:shd w:val="clear" w:color="auto" w:fill="FFFFFF"/>
          <w:lang w:val="en-GB"/>
        </w:rPr>
        <w:t xml:space="preserve">BBM </w:t>
      </w:r>
      <w:r w:rsidR="009761F5" w:rsidRPr="00111946">
        <w:rPr>
          <w:rFonts w:ascii="Arial" w:hAnsi="Arial" w:cs="Arial"/>
          <w:shd w:val="clear" w:color="auto" w:fill="FFFFFF"/>
          <w:lang w:val="en-GB"/>
        </w:rPr>
        <w:t>in clinical practice</w:t>
      </w:r>
      <w:r w:rsidR="001C48A1" w:rsidRPr="00111946">
        <w:rPr>
          <w:rFonts w:ascii="Arial" w:hAnsi="Arial" w:cs="Arial"/>
          <w:shd w:val="clear" w:color="auto" w:fill="FFFFFF"/>
          <w:lang w:val="en-GB"/>
        </w:rPr>
        <w:t>.</w:t>
      </w:r>
      <w:r w:rsidR="00113B26" w:rsidRPr="00111946">
        <w:rPr>
          <w:rFonts w:ascii="Arial" w:hAnsi="Arial" w:cs="Arial"/>
          <w:shd w:val="clear" w:color="auto" w:fill="FFFFFF"/>
          <w:lang w:val="en-GB"/>
        </w:rPr>
        <w:t xml:space="preserve"> </w:t>
      </w:r>
    </w:p>
    <w:p w14:paraId="2D555359" w14:textId="56273884" w:rsidR="00095F05" w:rsidRPr="00253D1F" w:rsidRDefault="00095F05" w:rsidP="00095F05">
      <w:pPr>
        <w:spacing w:line="480" w:lineRule="auto"/>
        <w:jc w:val="both"/>
        <w:rPr>
          <w:rFonts w:ascii="Arial" w:hAnsi="Arial" w:cs="Arial"/>
          <w:b/>
          <w:lang w:val="en-GB"/>
        </w:rPr>
      </w:pPr>
      <w:r w:rsidRPr="00253D1F">
        <w:rPr>
          <w:rFonts w:ascii="Arial" w:hAnsi="Arial" w:cs="Arial"/>
          <w:lang w:val="en-GB"/>
        </w:rPr>
        <w:t>The purpose of our</w:t>
      </w:r>
      <w:r w:rsidR="003F7165" w:rsidRPr="00253D1F">
        <w:rPr>
          <w:rFonts w:ascii="Arial" w:hAnsi="Arial" w:cs="Arial"/>
          <w:lang w:val="en-GB"/>
        </w:rPr>
        <w:t xml:space="preserve"> investigat</w:t>
      </w:r>
      <w:r w:rsidRPr="00253D1F">
        <w:rPr>
          <w:rFonts w:ascii="Arial" w:hAnsi="Arial" w:cs="Arial"/>
          <w:lang w:val="en-GB"/>
        </w:rPr>
        <w:t xml:space="preserve">ion was to </w:t>
      </w:r>
      <w:r w:rsidR="0064077B" w:rsidRPr="00253D1F">
        <w:rPr>
          <w:rFonts w:ascii="Arial" w:hAnsi="Arial" w:cs="Arial"/>
          <w:lang w:val="en-GB"/>
        </w:rPr>
        <w:t>look</w:t>
      </w:r>
      <w:r w:rsidRPr="00253D1F">
        <w:rPr>
          <w:rFonts w:ascii="Arial" w:hAnsi="Arial" w:cs="Arial"/>
          <w:lang w:val="en-GB"/>
        </w:rPr>
        <w:t xml:space="preserve"> into the effect of </w:t>
      </w:r>
      <w:r w:rsidR="003F7165" w:rsidRPr="00253D1F">
        <w:rPr>
          <w:rFonts w:ascii="Arial" w:hAnsi="Arial" w:cs="Arial"/>
          <w:lang w:val="en-GB"/>
        </w:rPr>
        <w:t xml:space="preserve">different </w:t>
      </w:r>
      <w:r w:rsidR="003766EF" w:rsidRPr="00253D1F">
        <w:rPr>
          <w:rFonts w:ascii="Arial" w:hAnsi="Arial" w:cs="Arial"/>
          <w:lang w:val="en-GB"/>
        </w:rPr>
        <w:t xml:space="preserve">routine </w:t>
      </w:r>
      <w:r w:rsidR="003F7165" w:rsidRPr="00253D1F">
        <w:rPr>
          <w:rFonts w:ascii="Arial" w:hAnsi="Arial" w:cs="Arial"/>
          <w:lang w:val="en-GB"/>
        </w:rPr>
        <w:t xml:space="preserve">storage conditions on the simultaneous quantification of the </w:t>
      </w:r>
      <w:r w:rsidR="007F7946" w:rsidRPr="00253D1F">
        <w:rPr>
          <w:rFonts w:ascii="Arial" w:hAnsi="Arial" w:cs="Arial"/>
          <w:lang w:val="en-GB"/>
        </w:rPr>
        <w:t>plasma</w:t>
      </w:r>
      <w:r w:rsidR="004D14E7" w:rsidRPr="00253D1F">
        <w:rPr>
          <w:rFonts w:ascii="Arial" w:hAnsi="Arial" w:cs="Arial"/>
          <w:lang w:val="en-GB"/>
        </w:rPr>
        <w:t xml:space="preserve"> </w:t>
      </w:r>
      <w:r w:rsidR="003F7165" w:rsidRPr="00253D1F">
        <w:rPr>
          <w:rFonts w:ascii="Arial" w:hAnsi="Arial" w:cs="Arial"/>
          <w:lang w:val="en-GB"/>
        </w:rPr>
        <w:t xml:space="preserve">biomarkers Aβ1-42, Aβ1-40, </w:t>
      </w:r>
      <w:r w:rsidR="007F7946" w:rsidRPr="00253D1F">
        <w:rPr>
          <w:rFonts w:ascii="Arial" w:hAnsi="Arial" w:cs="Arial"/>
          <w:lang w:val="en-GB"/>
        </w:rPr>
        <w:t xml:space="preserve">and </w:t>
      </w:r>
      <w:r w:rsidR="009D7B54" w:rsidRPr="00253D1F">
        <w:rPr>
          <w:rFonts w:ascii="Arial" w:hAnsi="Arial" w:cs="Arial"/>
          <w:lang w:val="en-GB"/>
        </w:rPr>
        <w:t>p</w:t>
      </w:r>
      <w:r w:rsidR="001D32A2" w:rsidRPr="00253D1F">
        <w:rPr>
          <w:rFonts w:ascii="Arial" w:hAnsi="Arial" w:cs="Arial"/>
          <w:lang w:val="en-GB"/>
        </w:rPr>
        <w:t>-</w:t>
      </w:r>
      <w:r w:rsidR="003F7165" w:rsidRPr="00253D1F">
        <w:rPr>
          <w:rFonts w:ascii="Arial" w:hAnsi="Arial" w:cs="Arial"/>
          <w:lang w:val="en-GB"/>
        </w:rPr>
        <w:t>Tau</w:t>
      </w:r>
      <w:r w:rsidR="00A971C8" w:rsidRPr="00253D1F">
        <w:rPr>
          <w:rFonts w:ascii="Arial" w:hAnsi="Arial" w:cs="Arial"/>
          <w:lang w:val="en-GB"/>
        </w:rPr>
        <w:t>181</w:t>
      </w:r>
      <w:r w:rsidR="003F7165" w:rsidRPr="00253D1F">
        <w:rPr>
          <w:rFonts w:ascii="Arial" w:hAnsi="Arial" w:cs="Arial"/>
          <w:lang w:val="en-GB"/>
        </w:rPr>
        <w:t xml:space="preserve"> in the L</w:t>
      </w:r>
      <w:r w:rsidR="006F655C" w:rsidRPr="00253D1F">
        <w:rPr>
          <w:rFonts w:ascii="Arial" w:hAnsi="Arial" w:cs="Arial"/>
          <w:lang w:val="en-GB"/>
        </w:rPr>
        <w:t>UMIPULSE</w:t>
      </w:r>
      <w:r w:rsidR="003F7165" w:rsidRPr="00253D1F">
        <w:rPr>
          <w:rFonts w:ascii="Arial" w:hAnsi="Arial" w:cs="Arial"/>
          <w:lang w:val="en-GB"/>
        </w:rPr>
        <w:t xml:space="preserve"> G600II </w:t>
      </w:r>
      <w:r w:rsidR="009D5448" w:rsidRPr="00253D1F">
        <w:rPr>
          <w:rFonts w:ascii="Arial" w:hAnsi="Arial" w:cs="Arial"/>
          <w:lang w:val="en-GB"/>
        </w:rPr>
        <w:t>fully-</w:t>
      </w:r>
      <w:r w:rsidR="003F7165" w:rsidRPr="00253D1F">
        <w:rPr>
          <w:rFonts w:ascii="Arial" w:hAnsi="Arial" w:cs="Arial"/>
          <w:lang w:val="en-GB"/>
        </w:rPr>
        <w:t>automated platform</w:t>
      </w:r>
      <w:r w:rsidR="00DC6742" w:rsidRPr="00253D1F">
        <w:rPr>
          <w:rFonts w:ascii="Arial" w:hAnsi="Arial" w:cs="Arial"/>
          <w:lang w:val="en-GB"/>
        </w:rPr>
        <w:t xml:space="preserve">, </w:t>
      </w:r>
      <w:r w:rsidR="00E22E72" w:rsidRPr="00253D1F">
        <w:rPr>
          <w:rFonts w:ascii="Arial" w:hAnsi="Arial" w:cs="Arial"/>
          <w:lang w:val="en-GB"/>
        </w:rPr>
        <w:t>as well as</w:t>
      </w:r>
      <w:r w:rsidRPr="00253D1F">
        <w:rPr>
          <w:rFonts w:ascii="Arial" w:hAnsi="Arial" w:cs="Arial"/>
          <w:lang w:val="en-GB"/>
        </w:rPr>
        <w:t xml:space="preserve"> to </w:t>
      </w:r>
      <w:r w:rsidR="0064077B" w:rsidRPr="00253D1F">
        <w:rPr>
          <w:rFonts w:ascii="Arial" w:hAnsi="Arial" w:cs="Arial"/>
          <w:lang w:val="en-GB"/>
        </w:rPr>
        <w:t xml:space="preserve">evaluate the </w:t>
      </w:r>
      <w:r w:rsidRPr="00253D1F">
        <w:rPr>
          <w:rFonts w:ascii="Arial" w:hAnsi="Arial" w:cs="Arial"/>
          <w:lang w:val="en-GB"/>
        </w:rPr>
        <w:t xml:space="preserve">interchangeability of </w:t>
      </w:r>
      <w:r w:rsidR="00DA5618">
        <w:rPr>
          <w:rFonts w:ascii="Arial" w:hAnsi="Arial" w:cs="Arial"/>
          <w:lang w:val="en-GB"/>
        </w:rPr>
        <w:t>EDTA-</w:t>
      </w:r>
      <w:r w:rsidRPr="00253D1F">
        <w:rPr>
          <w:rFonts w:ascii="Arial" w:hAnsi="Arial" w:cs="Arial"/>
          <w:lang w:val="en-GB"/>
        </w:rPr>
        <w:t>plasma and serum samples</w:t>
      </w:r>
      <w:r w:rsidR="001D32A2" w:rsidRPr="00253D1F">
        <w:rPr>
          <w:rFonts w:ascii="Arial" w:hAnsi="Arial" w:cs="Arial"/>
          <w:b/>
          <w:lang w:val="en-GB"/>
        </w:rPr>
        <w:t>.</w:t>
      </w:r>
    </w:p>
    <w:p w14:paraId="1368D35E" w14:textId="4309EFCA" w:rsidR="008705FE" w:rsidRPr="00253D1F" w:rsidRDefault="008705FE" w:rsidP="00095F05">
      <w:pPr>
        <w:pStyle w:val="Pargrafdellista"/>
        <w:numPr>
          <w:ilvl w:val="0"/>
          <w:numId w:val="1"/>
        </w:numPr>
        <w:spacing w:line="480" w:lineRule="auto"/>
        <w:jc w:val="both"/>
        <w:rPr>
          <w:rFonts w:ascii="Arial" w:hAnsi="Arial" w:cs="Arial"/>
          <w:b/>
          <w:lang w:val="en-GB"/>
        </w:rPr>
      </w:pPr>
      <w:r w:rsidRPr="00253D1F">
        <w:rPr>
          <w:rFonts w:ascii="Arial" w:hAnsi="Arial" w:cs="Arial"/>
          <w:b/>
          <w:lang w:val="en-GB"/>
        </w:rPr>
        <w:t>Material and Methods</w:t>
      </w:r>
    </w:p>
    <w:p w14:paraId="1850683D" w14:textId="087A6347" w:rsidR="00B711D3" w:rsidRPr="00253D1F" w:rsidRDefault="00FF06CA" w:rsidP="00393660">
      <w:pPr>
        <w:spacing w:line="480" w:lineRule="auto"/>
        <w:jc w:val="both"/>
        <w:rPr>
          <w:rFonts w:ascii="Arial" w:hAnsi="Arial" w:cs="Arial"/>
          <w:color w:val="ED7D31" w:themeColor="accent2"/>
          <w:lang w:val="en-GB"/>
        </w:rPr>
      </w:pPr>
      <w:r w:rsidRPr="00253D1F">
        <w:rPr>
          <w:rFonts w:ascii="Arial" w:hAnsi="Arial" w:cs="Arial"/>
          <w:lang w:val="en-GB"/>
        </w:rPr>
        <w:t>For the stability analysis, w</w:t>
      </w:r>
      <w:r w:rsidR="00E15E3A" w:rsidRPr="00253D1F">
        <w:rPr>
          <w:rFonts w:ascii="Arial" w:hAnsi="Arial" w:cs="Arial"/>
          <w:lang w:val="en-GB"/>
        </w:rPr>
        <w:t xml:space="preserve">hole blood extraction was practiced by </w:t>
      </w:r>
      <w:r w:rsidR="00E56228" w:rsidRPr="00253D1F">
        <w:rPr>
          <w:rFonts w:ascii="Arial" w:hAnsi="Arial" w:cs="Arial"/>
          <w:lang w:val="en-GB"/>
        </w:rPr>
        <w:t>venepuncture</w:t>
      </w:r>
      <w:r w:rsidR="00E15E3A" w:rsidRPr="00253D1F">
        <w:rPr>
          <w:rFonts w:ascii="Arial" w:hAnsi="Arial" w:cs="Arial"/>
          <w:lang w:val="en-GB"/>
        </w:rPr>
        <w:t xml:space="preserve"> in 32 consecutive </w:t>
      </w:r>
      <w:r w:rsidR="008375B4" w:rsidRPr="00253D1F">
        <w:rPr>
          <w:rFonts w:ascii="Arial" w:hAnsi="Arial" w:cs="Arial"/>
          <w:lang w:val="en-GB"/>
        </w:rPr>
        <w:t>individuals</w:t>
      </w:r>
      <w:r w:rsidR="00E15E3A" w:rsidRPr="00253D1F">
        <w:rPr>
          <w:rFonts w:ascii="Arial" w:hAnsi="Arial" w:cs="Arial"/>
          <w:lang w:val="en-GB"/>
        </w:rPr>
        <w:t xml:space="preserve"> who </w:t>
      </w:r>
      <w:r w:rsidR="00631284" w:rsidRPr="00253D1F">
        <w:rPr>
          <w:rFonts w:ascii="Arial" w:hAnsi="Arial" w:cs="Arial"/>
          <w:lang w:val="en-GB"/>
        </w:rPr>
        <w:t xml:space="preserve">were referred to the Sant Pau Memory Unit </w:t>
      </w:r>
      <w:r w:rsidR="00A971C8" w:rsidRPr="00253D1F">
        <w:rPr>
          <w:rFonts w:ascii="Arial" w:hAnsi="Arial" w:cs="Arial"/>
          <w:lang w:val="en-GB"/>
        </w:rPr>
        <w:t>as consequence of some degree of cognitive impairment</w:t>
      </w:r>
      <w:r w:rsidR="00D92969">
        <w:rPr>
          <w:rFonts w:ascii="Arial" w:hAnsi="Arial" w:cs="Arial"/>
          <w:lang w:val="en-GB"/>
        </w:rPr>
        <w:t>. Subjects</w:t>
      </w:r>
      <w:r w:rsidR="004D4FDC" w:rsidRPr="00253D1F">
        <w:rPr>
          <w:rFonts w:ascii="Arial" w:hAnsi="Arial" w:cs="Arial"/>
          <w:lang w:val="en-GB"/>
        </w:rPr>
        <w:t xml:space="preserve"> </w:t>
      </w:r>
      <w:r w:rsidR="00AB4EF7" w:rsidRPr="00253D1F">
        <w:rPr>
          <w:rFonts w:ascii="Arial" w:hAnsi="Arial" w:cs="Arial"/>
          <w:lang w:val="en-GB"/>
        </w:rPr>
        <w:t>underwent lumbar puncture for the analysis of AD CSF biomarkers</w:t>
      </w:r>
      <w:r w:rsidR="00D70562" w:rsidRPr="00253D1F">
        <w:rPr>
          <w:rFonts w:ascii="Arial" w:hAnsi="Arial" w:cs="Arial"/>
          <w:lang w:val="en-GB"/>
        </w:rPr>
        <w:t xml:space="preserve"> and blood extraction </w:t>
      </w:r>
      <w:r w:rsidR="00337A0F">
        <w:rPr>
          <w:rFonts w:ascii="Arial" w:hAnsi="Arial" w:cs="Arial"/>
          <w:lang w:val="en-GB"/>
        </w:rPr>
        <w:t>during</w:t>
      </w:r>
      <w:r w:rsidR="00D958CD" w:rsidRPr="00253D1F">
        <w:rPr>
          <w:rFonts w:ascii="Arial" w:hAnsi="Arial" w:cs="Arial"/>
          <w:lang w:val="en-GB"/>
        </w:rPr>
        <w:t xml:space="preserve"> June </w:t>
      </w:r>
      <w:r w:rsidR="00D70562" w:rsidRPr="00253D1F">
        <w:rPr>
          <w:rFonts w:ascii="Arial" w:hAnsi="Arial" w:cs="Arial"/>
          <w:lang w:val="en-GB"/>
        </w:rPr>
        <w:t xml:space="preserve">and </w:t>
      </w:r>
      <w:r w:rsidR="00D958CD" w:rsidRPr="00253D1F">
        <w:rPr>
          <w:rFonts w:ascii="Arial" w:hAnsi="Arial" w:cs="Arial"/>
          <w:lang w:val="en-GB"/>
        </w:rPr>
        <w:t>July</w:t>
      </w:r>
      <w:r w:rsidR="00546E17">
        <w:rPr>
          <w:rFonts w:ascii="Arial" w:hAnsi="Arial" w:cs="Arial"/>
          <w:lang w:val="en-GB"/>
        </w:rPr>
        <w:t xml:space="preserve"> </w:t>
      </w:r>
      <w:r w:rsidR="00D958CD" w:rsidRPr="00253D1F">
        <w:rPr>
          <w:rFonts w:ascii="Arial" w:hAnsi="Arial" w:cs="Arial"/>
          <w:lang w:val="en-GB"/>
        </w:rPr>
        <w:t>2022</w:t>
      </w:r>
      <w:r w:rsidR="009E480C" w:rsidRPr="00253D1F">
        <w:rPr>
          <w:rFonts w:ascii="Arial" w:hAnsi="Arial" w:cs="Arial"/>
          <w:lang w:val="en-GB"/>
        </w:rPr>
        <w:t xml:space="preserve">. </w:t>
      </w:r>
      <w:r w:rsidR="00064D0A" w:rsidRPr="00253D1F">
        <w:rPr>
          <w:rFonts w:ascii="Arial" w:hAnsi="Arial" w:cs="Arial"/>
          <w:lang w:val="en-GB"/>
        </w:rPr>
        <w:t xml:space="preserve">Whole blood samples were obtained </w:t>
      </w:r>
      <w:r w:rsidR="005C5F5E" w:rsidRPr="00253D1F">
        <w:rPr>
          <w:rFonts w:ascii="Arial" w:hAnsi="Arial" w:cs="Arial"/>
          <w:lang w:val="en-GB"/>
        </w:rPr>
        <w:t xml:space="preserve">in EDTA-K2 </w:t>
      </w:r>
      <w:r w:rsidR="00CE768D">
        <w:rPr>
          <w:rFonts w:ascii="Arial" w:hAnsi="Arial" w:cs="Arial"/>
          <w:lang w:val="en-GB"/>
        </w:rPr>
        <w:t xml:space="preserve">tubes </w:t>
      </w:r>
      <w:r w:rsidR="00064D0A" w:rsidRPr="00253D1F">
        <w:rPr>
          <w:rFonts w:ascii="Arial" w:hAnsi="Arial" w:cs="Arial"/>
          <w:lang w:val="en-GB"/>
        </w:rPr>
        <w:t xml:space="preserve">and transferred to our laboratory where they were fractioned by centrifugation at 2000 g for 10 minutes at 4ºC within 2 hours after extraction. Plasma </w:t>
      </w:r>
      <w:r w:rsidR="00D958CD" w:rsidRPr="00253D1F">
        <w:rPr>
          <w:rFonts w:ascii="Arial" w:hAnsi="Arial" w:cs="Arial"/>
          <w:lang w:val="en-GB"/>
        </w:rPr>
        <w:t xml:space="preserve">samples were </w:t>
      </w:r>
      <w:r w:rsidR="00064D0A" w:rsidRPr="00253D1F">
        <w:rPr>
          <w:rFonts w:ascii="Arial" w:hAnsi="Arial" w:cs="Arial"/>
          <w:lang w:val="en-GB"/>
        </w:rPr>
        <w:t>aliquot</w:t>
      </w:r>
      <w:r w:rsidR="00D958CD" w:rsidRPr="00253D1F">
        <w:rPr>
          <w:rFonts w:ascii="Arial" w:hAnsi="Arial" w:cs="Arial"/>
          <w:lang w:val="en-GB"/>
        </w:rPr>
        <w:t>ed</w:t>
      </w:r>
      <w:r w:rsidR="00064D0A" w:rsidRPr="00253D1F">
        <w:rPr>
          <w:rFonts w:ascii="Arial" w:hAnsi="Arial" w:cs="Arial"/>
          <w:lang w:val="en-GB"/>
        </w:rPr>
        <w:t xml:space="preserve"> in 1.5 mL polypropylene tub</w:t>
      </w:r>
      <w:r w:rsidR="00337A0F">
        <w:rPr>
          <w:rFonts w:ascii="Arial" w:hAnsi="Arial" w:cs="Arial"/>
          <w:lang w:val="en-GB"/>
        </w:rPr>
        <w:t>e</w:t>
      </w:r>
      <w:r w:rsidR="00064D0A" w:rsidRPr="00253D1F">
        <w:rPr>
          <w:rFonts w:ascii="Arial" w:hAnsi="Arial" w:cs="Arial"/>
          <w:lang w:val="en-GB"/>
        </w:rPr>
        <w:t>s (</w:t>
      </w:r>
      <w:proofErr w:type="spellStart"/>
      <w:r w:rsidR="00064D0A" w:rsidRPr="00253D1F">
        <w:rPr>
          <w:rFonts w:ascii="Arial" w:hAnsi="Arial" w:cs="Arial"/>
          <w:lang w:val="en-GB"/>
        </w:rPr>
        <w:t>Sarstedt</w:t>
      </w:r>
      <w:proofErr w:type="spellEnd"/>
      <w:r w:rsidR="00064D0A" w:rsidRPr="00253D1F">
        <w:rPr>
          <w:rFonts w:ascii="Arial" w:hAnsi="Arial" w:cs="Arial"/>
          <w:lang w:val="en-GB"/>
        </w:rPr>
        <w:t xml:space="preserve">, Ref. 72.690.001) and stored until analysis </w:t>
      </w:r>
      <w:r w:rsidR="00337A0F">
        <w:rPr>
          <w:rFonts w:ascii="Arial" w:hAnsi="Arial" w:cs="Arial"/>
          <w:lang w:val="en-GB"/>
        </w:rPr>
        <w:t>under</w:t>
      </w:r>
      <w:r w:rsidR="00064D0A" w:rsidRPr="00253D1F">
        <w:rPr>
          <w:rFonts w:ascii="Arial" w:hAnsi="Arial" w:cs="Arial"/>
          <w:lang w:val="en-GB"/>
        </w:rPr>
        <w:t xml:space="preserve"> the following conditions: A) </w:t>
      </w:r>
      <w:r w:rsidR="00DD2AC5" w:rsidRPr="00253D1F">
        <w:rPr>
          <w:rFonts w:ascii="Arial" w:hAnsi="Arial" w:cs="Arial"/>
          <w:lang w:val="en-GB"/>
        </w:rPr>
        <w:t>Refrigerator</w:t>
      </w:r>
      <w:r w:rsidR="00F52A48" w:rsidRPr="00253D1F">
        <w:rPr>
          <w:rFonts w:ascii="Arial" w:hAnsi="Arial" w:cs="Arial"/>
          <w:lang w:val="en-GB"/>
        </w:rPr>
        <w:t xml:space="preserve"> </w:t>
      </w:r>
      <w:r w:rsidR="00384792">
        <w:rPr>
          <w:rFonts w:ascii="Arial" w:hAnsi="Arial" w:cs="Arial"/>
          <w:lang w:val="en-GB"/>
        </w:rPr>
        <w:t xml:space="preserve">4ºC </w:t>
      </w:r>
      <w:r w:rsidR="00822465" w:rsidRPr="00253D1F">
        <w:rPr>
          <w:rFonts w:ascii="Arial" w:hAnsi="Arial" w:cs="Arial"/>
          <w:lang w:val="en-GB"/>
        </w:rPr>
        <w:t xml:space="preserve">(2-8ºC) for </w:t>
      </w:r>
      <w:r w:rsidR="00064D0A" w:rsidRPr="00253D1F">
        <w:rPr>
          <w:rFonts w:ascii="Arial" w:hAnsi="Arial" w:cs="Arial"/>
          <w:lang w:val="en-GB"/>
        </w:rPr>
        <w:t xml:space="preserve">1-2 days; B) </w:t>
      </w:r>
      <w:r w:rsidR="00DD2AC5" w:rsidRPr="00253D1F">
        <w:rPr>
          <w:rFonts w:ascii="Arial" w:hAnsi="Arial" w:cs="Arial"/>
          <w:lang w:val="en-GB"/>
        </w:rPr>
        <w:t xml:space="preserve">Refrigerator </w:t>
      </w:r>
      <w:r w:rsidR="00384792">
        <w:rPr>
          <w:rFonts w:ascii="Arial" w:hAnsi="Arial" w:cs="Arial"/>
          <w:lang w:val="en-GB"/>
        </w:rPr>
        <w:t xml:space="preserve">4ºC </w:t>
      </w:r>
      <w:r w:rsidR="00822465" w:rsidRPr="00253D1F">
        <w:rPr>
          <w:rFonts w:ascii="Arial" w:hAnsi="Arial" w:cs="Arial"/>
          <w:lang w:val="en-GB"/>
        </w:rPr>
        <w:t xml:space="preserve">(2-8ºC) for </w:t>
      </w:r>
      <w:r w:rsidR="00064D0A" w:rsidRPr="00253D1F">
        <w:rPr>
          <w:rFonts w:ascii="Arial" w:hAnsi="Arial" w:cs="Arial"/>
          <w:lang w:val="en-GB"/>
        </w:rPr>
        <w:t xml:space="preserve">8-9 days; C) </w:t>
      </w:r>
      <w:r w:rsidR="00822465" w:rsidRPr="00253D1F">
        <w:rPr>
          <w:rFonts w:ascii="Arial" w:hAnsi="Arial" w:cs="Arial"/>
          <w:lang w:val="en-GB"/>
        </w:rPr>
        <w:t xml:space="preserve">Freezer </w:t>
      </w:r>
      <w:r w:rsidR="00384792">
        <w:rPr>
          <w:rFonts w:ascii="Arial" w:hAnsi="Arial" w:cs="Arial"/>
          <w:lang w:val="en-GB"/>
        </w:rPr>
        <w:t xml:space="preserve">-20ºC </w:t>
      </w:r>
      <w:r w:rsidR="00822465" w:rsidRPr="00253D1F">
        <w:rPr>
          <w:rFonts w:ascii="Arial" w:hAnsi="Arial" w:cs="Arial"/>
          <w:lang w:val="en-GB"/>
        </w:rPr>
        <w:t>(</w:t>
      </w:r>
      <w:r w:rsidR="009911AD">
        <w:rPr>
          <w:rFonts w:ascii="Arial" w:hAnsi="Arial" w:cs="Arial"/>
          <w:lang w:val="en-GB"/>
        </w:rPr>
        <w:t>-</w:t>
      </w:r>
      <w:r w:rsidR="005779C7">
        <w:rPr>
          <w:rFonts w:ascii="Arial" w:hAnsi="Arial" w:cs="Arial"/>
          <w:lang w:val="en-GB"/>
        </w:rPr>
        <w:t>1</w:t>
      </w:r>
      <w:r w:rsidR="009911AD">
        <w:rPr>
          <w:rFonts w:ascii="Arial" w:hAnsi="Arial" w:cs="Arial"/>
          <w:lang w:val="en-GB"/>
        </w:rPr>
        <w:t>5</w:t>
      </w:r>
      <w:r w:rsidR="00384792">
        <w:rPr>
          <w:rFonts w:ascii="Arial" w:hAnsi="Arial" w:cs="Arial"/>
          <w:lang w:val="en-GB"/>
        </w:rPr>
        <w:t xml:space="preserve"> </w:t>
      </w:r>
      <w:r w:rsidR="005779C7">
        <w:rPr>
          <w:rFonts w:ascii="Arial" w:hAnsi="Arial" w:cs="Arial"/>
          <w:lang w:val="en-GB"/>
        </w:rPr>
        <w:t>-</w:t>
      </w:r>
      <w:r w:rsidR="00384792">
        <w:rPr>
          <w:rFonts w:ascii="Arial" w:hAnsi="Arial" w:cs="Arial"/>
          <w:lang w:val="en-GB"/>
        </w:rPr>
        <w:t xml:space="preserve"> </w:t>
      </w:r>
      <w:r w:rsidR="00186D10">
        <w:rPr>
          <w:rFonts w:ascii="Arial" w:hAnsi="Arial" w:cs="Arial"/>
          <w:lang w:val="en-GB"/>
        </w:rPr>
        <w:t>-2</w:t>
      </w:r>
      <w:r w:rsidR="009911AD">
        <w:rPr>
          <w:rFonts w:ascii="Arial" w:hAnsi="Arial" w:cs="Arial"/>
          <w:lang w:val="en-GB"/>
        </w:rPr>
        <w:t>5</w:t>
      </w:r>
      <w:r w:rsidR="00822465" w:rsidRPr="00253D1F">
        <w:rPr>
          <w:rFonts w:ascii="Arial" w:hAnsi="Arial" w:cs="Arial"/>
          <w:lang w:val="en-GB"/>
        </w:rPr>
        <w:t xml:space="preserve">ºC) for </w:t>
      </w:r>
      <w:r w:rsidR="00064D0A" w:rsidRPr="00253D1F">
        <w:rPr>
          <w:rFonts w:ascii="Arial" w:hAnsi="Arial" w:cs="Arial"/>
          <w:lang w:val="en-GB"/>
        </w:rPr>
        <w:t>8-9 days. Condition C was considered the reference condition</w:t>
      </w:r>
      <w:r w:rsidR="00214B22" w:rsidRPr="00253D1F">
        <w:rPr>
          <w:rFonts w:ascii="Arial" w:hAnsi="Arial" w:cs="Arial"/>
          <w:lang w:val="en-GB"/>
        </w:rPr>
        <w:t xml:space="preserve">, as it was expected to ensure </w:t>
      </w:r>
      <w:r w:rsidR="004C690A" w:rsidRPr="00253D1F">
        <w:rPr>
          <w:rFonts w:ascii="Arial" w:hAnsi="Arial" w:cs="Arial"/>
          <w:lang w:val="en-GB"/>
        </w:rPr>
        <w:t>higher</w:t>
      </w:r>
      <w:r w:rsidR="00214B22" w:rsidRPr="00253D1F">
        <w:rPr>
          <w:rFonts w:ascii="Arial" w:hAnsi="Arial" w:cs="Arial"/>
          <w:lang w:val="en-GB"/>
        </w:rPr>
        <w:t xml:space="preserve"> stability of the samples</w:t>
      </w:r>
      <w:r w:rsidR="00064D0A" w:rsidRPr="00253D1F">
        <w:rPr>
          <w:rFonts w:ascii="Arial" w:hAnsi="Arial" w:cs="Arial"/>
          <w:lang w:val="en-GB"/>
        </w:rPr>
        <w:t xml:space="preserve">. </w:t>
      </w:r>
      <w:r w:rsidR="00873191">
        <w:rPr>
          <w:rFonts w:ascii="Arial" w:hAnsi="Arial" w:cs="Arial"/>
          <w:lang w:val="en-GB"/>
        </w:rPr>
        <w:t>C</w:t>
      </w:r>
      <w:r w:rsidR="00186D10" w:rsidRPr="00253D1F">
        <w:rPr>
          <w:rFonts w:ascii="Arial" w:hAnsi="Arial" w:cs="Arial"/>
          <w:lang w:val="en-GB"/>
        </w:rPr>
        <w:t>ut-off</w:t>
      </w:r>
      <w:r w:rsidR="00214CD0" w:rsidRPr="00253D1F">
        <w:rPr>
          <w:rFonts w:ascii="Arial" w:hAnsi="Arial" w:cs="Arial"/>
          <w:lang w:val="en-GB"/>
        </w:rPr>
        <w:t xml:space="preserve"> values </w:t>
      </w:r>
      <w:r w:rsidR="00873191">
        <w:rPr>
          <w:rFonts w:ascii="Arial" w:hAnsi="Arial" w:cs="Arial"/>
          <w:lang w:val="en-GB"/>
        </w:rPr>
        <w:t xml:space="preserve">are currently under validation process </w:t>
      </w:r>
      <w:r w:rsidR="00214CD0" w:rsidRPr="00253D1F">
        <w:rPr>
          <w:rFonts w:ascii="Arial" w:hAnsi="Arial" w:cs="Arial"/>
          <w:lang w:val="en-GB"/>
        </w:rPr>
        <w:t>by our group</w:t>
      </w:r>
      <w:r w:rsidR="00873191">
        <w:rPr>
          <w:rFonts w:ascii="Arial" w:hAnsi="Arial" w:cs="Arial"/>
          <w:lang w:val="en-GB"/>
        </w:rPr>
        <w:t xml:space="preserve">. </w:t>
      </w:r>
    </w:p>
    <w:p w14:paraId="5313EE3B" w14:textId="3BED6895" w:rsidR="00B711D3" w:rsidRPr="00D0206F" w:rsidRDefault="00FF06CA" w:rsidP="00393660">
      <w:pPr>
        <w:spacing w:line="480" w:lineRule="auto"/>
        <w:jc w:val="both"/>
        <w:rPr>
          <w:rFonts w:ascii="Arial" w:hAnsi="Arial" w:cs="Arial"/>
          <w:lang w:val="en-GB"/>
        </w:rPr>
      </w:pPr>
      <w:r w:rsidRPr="00253D1F">
        <w:rPr>
          <w:rFonts w:ascii="Arial" w:hAnsi="Arial" w:cs="Arial"/>
          <w:lang w:val="en-GB"/>
        </w:rPr>
        <w:lastRenderedPageBreak/>
        <w:t xml:space="preserve">For the comparison of </w:t>
      </w:r>
      <w:r w:rsidR="00DA5618">
        <w:rPr>
          <w:rFonts w:ascii="Arial" w:hAnsi="Arial" w:cs="Arial"/>
          <w:lang w:val="en-GB"/>
        </w:rPr>
        <w:t>EDTA-</w:t>
      </w:r>
      <w:r w:rsidRPr="00253D1F">
        <w:rPr>
          <w:rFonts w:ascii="Arial" w:hAnsi="Arial" w:cs="Arial"/>
          <w:lang w:val="en-GB"/>
        </w:rPr>
        <w:t xml:space="preserve">plasma and serum analysis, 30 patients </w:t>
      </w:r>
      <w:r w:rsidR="00D958CD" w:rsidRPr="00253D1F">
        <w:rPr>
          <w:rFonts w:ascii="Arial" w:hAnsi="Arial" w:cs="Arial"/>
          <w:lang w:val="en-GB"/>
        </w:rPr>
        <w:t xml:space="preserve">with both plasma and serum aliquots </w:t>
      </w:r>
      <w:r w:rsidRPr="00253D1F">
        <w:rPr>
          <w:rFonts w:ascii="Arial" w:hAnsi="Arial" w:cs="Arial"/>
          <w:lang w:val="en-GB"/>
        </w:rPr>
        <w:t xml:space="preserve">were retrospectively selected from the </w:t>
      </w:r>
      <w:r w:rsidR="00710139" w:rsidRPr="00253D1F">
        <w:rPr>
          <w:rFonts w:ascii="Arial" w:hAnsi="Arial" w:cs="Arial"/>
          <w:lang w:val="en-GB"/>
        </w:rPr>
        <w:t xml:space="preserve">Sant Pau Initiative on Neurodegeneration </w:t>
      </w:r>
      <w:r w:rsidR="001E7781" w:rsidRPr="00253D1F">
        <w:rPr>
          <w:rFonts w:ascii="Arial" w:hAnsi="Arial" w:cs="Arial"/>
          <w:lang w:val="en-GB"/>
        </w:rPr>
        <w:t>(</w:t>
      </w:r>
      <w:r w:rsidRPr="00253D1F">
        <w:rPr>
          <w:rFonts w:ascii="Arial" w:hAnsi="Arial" w:cs="Arial"/>
          <w:lang w:val="en-GB"/>
        </w:rPr>
        <w:t>SPIN</w:t>
      </w:r>
      <w:r w:rsidR="001E7781" w:rsidRPr="00253D1F">
        <w:rPr>
          <w:rFonts w:ascii="Arial" w:hAnsi="Arial" w:cs="Arial"/>
          <w:lang w:val="en-GB"/>
        </w:rPr>
        <w:t>)</w:t>
      </w:r>
      <w:r w:rsidR="00C65CB0">
        <w:rPr>
          <w:rFonts w:ascii="Arial" w:hAnsi="Arial" w:cs="Arial"/>
          <w:lang w:val="en-GB"/>
        </w:rPr>
        <w:t xml:space="preserve"> cohort</w:t>
      </w:r>
      <w:r w:rsidR="00D70562" w:rsidRPr="00253D1F">
        <w:rPr>
          <w:rFonts w:ascii="Arial" w:hAnsi="Arial" w:cs="Arial"/>
          <w:lang w:val="en-GB"/>
        </w:rPr>
        <w:t xml:space="preserve"> </w:t>
      </w:r>
      <w:r w:rsidR="001D5F0B" w:rsidRPr="00253D1F">
        <w:rPr>
          <w:rFonts w:ascii="Arial" w:hAnsi="Arial" w:cs="Arial"/>
          <w:lang w:val="en-GB"/>
        </w:rPr>
        <w:t>based on a</w:t>
      </w:r>
      <w:r w:rsidR="006F1DC3">
        <w:rPr>
          <w:rFonts w:ascii="Arial" w:hAnsi="Arial" w:cs="Arial"/>
          <w:lang w:val="en-GB"/>
        </w:rPr>
        <w:t xml:space="preserve"> balanced </w:t>
      </w:r>
      <w:r w:rsidR="001D5F0B" w:rsidRPr="00D0206F">
        <w:rPr>
          <w:rFonts w:ascii="Arial" w:hAnsi="Arial" w:cs="Arial"/>
          <w:lang w:val="en-GB"/>
        </w:rPr>
        <w:t>gender distribution</w:t>
      </w:r>
      <w:r w:rsidR="005D4502">
        <w:rPr>
          <w:rFonts w:ascii="Arial" w:hAnsi="Arial" w:cs="Arial"/>
          <w:lang w:val="en-GB"/>
        </w:rPr>
        <w:t xml:space="preserve">. </w:t>
      </w:r>
      <w:r w:rsidR="00923BAA" w:rsidRPr="00D0206F">
        <w:rPr>
          <w:rFonts w:ascii="Arial" w:hAnsi="Arial" w:cs="Arial"/>
          <w:lang w:val="en-GB"/>
        </w:rPr>
        <w:t>Pre-analytical protocol in the SPIN cohort for plasma and serum samples has been previously reported</w:t>
      </w:r>
      <w:r w:rsidR="00C65CB0">
        <w:rPr>
          <w:rFonts w:ascii="Arial" w:hAnsi="Arial" w:cs="Arial"/>
          <w:lang w:val="en-GB"/>
        </w:rPr>
        <w:t xml:space="preserve"> </w:t>
      </w:r>
      <w:r w:rsidR="00C65CB0" w:rsidRPr="00253D1F">
        <w:rPr>
          <w:rFonts w:ascii="Arial" w:hAnsi="Arial" w:cs="Arial"/>
          <w:lang w:val="en-GB"/>
        </w:rPr>
        <w:t>(</w:t>
      </w:r>
      <w:proofErr w:type="spellStart"/>
      <w:r w:rsidR="00C65CB0" w:rsidRPr="00D0206F">
        <w:rPr>
          <w:rFonts w:ascii="Arial" w:hAnsi="Arial" w:cs="Arial"/>
          <w:highlight w:val="lightGray"/>
          <w:shd w:val="clear" w:color="auto" w:fill="FFFFFF"/>
          <w:lang w:val="en-GB"/>
        </w:rPr>
        <w:t>doi</w:t>
      </w:r>
      <w:proofErr w:type="spellEnd"/>
      <w:r w:rsidR="00C65CB0" w:rsidRPr="00D0206F">
        <w:rPr>
          <w:rFonts w:ascii="Arial" w:hAnsi="Arial" w:cs="Arial"/>
          <w:highlight w:val="lightGray"/>
          <w:shd w:val="clear" w:color="auto" w:fill="FFFFFF"/>
          <w:lang w:val="en-GB"/>
        </w:rPr>
        <w:t>: 10.1016/j.trci.2019.09.005</w:t>
      </w:r>
      <w:r w:rsidR="00C65CB0" w:rsidRPr="00253D1F">
        <w:rPr>
          <w:rFonts w:ascii="Arial" w:hAnsi="Arial" w:cs="Arial"/>
          <w:lang w:val="en-GB"/>
        </w:rPr>
        <w:t>)</w:t>
      </w:r>
      <w:r w:rsidR="00D5084F" w:rsidRPr="00D0206F">
        <w:rPr>
          <w:rFonts w:ascii="Arial" w:hAnsi="Arial" w:cs="Arial"/>
          <w:lang w:val="en-GB"/>
        </w:rPr>
        <w:t xml:space="preserve">. Briefly, plasma and serum </w:t>
      </w:r>
      <w:r w:rsidR="00777C96" w:rsidRPr="00D0206F">
        <w:rPr>
          <w:rFonts w:ascii="Arial" w:hAnsi="Arial" w:cs="Arial"/>
          <w:lang w:val="en-GB"/>
        </w:rPr>
        <w:t xml:space="preserve">samples </w:t>
      </w:r>
      <w:r w:rsidR="00D5084F" w:rsidRPr="00D0206F">
        <w:rPr>
          <w:rFonts w:ascii="Arial" w:hAnsi="Arial" w:cs="Arial"/>
          <w:lang w:val="en-GB"/>
        </w:rPr>
        <w:t xml:space="preserve">were obtained from whole blood in EDTA-K2 </w:t>
      </w:r>
      <w:r w:rsidR="00405929" w:rsidRPr="00D0206F">
        <w:rPr>
          <w:rFonts w:ascii="Arial" w:hAnsi="Arial" w:cs="Arial"/>
          <w:lang w:val="en-GB"/>
        </w:rPr>
        <w:t xml:space="preserve">and SST VACUTAINER </w:t>
      </w:r>
      <w:r w:rsidR="00D5084F" w:rsidRPr="00D0206F">
        <w:rPr>
          <w:rFonts w:ascii="Arial" w:hAnsi="Arial" w:cs="Arial"/>
          <w:lang w:val="en-GB"/>
        </w:rPr>
        <w:t>tubes</w:t>
      </w:r>
      <w:r w:rsidR="00405929" w:rsidRPr="00D0206F">
        <w:rPr>
          <w:rFonts w:ascii="Arial" w:hAnsi="Arial" w:cs="Arial"/>
          <w:lang w:val="en-GB"/>
        </w:rPr>
        <w:t xml:space="preserve">, respectively, and were </w:t>
      </w:r>
      <w:r w:rsidR="00777C96" w:rsidRPr="00D0206F">
        <w:rPr>
          <w:rFonts w:ascii="Arial" w:hAnsi="Arial" w:cs="Arial"/>
          <w:lang w:val="en-GB"/>
        </w:rPr>
        <w:t xml:space="preserve">subsequently centrifuged, aliquoted and stored at -80ºC </w:t>
      </w:r>
      <w:r w:rsidR="00F57FCC" w:rsidRPr="00D0206F">
        <w:rPr>
          <w:rFonts w:ascii="Arial" w:hAnsi="Arial" w:cs="Arial"/>
          <w:lang w:val="en-GB"/>
        </w:rPr>
        <w:t>in 1.5 mL polypropylene Eppendorf tubs (</w:t>
      </w:r>
      <w:proofErr w:type="spellStart"/>
      <w:r w:rsidR="00F57FCC" w:rsidRPr="00D0206F">
        <w:rPr>
          <w:rFonts w:ascii="Arial" w:hAnsi="Arial" w:cs="Arial"/>
          <w:lang w:val="en-GB"/>
        </w:rPr>
        <w:t>Sarstedt</w:t>
      </w:r>
      <w:proofErr w:type="spellEnd"/>
      <w:r w:rsidR="00F57FCC" w:rsidRPr="00D0206F">
        <w:rPr>
          <w:rFonts w:ascii="Arial" w:hAnsi="Arial" w:cs="Arial"/>
          <w:lang w:val="en-GB"/>
        </w:rPr>
        <w:t xml:space="preserve">, Ref. 72.690.001) </w:t>
      </w:r>
      <w:r w:rsidR="00777C96" w:rsidRPr="00D0206F">
        <w:rPr>
          <w:rFonts w:ascii="Arial" w:hAnsi="Arial" w:cs="Arial"/>
          <w:lang w:val="en-GB"/>
        </w:rPr>
        <w:t>until the day of the analysis.</w:t>
      </w:r>
      <w:r w:rsidR="008F43CA" w:rsidRPr="00D0206F">
        <w:rPr>
          <w:rFonts w:ascii="Arial" w:hAnsi="Arial" w:cs="Arial"/>
          <w:lang w:val="en-GB"/>
        </w:rPr>
        <w:t xml:space="preserve"> </w:t>
      </w:r>
    </w:p>
    <w:p w14:paraId="0F15CCCE" w14:textId="07BC8F63" w:rsidR="00393660" w:rsidRPr="00D0206F" w:rsidRDefault="008F43CA" w:rsidP="00393660">
      <w:pPr>
        <w:spacing w:line="480" w:lineRule="auto"/>
        <w:jc w:val="both"/>
        <w:rPr>
          <w:rFonts w:ascii="Arial" w:hAnsi="Arial" w:cs="Arial"/>
          <w:color w:val="ED7D31" w:themeColor="accent2"/>
          <w:lang w:val="en-GB"/>
        </w:rPr>
      </w:pPr>
      <w:r w:rsidRPr="00D0206F">
        <w:rPr>
          <w:rFonts w:ascii="Arial" w:hAnsi="Arial" w:cs="Arial"/>
          <w:lang w:val="en-GB"/>
        </w:rPr>
        <w:t>All included subjects gave</w:t>
      </w:r>
      <w:r w:rsidR="00777C96" w:rsidRPr="00D0206F">
        <w:rPr>
          <w:rFonts w:ascii="Arial" w:hAnsi="Arial" w:cs="Arial"/>
          <w:lang w:val="en-GB"/>
        </w:rPr>
        <w:t xml:space="preserve"> </w:t>
      </w:r>
      <w:r w:rsidR="00FF06CA" w:rsidRPr="00D0206F">
        <w:rPr>
          <w:rFonts w:ascii="Arial" w:hAnsi="Arial" w:cs="Arial"/>
          <w:lang w:val="en-GB"/>
        </w:rPr>
        <w:t xml:space="preserve">written informed consent </w:t>
      </w:r>
      <w:r w:rsidR="00790CEB">
        <w:rPr>
          <w:rFonts w:ascii="Arial" w:hAnsi="Arial" w:cs="Arial"/>
          <w:lang w:val="en-GB"/>
        </w:rPr>
        <w:t xml:space="preserve">for participation in research </w:t>
      </w:r>
      <w:r w:rsidR="00FF06CA" w:rsidRPr="00D0206F">
        <w:rPr>
          <w:rFonts w:ascii="Arial" w:hAnsi="Arial" w:cs="Arial"/>
          <w:lang w:val="en-GB"/>
        </w:rPr>
        <w:t xml:space="preserve">in </w:t>
      </w:r>
      <w:r w:rsidR="00393660" w:rsidRPr="00D0206F">
        <w:rPr>
          <w:rFonts w:ascii="Arial" w:hAnsi="Arial" w:cs="Arial"/>
          <w:lang w:val="en-GB"/>
        </w:rPr>
        <w:t xml:space="preserve">accordance with </w:t>
      </w:r>
      <w:r w:rsidR="00FF06CA" w:rsidRPr="00D0206F">
        <w:rPr>
          <w:rFonts w:ascii="Arial" w:hAnsi="Arial" w:cs="Arial"/>
          <w:lang w:val="en-GB"/>
        </w:rPr>
        <w:t xml:space="preserve">the guidelines of the local ethics committee following </w:t>
      </w:r>
      <w:r w:rsidR="00393660" w:rsidRPr="00D0206F">
        <w:rPr>
          <w:rFonts w:ascii="Arial" w:hAnsi="Arial" w:cs="Arial"/>
          <w:lang w:val="en-GB"/>
        </w:rPr>
        <w:t xml:space="preserve">the ethical principles set forth in the Declaration of Helsinki. </w:t>
      </w:r>
      <w:r w:rsidR="00A37456">
        <w:rPr>
          <w:rFonts w:ascii="Arial" w:hAnsi="Arial" w:cs="Arial"/>
          <w:lang w:val="en-GB"/>
        </w:rPr>
        <w:t>The f</w:t>
      </w:r>
      <w:r w:rsidR="00162C05" w:rsidRPr="00D0206F">
        <w:rPr>
          <w:rFonts w:ascii="Arial" w:hAnsi="Arial" w:cs="Arial"/>
          <w:lang w:val="en-GB"/>
        </w:rPr>
        <w:t xml:space="preserve">ull protocol for sample processing is detailed in </w:t>
      </w:r>
      <w:r w:rsidR="00162C05" w:rsidRPr="00D0206F">
        <w:rPr>
          <w:rFonts w:ascii="Arial" w:hAnsi="Arial" w:cs="Arial"/>
          <w:b/>
          <w:lang w:val="en-GB"/>
        </w:rPr>
        <w:t>Figure 1</w:t>
      </w:r>
      <w:r w:rsidR="00162C05" w:rsidRPr="00D0206F">
        <w:rPr>
          <w:rFonts w:ascii="Arial" w:hAnsi="Arial" w:cs="Arial"/>
          <w:lang w:val="en-GB"/>
        </w:rPr>
        <w:t>.</w:t>
      </w:r>
    </w:p>
    <w:p w14:paraId="18E0B459" w14:textId="185A8110" w:rsidR="007A3182" w:rsidRPr="00D0206F" w:rsidRDefault="00F60629" w:rsidP="00892EC3">
      <w:pPr>
        <w:spacing w:line="480" w:lineRule="auto"/>
        <w:jc w:val="both"/>
        <w:rPr>
          <w:rFonts w:ascii="Arial" w:hAnsi="Arial" w:cs="Arial"/>
          <w:lang w:val="en-GB"/>
        </w:rPr>
      </w:pPr>
      <w:r w:rsidRPr="00D0206F">
        <w:rPr>
          <w:rFonts w:ascii="Arial" w:hAnsi="Arial" w:cs="Arial"/>
          <w:lang w:val="en-GB"/>
        </w:rPr>
        <w:t xml:space="preserve">The samples were brought to </w:t>
      </w:r>
      <w:r w:rsidR="00C65CB0">
        <w:rPr>
          <w:rFonts w:ascii="Arial" w:hAnsi="Arial" w:cs="Arial"/>
          <w:lang w:val="en-GB"/>
        </w:rPr>
        <w:t>room temperature (</w:t>
      </w:r>
      <w:r w:rsidRPr="00D0206F">
        <w:rPr>
          <w:rFonts w:ascii="Arial" w:hAnsi="Arial" w:cs="Arial"/>
          <w:lang w:val="en-GB"/>
        </w:rPr>
        <w:t>RT</w:t>
      </w:r>
      <w:r w:rsidR="00C65CB0">
        <w:rPr>
          <w:rFonts w:ascii="Arial" w:hAnsi="Arial" w:cs="Arial"/>
          <w:lang w:val="en-GB"/>
        </w:rPr>
        <w:t>)</w:t>
      </w:r>
      <w:r w:rsidR="00186D10">
        <w:rPr>
          <w:rFonts w:ascii="Arial" w:hAnsi="Arial" w:cs="Arial"/>
          <w:lang w:val="en-GB"/>
        </w:rPr>
        <w:t xml:space="preserve"> (21-23ºC)</w:t>
      </w:r>
      <w:r w:rsidRPr="00D0206F">
        <w:rPr>
          <w:rFonts w:ascii="Arial" w:hAnsi="Arial" w:cs="Arial"/>
          <w:lang w:val="en-GB"/>
        </w:rPr>
        <w:t xml:space="preserve"> on the day of the analysis</w:t>
      </w:r>
      <w:r w:rsidR="009D339C" w:rsidRPr="00D0206F">
        <w:rPr>
          <w:rFonts w:ascii="Arial" w:hAnsi="Arial" w:cs="Arial"/>
          <w:lang w:val="en-GB"/>
        </w:rPr>
        <w:t>,</w:t>
      </w:r>
      <w:r w:rsidR="00B37563" w:rsidRPr="00D0206F">
        <w:rPr>
          <w:rFonts w:ascii="Arial" w:hAnsi="Arial" w:cs="Arial"/>
          <w:lang w:val="en-GB"/>
        </w:rPr>
        <w:t xml:space="preserve"> </w:t>
      </w:r>
      <w:r w:rsidRPr="00D0206F">
        <w:rPr>
          <w:rFonts w:ascii="Arial" w:hAnsi="Arial" w:cs="Arial"/>
          <w:lang w:val="en-GB"/>
        </w:rPr>
        <w:t>mixed thoroughly</w:t>
      </w:r>
      <w:r w:rsidR="00D811F2" w:rsidRPr="00D0206F">
        <w:rPr>
          <w:rFonts w:ascii="Arial" w:hAnsi="Arial" w:cs="Arial"/>
          <w:lang w:val="en-GB"/>
        </w:rPr>
        <w:t>,</w:t>
      </w:r>
      <w:r w:rsidR="00B37563" w:rsidRPr="00D0206F">
        <w:rPr>
          <w:rFonts w:ascii="Arial" w:hAnsi="Arial" w:cs="Arial"/>
          <w:lang w:val="en-GB"/>
        </w:rPr>
        <w:t xml:space="preserve"> centrifuged during 5 minutes at 2000 g</w:t>
      </w:r>
      <w:r w:rsidR="00D811F2" w:rsidRPr="00D0206F">
        <w:rPr>
          <w:rFonts w:ascii="Arial" w:hAnsi="Arial" w:cs="Arial"/>
          <w:lang w:val="en-GB"/>
        </w:rPr>
        <w:t xml:space="preserve"> and transferred to specific cuvettes for the</w:t>
      </w:r>
      <w:r w:rsidR="00B711D3" w:rsidRPr="00D0206F">
        <w:rPr>
          <w:rFonts w:ascii="Arial" w:hAnsi="Arial" w:cs="Arial"/>
          <w:lang w:val="en-GB"/>
        </w:rPr>
        <w:t>ir</w:t>
      </w:r>
      <w:r w:rsidR="00D811F2" w:rsidRPr="00D0206F">
        <w:rPr>
          <w:rFonts w:ascii="Arial" w:hAnsi="Arial" w:cs="Arial"/>
          <w:lang w:val="en-GB"/>
        </w:rPr>
        <w:t xml:space="preserve"> </w:t>
      </w:r>
      <w:r w:rsidR="00431E2C" w:rsidRPr="00D0206F">
        <w:rPr>
          <w:rFonts w:ascii="Arial" w:hAnsi="Arial" w:cs="Arial"/>
          <w:lang w:val="en-GB"/>
        </w:rPr>
        <w:t>q</w:t>
      </w:r>
      <w:r w:rsidR="003F32E8" w:rsidRPr="00D0206F">
        <w:rPr>
          <w:rFonts w:ascii="Arial" w:hAnsi="Arial" w:cs="Arial"/>
          <w:lang w:val="en-GB"/>
        </w:rPr>
        <w:t>uantification with</w:t>
      </w:r>
      <w:r w:rsidR="0055554A" w:rsidRPr="00D0206F">
        <w:rPr>
          <w:rFonts w:ascii="Arial" w:hAnsi="Arial" w:cs="Arial"/>
          <w:lang w:val="en-GB"/>
        </w:rPr>
        <w:t xml:space="preserve"> the LUMIPULSE G600II automated platform</w:t>
      </w:r>
      <w:r w:rsidR="003F32E8" w:rsidRPr="00D0206F">
        <w:rPr>
          <w:rFonts w:ascii="Arial" w:hAnsi="Arial" w:cs="Arial"/>
          <w:lang w:val="en-GB"/>
        </w:rPr>
        <w:t xml:space="preserve"> </w:t>
      </w:r>
      <w:r w:rsidR="0055554A" w:rsidRPr="00D0206F">
        <w:rPr>
          <w:rFonts w:ascii="Arial" w:hAnsi="Arial" w:cs="Arial"/>
          <w:lang w:val="en-GB"/>
        </w:rPr>
        <w:t xml:space="preserve">using the same batch of kits and reagents. </w:t>
      </w:r>
      <w:r w:rsidR="00496621" w:rsidRPr="00D0206F">
        <w:rPr>
          <w:rFonts w:ascii="Arial" w:hAnsi="Arial" w:cs="Arial"/>
          <w:lang w:val="en-GB"/>
        </w:rPr>
        <w:t xml:space="preserve">Because of the </w:t>
      </w:r>
      <w:r w:rsidR="00EE11C0" w:rsidRPr="00D0206F">
        <w:rPr>
          <w:rFonts w:ascii="Arial" w:hAnsi="Arial" w:cs="Arial"/>
          <w:lang w:val="en-GB"/>
        </w:rPr>
        <w:t>stability analysis’</w:t>
      </w:r>
      <w:r w:rsidR="00496621" w:rsidRPr="00D0206F">
        <w:rPr>
          <w:rFonts w:ascii="Arial" w:hAnsi="Arial" w:cs="Arial"/>
          <w:lang w:val="en-GB"/>
        </w:rPr>
        <w:t xml:space="preserve"> design</w:t>
      </w:r>
      <w:r w:rsidR="007A3182" w:rsidRPr="00D0206F">
        <w:rPr>
          <w:rFonts w:ascii="Arial" w:hAnsi="Arial" w:cs="Arial"/>
          <w:lang w:val="en-GB"/>
        </w:rPr>
        <w:t xml:space="preserve">, samples </w:t>
      </w:r>
      <w:r w:rsidR="006F6D47">
        <w:rPr>
          <w:rFonts w:ascii="Arial" w:hAnsi="Arial" w:cs="Arial"/>
          <w:lang w:val="en-GB"/>
        </w:rPr>
        <w:t xml:space="preserve">obtained </w:t>
      </w:r>
      <w:r w:rsidR="007A3182" w:rsidRPr="00D0206F">
        <w:rPr>
          <w:rFonts w:ascii="Arial" w:hAnsi="Arial" w:cs="Arial"/>
          <w:lang w:val="en-GB"/>
        </w:rPr>
        <w:t xml:space="preserve">from the same patient </w:t>
      </w:r>
      <w:r w:rsidR="006F6D47">
        <w:rPr>
          <w:rFonts w:ascii="Arial" w:hAnsi="Arial" w:cs="Arial"/>
          <w:lang w:val="en-GB"/>
        </w:rPr>
        <w:t>and stored for different periods of time had to be</w:t>
      </w:r>
      <w:r w:rsidR="006F6D47" w:rsidRPr="00D0206F">
        <w:rPr>
          <w:rFonts w:ascii="Arial" w:hAnsi="Arial" w:cs="Arial"/>
          <w:lang w:val="en-GB"/>
        </w:rPr>
        <w:t xml:space="preserve"> </w:t>
      </w:r>
      <w:r w:rsidR="007A3182" w:rsidRPr="00D0206F">
        <w:rPr>
          <w:rFonts w:ascii="Arial" w:hAnsi="Arial" w:cs="Arial"/>
          <w:lang w:val="en-GB"/>
        </w:rPr>
        <w:t>run in different days</w:t>
      </w:r>
      <w:r w:rsidR="00831704">
        <w:rPr>
          <w:rFonts w:ascii="Arial" w:hAnsi="Arial" w:cs="Arial"/>
          <w:lang w:val="en-GB"/>
        </w:rPr>
        <w:t xml:space="preserve">. </w:t>
      </w:r>
      <w:r w:rsidR="00996AE4">
        <w:rPr>
          <w:rFonts w:ascii="Arial" w:hAnsi="Arial" w:cs="Arial"/>
          <w:lang w:val="en-GB"/>
        </w:rPr>
        <w:t>Internal quality control samples were included in all runs to assess i</w:t>
      </w:r>
      <w:r w:rsidR="007A3182" w:rsidRPr="00D0206F">
        <w:rPr>
          <w:rFonts w:ascii="Arial" w:hAnsi="Arial" w:cs="Arial"/>
          <w:lang w:val="en-GB"/>
        </w:rPr>
        <w:t>nter-assay variability</w:t>
      </w:r>
      <w:r w:rsidR="00DE6D33">
        <w:rPr>
          <w:rFonts w:ascii="Arial" w:hAnsi="Arial" w:cs="Arial"/>
          <w:lang w:val="en-GB"/>
        </w:rPr>
        <w:t>.</w:t>
      </w:r>
    </w:p>
    <w:p w14:paraId="3FCD1C9A" w14:textId="4246AF31" w:rsidR="001A6A3E" w:rsidRPr="00D0206F" w:rsidRDefault="00F60629" w:rsidP="001A6A3E">
      <w:pPr>
        <w:spacing w:line="480" w:lineRule="auto"/>
        <w:jc w:val="both"/>
        <w:rPr>
          <w:rFonts w:ascii="Arial" w:hAnsi="Arial" w:cs="Arial"/>
          <w:lang w:val="en-GB"/>
        </w:rPr>
      </w:pPr>
      <w:r w:rsidRPr="00D0206F">
        <w:rPr>
          <w:rFonts w:ascii="Arial" w:hAnsi="Arial" w:cs="Arial"/>
          <w:lang w:val="en-GB"/>
        </w:rPr>
        <w:t xml:space="preserve">The characteristics of the study population were </w:t>
      </w:r>
      <w:r w:rsidR="00D0206F">
        <w:rPr>
          <w:rFonts w:ascii="Arial" w:hAnsi="Arial" w:cs="Arial"/>
          <w:lang w:val="en-GB"/>
        </w:rPr>
        <w:t xml:space="preserve">summarized </w:t>
      </w:r>
      <w:r w:rsidRPr="00D0206F">
        <w:rPr>
          <w:rFonts w:ascii="Arial" w:hAnsi="Arial" w:cs="Arial"/>
          <w:lang w:val="en-GB"/>
        </w:rPr>
        <w:t>using descriptive statistics.</w:t>
      </w:r>
      <w:r w:rsidR="008406A2" w:rsidRPr="00D0206F">
        <w:rPr>
          <w:rFonts w:ascii="Arial" w:hAnsi="Arial" w:cs="Arial"/>
          <w:lang w:val="en-GB"/>
        </w:rPr>
        <w:t xml:space="preserve"> </w:t>
      </w:r>
      <w:r w:rsidR="002B6D24" w:rsidRPr="00D0206F">
        <w:rPr>
          <w:rFonts w:ascii="Arial" w:hAnsi="Arial" w:cs="Arial"/>
          <w:lang w:val="en-GB"/>
        </w:rPr>
        <w:t xml:space="preserve">Demographic </w:t>
      </w:r>
      <w:r w:rsidR="00E425C4" w:rsidRPr="00D0206F">
        <w:rPr>
          <w:rFonts w:ascii="Arial" w:hAnsi="Arial" w:cs="Arial"/>
          <w:lang w:val="en-GB"/>
        </w:rPr>
        <w:t xml:space="preserve">and biochemical </w:t>
      </w:r>
      <w:r w:rsidR="002B6D24" w:rsidRPr="00D0206F">
        <w:rPr>
          <w:rFonts w:ascii="Arial" w:hAnsi="Arial" w:cs="Arial"/>
          <w:lang w:val="en-GB"/>
        </w:rPr>
        <w:t xml:space="preserve">data </w:t>
      </w:r>
      <w:r w:rsidR="00C84952" w:rsidRPr="00D0206F">
        <w:rPr>
          <w:rFonts w:ascii="Arial" w:hAnsi="Arial" w:cs="Arial"/>
          <w:lang w:val="en-GB"/>
        </w:rPr>
        <w:t>are</w:t>
      </w:r>
      <w:r w:rsidR="002B6D24" w:rsidRPr="00D0206F">
        <w:rPr>
          <w:rFonts w:ascii="Arial" w:hAnsi="Arial" w:cs="Arial"/>
          <w:lang w:val="en-GB"/>
        </w:rPr>
        <w:t xml:space="preserve"> presented as </w:t>
      </w:r>
      <w:r w:rsidR="002A0254" w:rsidRPr="00D0206F">
        <w:rPr>
          <w:rFonts w:ascii="Arial" w:hAnsi="Arial" w:cs="Arial"/>
          <w:lang w:val="en-GB"/>
        </w:rPr>
        <w:t>mean</w:t>
      </w:r>
      <w:r w:rsidR="002B6D24" w:rsidRPr="00D0206F">
        <w:rPr>
          <w:rFonts w:ascii="Arial" w:hAnsi="Arial" w:cs="Arial"/>
          <w:lang w:val="en-GB"/>
        </w:rPr>
        <w:t xml:space="preserve"> and standard deviation (SD). </w:t>
      </w:r>
      <w:r w:rsidR="008143CA" w:rsidRPr="00D0206F">
        <w:rPr>
          <w:rFonts w:ascii="Arial" w:hAnsi="Arial" w:cs="Arial"/>
          <w:lang w:val="en-GB"/>
        </w:rPr>
        <w:t xml:space="preserve">Biomarker measurements were converted to percentages relative to the aliquot </w:t>
      </w:r>
      <w:r w:rsidR="00D0206F" w:rsidRPr="00D0206F">
        <w:rPr>
          <w:rFonts w:ascii="Arial" w:hAnsi="Arial" w:cs="Arial"/>
          <w:lang w:val="en-GB"/>
        </w:rPr>
        <w:t>analysed</w:t>
      </w:r>
      <w:r w:rsidR="008143CA" w:rsidRPr="00D0206F">
        <w:rPr>
          <w:rFonts w:ascii="Arial" w:hAnsi="Arial" w:cs="Arial"/>
          <w:lang w:val="en-GB"/>
        </w:rPr>
        <w:t xml:space="preserve"> under condition C </w:t>
      </w:r>
      <w:r w:rsidR="00F42A62" w:rsidRPr="00D0206F">
        <w:rPr>
          <w:rFonts w:ascii="Arial" w:hAnsi="Arial" w:cs="Arial"/>
          <w:lang w:val="en-GB"/>
        </w:rPr>
        <w:t xml:space="preserve">(reference sample, 100%). </w:t>
      </w:r>
      <w:r w:rsidR="0043331D" w:rsidRPr="00D0206F">
        <w:rPr>
          <w:rFonts w:ascii="Arial" w:hAnsi="Arial" w:cs="Arial"/>
          <w:lang w:val="en-GB"/>
        </w:rPr>
        <w:t>D</w:t>
      </w:r>
      <w:r w:rsidR="009304D4" w:rsidRPr="00D0206F">
        <w:rPr>
          <w:rFonts w:ascii="Arial" w:hAnsi="Arial" w:cs="Arial"/>
          <w:lang w:val="en-GB"/>
        </w:rPr>
        <w:t>ata are presented as me</w:t>
      </w:r>
      <w:r w:rsidR="0043331D" w:rsidRPr="00D0206F">
        <w:rPr>
          <w:rFonts w:ascii="Arial" w:hAnsi="Arial" w:cs="Arial"/>
          <w:lang w:val="en-GB"/>
        </w:rPr>
        <w:t xml:space="preserve">an (95% Confidence </w:t>
      </w:r>
      <w:r w:rsidR="00037B4E" w:rsidRPr="00D0206F">
        <w:rPr>
          <w:rFonts w:ascii="Arial" w:hAnsi="Arial" w:cs="Arial"/>
          <w:lang w:val="en-GB"/>
        </w:rPr>
        <w:t>i</w:t>
      </w:r>
      <w:r w:rsidR="0043331D" w:rsidRPr="00D0206F">
        <w:rPr>
          <w:rFonts w:ascii="Arial" w:hAnsi="Arial" w:cs="Arial"/>
          <w:lang w:val="en-GB"/>
        </w:rPr>
        <w:t xml:space="preserve">nterval (CI)) for each condition. </w:t>
      </w:r>
      <w:r w:rsidR="00EE11C0" w:rsidRPr="00D0206F">
        <w:rPr>
          <w:rFonts w:ascii="Arial" w:hAnsi="Arial" w:cs="Arial"/>
          <w:lang w:val="en-GB"/>
        </w:rPr>
        <w:t>To compare continuous variables across the studied conditions, one-way ANOVA for repeated measures with Dunnett's Multiple Comparison test was used.</w:t>
      </w:r>
      <w:r w:rsidR="00413EA2" w:rsidRPr="00D0206F">
        <w:rPr>
          <w:rFonts w:ascii="Arial" w:hAnsi="Arial" w:cs="Arial"/>
          <w:color w:val="ED7D31" w:themeColor="accent2"/>
          <w:lang w:val="en-GB"/>
        </w:rPr>
        <w:t xml:space="preserve"> </w:t>
      </w:r>
      <w:r w:rsidR="008406A2" w:rsidRPr="00D0206F">
        <w:rPr>
          <w:rFonts w:ascii="Arial" w:hAnsi="Arial" w:cs="Arial"/>
          <w:lang w:val="en-GB"/>
        </w:rPr>
        <w:t>Pearson</w:t>
      </w:r>
      <w:r w:rsidR="00DB593B" w:rsidRPr="00D0206F">
        <w:rPr>
          <w:rFonts w:ascii="Arial" w:hAnsi="Arial" w:cs="Arial"/>
          <w:lang w:val="en-GB"/>
        </w:rPr>
        <w:t xml:space="preserve">’s </w:t>
      </w:r>
      <w:r w:rsidR="00A37456">
        <w:rPr>
          <w:rFonts w:ascii="Arial" w:hAnsi="Arial" w:cs="Arial"/>
          <w:lang w:val="en-GB"/>
        </w:rPr>
        <w:t xml:space="preserve">correlation </w:t>
      </w:r>
      <w:r w:rsidR="00DB593B" w:rsidRPr="00D0206F">
        <w:rPr>
          <w:rFonts w:ascii="Arial" w:hAnsi="Arial" w:cs="Arial"/>
          <w:lang w:val="en-GB"/>
        </w:rPr>
        <w:t>coefficient</w:t>
      </w:r>
      <w:r w:rsidR="00A37456">
        <w:rPr>
          <w:rFonts w:ascii="Arial" w:hAnsi="Arial" w:cs="Arial"/>
          <w:lang w:val="en-GB"/>
        </w:rPr>
        <w:t>s</w:t>
      </w:r>
      <w:r w:rsidR="00DB593B" w:rsidRPr="00D0206F">
        <w:rPr>
          <w:rFonts w:ascii="Arial" w:hAnsi="Arial" w:cs="Arial"/>
          <w:lang w:val="en-GB"/>
        </w:rPr>
        <w:t xml:space="preserve"> </w:t>
      </w:r>
      <w:r w:rsidR="00A37456">
        <w:rPr>
          <w:rFonts w:ascii="Arial" w:hAnsi="Arial" w:cs="Arial"/>
          <w:lang w:val="en-GB"/>
        </w:rPr>
        <w:t>were</w:t>
      </w:r>
      <w:r w:rsidR="00DB593B" w:rsidRPr="00D0206F">
        <w:rPr>
          <w:rFonts w:ascii="Arial" w:hAnsi="Arial" w:cs="Arial"/>
          <w:lang w:val="en-GB"/>
        </w:rPr>
        <w:t xml:space="preserve"> </w:t>
      </w:r>
      <w:r w:rsidR="00EE11C0" w:rsidRPr="00D0206F">
        <w:rPr>
          <w:rFonts w:ascii="Arial" w:hAnsi="Arial" w:cs="Arial"/>
          <w:lang w:val="en-GB"/>
        </w:rPr>
        <w:t>determine</w:t>
      </w:r>
      <w:r w:rsidR="00A37456">
        <w:rPr>
          <w:rFonts w:ascii="Arial" w:hAnsi="Arial" w:cs="Arial"/>
          <w:lang w:val="en-GB"/>
        </w:rPr>
        <w:t>d</w:t>
      </w:r>
      <w:r w:rsidR="00DB593B" w:rsidRPr="00D0206F">
        <w:rPr>
          <w:rFonts w:ascii="Arial" w:hAnsi="Arial" w:cs="Arial"/>
          <w:lang w:val="en-GB"/>
        </w:rPr>
        <w:t xml:space="preserve"> between</w:t>
      </w:r>
      <w:r w:rsidR="004623B5" w:rsidRPr="00D0206F">
        <w:rPr>
          <w:rFonts w:ascii="Arial" w:hAnsi="Arial" w:cs="Arial"/>
          <w:lang w:val="en-GB"/>
        </w:rPr>
        <w:t xml:space="preserve"> </w:t>
      </w:r>
      <w:r w:rsidR="003C5AA4" w:rsidRPr="00D0206F">
        <w:rPr>
          <w:rFonts w:ascii="Arial" w:hAnsi="Arial" w:cs="Arial"/>
          <w:lang w:val="en-GB"/>
        </w:rPr>
        <w:lastRenderedPageBreak/>
        <w:t>reference condition C vs. conditions A and B</w:t>
      </w:r>
      <w:r w:rsidR="003C5AA4" w:rsidRPr="00D0206F">
        <w:rPr>
          <w:rFonts w:ascii="Arial" w:hAnsi="Arial" w:cs="Arial"/>
          <w:lang w:val="en-GB"/>
        </w:rPr>
        <w:t xml:space="preserve"> </w:t>
      </w:r>
      <w:r w:rsidR="003C5AA4" w:rsidRPr="00D0206F">
        <w:rPr>
          <w:rFonts w:ascii="Arial" w:hAnsi="Arial" w:cs="Arial"/>
          <w:lang w:val="en-GB"/>
        </w:rPr>
        <w:t>as well as between</w:t>
      </w:r>
      <w:r w:rsidR="003C5AA4" w:rsidRPr="00D0206F">
        <w:rPr>
          <w:rFonts w:ascii="Arial" w:hAnsi="Arial" w:cs="Arial"/>
          <w:lang w:val="en-GB"/>
        </w:rPr>
        <w:t xml:space="preserve"> </w:t>
      </w:r>
      <w:r w:rsidR="00DA5618">
        <w:rPr>
          <w:rFonts w:ascii="Arial" w:hAnsi="Arial" w:cs="Arial"/>
          <w:lang w:val="en-GB"/>
        </w:rPr>
        <w:t>EDTA-</w:t>
      </w:r>
      <w:r w:rsidR="00C65CB0" w:rsidRPr="00D0206F">
        <w:rPr>
          <w:rFonts w:ascii="Arial" w:hAnsi="Arial" w:cs="Arial"/>
          <w:lang w:val="en-GB"/>
        </w:rPr>
        <w:t>plasma and serum samples</w:t>
      </w:r>
      <w:r w:rsidR="00177D6E" w:rsidRPr="00D0206F">
        <w:rPr>
          <w:rFonts w:ascii="Arial" w:hAnsi="Arial" w:cs="Arial"/>
          <w:lang w:val="en-GB"/>
        </w:rPr>
        <w:t xml:space="preserve">. </w:t>
      </w:r>
      <w:r w:rsidR="00873191">
        <w:rPr>
          <w:rFonts w:ascii="Arial" w:hAnsi="Arial" w:cs="Arial"/>
          <w:lang w:val="en-GB"/>
        </w:rPr>
        <w:t xml:space="preserve">Regression analysis was performed for </w:t>
      </w:r>
      <w:r w:rsidR="005B7439">
        <w:rPr>
          <w:rFonts w:ascii="Arial" w:hAnsi="Arial" w:cs="Arial"/>
          <w:lang w:val="en-GB"/>
        </w:rPr>
        <w:t>the comparisons that showed strong correlations.</w:t>
      </w:r>
      <w:r w:rsidR="00873191">
        <w:rPr>
          <w:rFonts w:ascii="Arial" w:hAnsi="Arial" w:cs="Arial"/>
          <w:lang w:val="en-GB"/>
        </w:rPr>
        <w:t xml:space="preserve"> </w:t>
      </w:r>
      <w:r w:rsidR="00EE11C0" w:rsidRPr="00D0206F">
        <w:rPr>
          <w:rFonts w:ascii="Arial" w:hAnsi="Arial" w:cs="Arial"/>
          <w:lang w:val="en-GB"/>
        </w:rPr>
        <w:t>Cohen's kappa coefficient</w:t>
      </w:r>
      <w:r w:rsidR="00DA5618">
        <w:rPr>
          <w:rFonts w:ascii="Arial" w:hAnsi="Arial" w:cs="Arial"/>
          <w:lang w:val="en-GB"/>
        </w:rPr>
        <w:t xml:space="preserve"> (k)</w:t>
      </w:r>
      <w:r w:rsidR="00EE11C0" w:rsidRPr="00D0206F">
        <w:rPr>
          <w:rFonts w:ascii="Arial" w:hAnsi="Arial" w:cs="Arial"/>
          <w:lang w:val="en-GB"/>
        </w:rPr>
        <w:t xml:space="preserve"> was used to calculate diagnostic agreement.</w:t>
      </w:r>
      <w:r w:rsidR="00801F62" w:rsidRPr="00D0206F">
        <w:rPr>
          <w:rFonts w:ascii="Arial" w:hAnsi="Arial" w:cs="Arial"/>
          <w:lang w:val="en-GB"/>
        </w:rPr>
        <w:t xml:space="preserve"> </w:t>
      </w:r>
      <w:r w:rsidR="00C65CB0" w:rsidRPr="00C65CB0">
        <w:rPr>
          <w:rFonts w:ascii="Arial" w:hAnsi="Arial" w:cs="Arial"/>
          <w:lang w:val="en-GB"/>
        </w:rPr>
        <w:t xml:space="preserve">A </w:t>
      </w:r>
      <w:r w:rsidR="00DA5618">
        <w:rPr>
          <w:rFonts w:ascii="Arial" w:hAnsi="Arial" w:cs="Arial"/>
          <w:lang w:val="en-GB"/>
        </w:rPr>
        <w:t xml:space="preserve">k </w:t>
      </w:r>
      <w:r w:rsidR="00C65CB0" w:rsidRPr="00C65CB0">
        <w:rPr>
          <w:rFonts w:ascii="Arial" w:hAnsi="Arial" w:cs="Arial"/>
          <w:lang w:val="en-GB"/>
        </w:rPr>
        <w:t>index of 0.41 to 0.6 was considered moderate agreement, 0.61 to 0.8 was considered substantial agreement, and 0.81 to 1 was considered nearly perfect agreement.</w:t>
      </w:r>
      <w:r w:rsidR="00C65CB0">
        <w:rPr>
          <w:rFonts w:ascii="Arial" w:hAnsi="Arial" w:cs="Arial"/>
          <w:lang w:val="en-GB"/>
        </w:rPr>
        <w:t xml:space="preserve"> </w:t>
      </w:r>
      <w:r w:rsidR="00C65CB0" w:rsidRPr="00D0206F">
        <w:rPr>
          <w:rFonts w:ascii="Arial" w:hAnsi="Arial" w:cs="Arial"/>
          <w:lang w:val="en-GB"/>
        </w:rPr>
        <w:t>For</w:t>
      </w:r>
      <w:r w:rsidR="00BB2B2F" w:rsidRPr="00D0206F">
        <w:rPr>
          <w:rFonts w:ascii="Arial" w:hAnsi="Arial" w:cs="Arial"/>
          <w:lang w:val="en-GB"/>
        </w:rPr>
        <w:t xml:space="preserve"> statistical analyses, the statistical software Graph Prism (version 5</w:t>
      </w:r>
      <w:r w:rsidR="00C65CB0">
        <w:rPr>
          <w:rFonts w:ascii="Arial" w:hAnsi="Arial" w:cs="Arial"/>
          <w:lang w:val="en-GB"/>
        </w:rPr>
        <w:t>.01</w:t>
      </w:r>
      <w:r w:rsidR="00BB2B2F" w:rsidRPr="00D0206F">
        <w:rPr>
          <w:rFonts w:ascii="Arial" w:hAnsi="Arial" w:cs="Arial"/>
          <w:lang w:val="en-GB"/>
        </w:rPr>
        <w:t>) was used.</w:t>
      </w:r>
      <w:r w:rsidR="004811BD" w:rsidRPr="00D0206F">
        <w:rPr>
          <w:rFonts w:ascii="Arial" w:hAnsi="Arial" w:cs="Arial"/>
          <w:lang w:val="en-GB"/>
        </w:rPr>
        <w:t xml:space="preserve"> </w:t>
      </w:r>
      <w:r w:rsidR="004811BD" w:rsidRPr="00D0206F">
        <w:rPr>
          <w:rFonts w:ascii="Arial" w:eastAsia="AdvOTb7819099" w:hAnsi="Arial" w:cs="Arial"/>
          <w:lang w:val="en-GB"/>
        </w:rPr>
        <w:t xml:space="preserve">A </w:t>
      </w:r>
      <w:r w:rsidR="00A37456">
        <w:rPr>
          <w:rFonts w:ascii="Arial" w:hAnsi="Arial" w:cs="Arial"/>
          <w:lang w:val="en-GB"/>
        </w:rPr>
        <w:t>p</w:t>
      </w:r>
      <w:r w:rsidR="004811BD" w:rsidRPr="00D0206F">
        <w:rPr>
          <w:rFonts w:ascii="Arial" w:hAnsi="Arial" w:cs="Arial"/>
          <w:lang w:val="en-GB"/>
        </w:rPr>
        <w:t>-value &lt; 0.05 was considered statistically significant.</w:t>
      </w:r>
      <w:r w:rsidR="00092B80" w:rsidRPr="00D0206F">
        <w:rPr>
          <w:rFonts w:ascii="Arial" w:hAnsi="Arial" w:cs="Arial"/>
          <w:lang w:val="en-GB"/>
        </w:rPr>
        <w:t xml:space="preserve"> </w:t>
      </w:r>
    </w:p>
    <w:p w14:paraId="79C8B7C1" w14:textId="621AFFAE" w:rsidR="008705FE" w:rsidRPr="00D0206F" w:rsidRDefault="008705FE" w:rsidP="001A6A3E">
      <w:pPr>
        <w:pStyle w:val="Pargrafdellista"/>
        <w:numPr>
          <w:ilvl w:val="0"/>
          <w:numId w:val="1"/>
        </w:numPr>
        <w:spacing w:line="480" w:lineRule="auto"/>
        <w:jc w:val="both"/>
        <w:rPr>
          <w:rFonts w:ascii="Arial" w:hAnsi="Arial" w:cs="Arial"/>
          <w:b/>
          <w:lang w:val="en-GB"/>
        </w:rPr>
      </w:pPr>
      <w:r w:rsidRPr="00D0206F">
        <w:rPr>
          <w:rFonts w:ascii="Arial" w:hAnsi="Arial" w:cs="Arial"/>
          <w:b/>
          <w:lang w:val="en-GB"/>
        </w:rPr>
        <w:t>Results</w:t>
      </w:r>
    </w:p>
    <w:p w14:paraId="243E71BC" w14:textId="7E0DC14B" w:rsidR="0081699F" w:rsidRPr="00234A08" w:rsidRDefault="003820E6" w:rsidP="001E792E">
      <w:pPr>
        <w:spacing w:line="480" w:lineRule="auto"/>
        <w:jc w:val="both"/>
        <w:rPr>
          <w:rFonts w:ascii="Arial" w:hAnsi="Arial" w:cs="Arial"/>
          <w:lang w:val="en-GB"/>
        </w:rPr>
      </w:pPr>
      <w:r w:rsidRPr="00D0206F">
        <w:rPr>
          <w:rFonts w:ascii="Arial" w:hAnsi="Arial" w:cs="Arial"/>
          <w:lang w:val="en-GB"/>
        </w:rPr>
        <w:t xml:space="preserve">The study included </w:t>
      </w:r>
      <w:r w:rsidR="00A656D9" w:rsidRPr="00D0206F">
        <w:rPr>
          <w:rFonts w:ascii="Arial" w:hAnsi="Arial" w:cs="Arial"/>
          <w:lang w:val="en-GB"/>
        </w:rPr>
        <w:t xml:space="preserve">32 patients for the </w:t>
      </w:r>
      <w:r w:rsidR="00A37456">
        <w:rPr>
          <w:rFonts w:ascii="Arial" w:hAnsi="Arial" w:cs="Arial"/>
          <w:lang w:val="en-GB"/>
        </w:rPr>
        <w:t xml:space="preserve">plasma biomarker </w:t>
      </w:r>
      <w:r w:rsidR="00A656D9" w:rsidRPr="00D0206F">
        <w:rPr>
          <w:rFonts w:ascii="Arial" w:hAnsi="Arial" w:cs="Arial"/>
          <w:lang w:val="en-GB"/>
        </w:rPr>
        <w:t xml:space="preserve">stability study and 30 </w:t>
      </w:r>
      <w:r w:rsidR="00D51F07" w:rsidRPr="00D0206F">
        <w:rPr>
          <w:rFonts w:ascii="Arial" w:hAnsi="Arial" w:cs="Arial"/>
          <w:lang w:val="en-GB"/>
        </w:rPr>
        <w:t xml:space="preserve">independent </w:t>
      </w:r>
      <w:r w:rsidR="00A656D9" w:rsidRPr="00D0206F">
        <w:rPr>
          <w:rFonts w:ascii="Arial" w:hAnsi="Arial" w:cs="Arial"/>
          <w:lang w:val="en-GB"/>
        </w:rPr>
        <w:t xml:space="preserve">patients for the </w:t>
      </w:r>
      <w:r w:rsidR="00E612D1" w:rsidRPr="00D0206F">
        <w:rPr>
          <w:rFonts w:ascii="Arial" w:hAnsi="Arial" w:cs="Arial"/>
          <w:lang w:val="en-GB"/>
        </w:rPr>
        <w:t xml:space="preserve">plasma-serum </w:t>
      </w:r>
      <w:r w:rsidR="00A656D9" w:rsidRPr="00D0206F">
        <w:rPr>
          <w:rFonts w:ascii="Arial" w:hAnsi="Arial" w:cs="Arial"/>
          <w:lang w:val="en-GB"/>
        </w:rPr>
        <w:t xml:space="preserve">comparison analysis. </w:t>
      </w:r>
      <w:r w:rsidR="00F60629" w:rsidRPr="00D0206F">
        <w:rPr>
          <w:rFonts w:ascii="Arial" w:hAnsi="Arial" w:cs="Arial"/>
          <w:b/>
          <w:lang w:val="en-GB"/>
        </w:rPr>
        <w:t xml:space="preserve">Tables 1 </w:t>
      </w:r>
      <w:r w:rsidR="00F60629" w:rsidRPr="00D0206F">
        <w:rPr>
          <w:rFonts w:ascii="Arial" w:hAnsi="Arial" w:cs="Arial"/>
          <w:lang w:val="en-GB"/>
        </w:rPr>
        <w:t xml:space="preserve">and </w:t>
      </w:r>
      <w:r w:rsidR="00F60629" w:rsidRPr="00D0206F">
        <w:rPr>
          <w:rFonts w:ascii="Arial" w:hAnsi="Arial" w:cs="Arial"/>
          <w:b/>
          <w:lang w:val="en-GB"/>
        </w:rPr>
        <w:t>2</w:t>
      </w:r>
      <w:r w:rsidR="00F60629" w:rsidRPr="00D0206F">
        <w:rPr>
          <w:rFonts w:ascii="Arial" w:hAnsi="Arial" w:cs="Arial"/>
          <w:lang w:val="en-GB"/>
        </w:rPr>
        <w:t xml:space="preserve"> provide the demographics, </w:t>
      </w:r>
      <w:r w:rsidR="00CD6A1D" w:rsidRPr="00D0206F">
        <w:rPr>
          <w:rFonts w:ascii="Arial" w:hAnsi="Arial" w:cs="Arial"/>
          <w:lang w:val="en-GB"/>
        </w:rPr>
        <w:t>mean,</w:t>
      </w:r>
      <w:r w:rsidR="00F60629" w:rsidRPr="00D0206F">
        <w:rPr>
          <w:rFonts w:ascii="Arial" w:hAnsi="Arial" w:cs="Arial"/>
          <w:lang w:val="en-GB"/>
        </w:rPr>
        <w:t xml:space="preserve"> (SD), and range for each parameter that was evaluated </w:t>
      </w:r>
      <w:r w:rsidR="00263AE8" w:rsidRPr="000638F6">
        <w:rPr>
          <w:rFonts w:ascii="Arial" w:hAnsi="Arial" w:cs="Arial"/>
          <w:lang w:val="en-GB"/>
        </w:rPr>
        <w:t xml:space="preserve">under </w:t>
      </w:r>
      <w:r w:rsidR="00263AE8">
        <w:rPr>
          <w:rFonts w:ascii="Arial" w:hAnsi="Arial" w:cs="Arial"/>
          <w:lang w:val="en-GB"/>
        </w:rPr>
        <w:t xml:space="preserve">the reference </w:t>
      </w:r>
      <w:r w:rsidR="00263AE8" w:rsidRPr="000638F6">
        <w:rPr>
          <w:rFonts w:ascii="Arial" w:hAnsi="Arial" w:cs="Arial"/>
          <w:lang w:val="en-GB"/>
        </w:rPr>
        <w:t>condition,</w:t>
      </w:r>
      <w:r w:rsidR="00263AE8">
        <w:rPr>
          <w:rFonts w:ascii="Arial" w:hAnsi="Arial" w:cs="Arial"/>
          <w:lang w:val="en-GB"/>
        </w:rPr>
        <w:t xml:space="preserve"> </w:t>
      </w:r>
      <w:r w:rsidR="00F60629" w:rsidRPr="00234A08">
        <w:rPr>
          <w:rFonts w:ascii="Arial" w:hAnsi="Arial" w:cs="Arial"/>
          <w:lang w:val="en-GB"/>
        </w:rPr>
        <w:t xml:space="preserve">for </w:t>
      </w:r>
      <w:r w:rsidR="00263AE8">
        <w:rPr>
          <w:rFonts w:ascii="Arial" w:hAnsi="Arial" w:cs="Arial"/>
          <w:lang w:val="en-GB"/>
        </w:rPr>
        <w:t xml:space="preserve">both </w:t>
      </w:r>
      <w:r w:rsidR="00F60629" w:rsidRPr="00234A08">
        <w:rPr>
          <w:rFonts w:ascii="Arial" w:hAnsi="Arial" w:cs="Arial"/>
          <w:lang w:val="en-GB"/>
        </w:rPr>
        <w:t>groups</w:t>
      </w:r>
      <w:r w:rsidR="00D30970">
        <w:rPr>
          <w:rFonts w:ascii="Arial" w:hAnsi="Arial" w:cs="Arial"/>
          <w:lang w:val="en-GB"/>
        </w:rPr>
        <w:t>,</w:t>
      </w:r>
      <w:r w:rsidR="00F60629" w:rsidRPr="00234A08">
        <w:rPr>
          <w:rFonts w:ascii="Arial" w:hAnsi="Arial" w:cs="Arial"/>
          <w:lang w:val="en-GB"/>
        </w:rPr>
        <w:t xml:space="preserve"> respectively.</w:t>
      </w:r>
    </w:p>
    <w:p w14:paraId="4CC2D067" w14:textId="78FB6F34" w:rsidR="006C7173" w:rsidRPr="005C6AB7" w:rsidRDefault="00B367BC" w:rsidP="001E792E">
      <w:pPr>
        <w:spacing w:line="480" w:lineRule="auto"/>
        <w:jc w:val="both"/>
        <w:rPr>
          <w:rFonts w:ascii="Arial" w:hAnsi="Arial" w:cs="Arial"/>
          <w:lang w:val="en-GB"/>
        </w:rPr>
      </w:pPr>
      <w:r w:rsidRPr="005C6AB7">
        <w:rPr>
          <w:rFonts w:ascii="Arial" w:hAnsi="Arial" w:cs="Arial"/>
          <w:lang w:val="en-GB"/>
        </w:rPr>
        <w:t xml:space="preserve">Regarding </w:t>
      </w:r>
      <w:r w:rsidR="00D51F07" w:rsidRPr="005C6AB7">
        <w:rPr>
          <w:rFonts w:ascii="Arial" w:hAnsi="Arial" w:cs="Arial"/>
          <w:lang w:val="en-GB"/>
        </w:rPr>
        <w:t>sample</w:t>
      </w:r>
      <w:r w:rsidRPr="005C6AB7">
        <w:rPr>
          <w:rFonts w:ascii="Arial" w:hAnsi="Arial" w:cs="Arial"/>
          <w:lang w:val="en-GB"/>
        </w:rPr>
        <w:t xml:space="preserve"> stability,</w:t>
      </w:r>
      <w:r w:rsidRPr="005C6AB7">
        <w:rPr>
          <w:rFonts w:ascii="Arial" w:hAnsi="Arial" w:cs="Arial"/>
          <w:b/>
          <w:lang w:val="en-GB"/>
        </w:rPr>
        <w:t xml:space="preserve"> </w:t>
      </w:r>
      <w:r w:rsidR="0022065A" w:rsidRPr="005C6AB7">
        <w:rPr>
          <w:rFonts w:ascii="Arial" w:hAnsi="Arial" w:cs="Arial"/>
          <w:b/>
          <w:lang w:val="en-GB"/>
        </w:rPr>
        <w:t xml:space="preserve">Figure </w:t>
      </w:r>
      <w:r w:rsidR="00162C05" w:rsidRPr="005C6AB7">
        <w:rPr>
          <w:rFonts w:ascii="Arial" w:hAnsi="Arial" w:cs="Arial"/>
          <w:b/>
          <w:lang w:val="en-GB"/>
        </w:rPr>
        <w:t>2</w:t>
      </w:r>
      <w:r w:rsidR="0022065A" w:rsidRPr="005C6AB7">
        <w:rPr>
          <w:rFonts w:ascii="Arial" w:hAnsi="Arial" w:cs="Arial"/>
          <w:lang w:val="en-GB"/>
        </w:rPr>
        <w:t xml:space="preserve"> </w:t>
      </w:r>
      <w:r w:rsidR="00F60629" w:rsidRPr="005C6AB7">
        <w:rPr>
          <w:rFonts w:ascii="Arial" w:hAnsi="Arial" w:cs="Arial"/>
          <w:lang w:val="en-GB"/>
        </w:rPr>
        <w:t>depicts</w:t>
      </w:r>
      <w:r w:rsidR="0022065A" w:rsidRPr="005C6AB7">
        <w:rPr>
          <w:rFonts w:ascii="Arial" w:hAnsi="Arial" w:cs="Arial"/>
          <w:lang w:val="en-GB"/>
        </w:rPr>
        <w:t xml:space="preserve"> </w:t>
      </w:r>
      <w:r w:rsidR="00A37456">
        <w:rPr>
          <w:rFonts w:ascii="Arial" w:hAnsi="Arial" w:cs="Arial"/>
          <w:lang w:val="en-GB"/>
        </w:rPr>
        <w:t xml:space="preserve">plasma </w:t>
      </w:r>
      <w:r w:rsidR="0022065A" w:rsidRPr="005C6AB7">
        <w:rPr>
          <w:rFonts w:ascii="Arial" w:hAnsi="Arial" w:cs="Arial"/>
          <w:lang w:val="en-GB"/>
        </w:rPr>
        <w:t>biomarker measures in each storage condition. Results are expressed as percentage relative to the reference condition C</w:t>
      </w:r>
      <w:r w:rsidR="001F382C" w:rsidRPr="005C6AB7">
        <w:rPr>
          <w:rFonts w:ascii="Arial" w:hAnsi="Arial" w:cs="Arial"/>
          <w:lang w:val="en-GB"/>
        </w:rPr>
        <w:t xml:space="preserve"> (</w:t>
      </w:r>
      <w:r w:rsidR="00374964">
        <w:rPr>
          <w:rFonts w:ascii="Arial" w:hAnsi="Arial" w:cs="Arial"/>
          <w:lang w:val="en-GB"/>
        </w:rPr>
        <w:t xml:space="preserve">frozen </w:t>
      </w:r>
      <w:r w:rsidR="00A656D9" w:rsidRPr="005C6AB7">
        <w:rPr>
          <w:rFonts w:ascii="Arial" w:hAnsi="Arial" w:cs="Arial"/>
          <w:lang w:val="en-GB"/>
        </w:rPr>
        <w:t>8-9</w:t>
      </w:r>
      <w:r w:rsidR="001F382C" w:rsidRPr="005C6AB7">
        <w:rPr>
          <w:rFonts w:ascii="Arial" w:hAnsi="Arial" w:cs="Arial"/>
          <w:lang w:val="en-GB"/>
        </w:rPr>
        <w:t xml:space="preserve"> days). Our </w:t>
      </w:r>
      <w:r w:rsidR="006F75BB" w:rsidRPr="005C6AB7">
        <w:rPr>
          <w:rFonts w:ascii="Arial" w:hAnsi="Arial" w:cs="Arial"/>
          <w:lang w:val="en-GB"/>
        </w:rPr>
        <w:t>results</w:t>
      </w:r>
      <w:r w:rsidR="001F382C" w:rsidRPr="005C6AB7">
        <w:rPr>
          <w:rFonts w:ascii="Arial" w:hAnsi="Arial" w:cs="Arial"/>
          <w:lang w:val="en-GB"/>
        </w:rPr>
        <w:t xml:space="preserve"> show that </w:t>
      </w:r>
      <w:r w:rsidR="00A37456">
        <w:rPr>
          <w:rFonts w:ascii="Arial" w:hAnsi="Arial" w:cs="Arial"/>
          <w:lang w:val="en-GB"/>
        </w:rPr>
        <w:t xml:space="preserve">the </w:t>
      </w:r>
      <w:r w:rsidR="006F75BB" w:rsidRPr="005C6AB7">
        <w:rPr>
          <w:rFonts w:ascii="Arial" w:hAnsi="Arial" w:cs="Arial"/>
          <w:lang w:val="en-GB"/>
        </w:rPr>
        <w:t xml:space="preserve">Aβ1-42 </w:t>
      </w:r>
      <w:r w:rsidR="00B7095A" w:rsidRPr="005C6AB7">
        <w:rPr>
          <w:rFonts w:ascii="Arial" w:hAnsi="Arial" w:cs="Arial"/>
          <w:lang w:val="en-GB"/>
        </w:rPr>
        <w:t xml:space="preserve">concentration </w:t>
      </w:r>
      <w:r w:rsidR="00A376C1">
        <w:rPr>
          <w:rFonts w:ascii="Arial" w:hAnsi="Arial" w:cs="Arial"/>
          <w:lang w:val="en-GB"/>
        </w:rPr>
        <w:t>was</w:t>
      </w:r>
      <w:r w:rsidR="00A376C1" w:rsidRPr="005C6AB7">
        <w:rPr>
          <w:rFonts w:ascii="Arial" w:hAnsi="Arial" w:cs="Arial"/>
          <w:lang w:val="en-GB"/>
        </w:rPr>
        <w:t xml:space="preserve"> </w:t>
      </w:r>
      <w:r w:rsidR="00433D45" w:rsidRPr="005C6AB7">
        <w:rPr>
          <w:rFonts w:ascii="Arial" w:hAnsi="Arial" w:cs="Arial"/>
          <w:lang w:val="en-GB"/>
        </w:rPr>
        <w:t xml:space="preserve">30% lower </w:t>
      </w:r>
      <w:r w:rsidR="005C62D1" w:rsidRPr="005C6AB7">
        <w:rPr>
          <w:rFonts w:ascii="Arial" w:hAnsi="Arial" w:cs="Arial"/>
          <w:lang w:val="en-GB"/>
        </w:rPr>
        <w:t>(95% CI 25-35%</w:t>
      </w:r>
      <w:r w:rsidR="00A37456">
        <w:rPr>
          <w:rFonts w:ascii="Arial" w:hAnsi="Arial" w:cs="Arial"/>
          <w:lang w:val="en-GB"/>
        </w:rPr>
        <w:t>,</w:t>
      </w:r>
      <w:r w:rsidR="005C62D1" w:rsidRPr="005C6AB7">
        <w:rPr>
          <w:rFonts w:ascii="Arial" w:hAnsi="Arial" w:cs="Arial"/>
          <w:lang w:val="en-GB"/>
        </w:rPr>
        <w:t xml:space="preserve"> p&lt;0.001) </w:t>
      </w:r>
      <w:r w:rsidR="00433D45" w:rsidRPr="005C6AB7">
        <w:rPr>
          <w:rFonts w:ascii="Arial" w:hAnsi="Arial" w:cs="Arial"/>
          <w:lang w:val="en-GB"/>
        </w:rPr>
        <w:t xml:space="preserve">when samples were kept refrigerated for 8-9 days compared to </w:t>
      </w:r>
      <w:r w:rsidR="005C62D1" w:rsidRPr="005C6AB7">
        <w:rPr>
          <w:rFonts w:ascii="Arial" w:hAnsi="Arial" w:cs="Arial"/>
          <w:lang w:val="en-GB"/>
        </w:rPr>
        <w:t xml:space="preserve">the reference condition C. </w:t>
      </w:r>
      <w:r w:rsidR="00F12052" w:rsidRPr="005C6AB7">
        <w:rPr>
          <w:rFonts w:ascii="Arial" w:hAnsi="Arial" w:cs="Arial"/>
          <w:lang w:val="en-GB"/>
        </w:rPr>
        <w:t xml:space="preserve">Aβ1-42 concentrations in condition </w:t>
      </w:r>
      <w:r w:rsidR="001E56FF" w:rsidRPr="005C6AB7">
        <w:rPr>
          <w:rFonts w:ascii="Arial" w:hAnsi="Arial" w:cs="Arial"/>
          <w:lang w:val="en-GB"/>
        </w:rPr>
        <w:t>A</w:t>
      </w:r>
      <w:r w:rsidR="00860864" w:rsidRPr="005C6AB7">
        <w:rPr>
          <w:rFonts w:ascii="Arial" w:hAnsi="Arial" w:cs="Arial"/>
          <w:lang w:val="en-GB"/>
        </w:rPr>
        <w:t xml:space="preserve"> </w:t>
      </w:r>
      <w:r w:rsidR="006E00EF">
        <w:rPr>
          <w:rFonts w:ascii="Arial" w:hAnsi="Arial" w:cs="Arial"/>
          <w:lang w:val="en-GB"/>
        </w:rPr>
        <w:t xml:space="preserve">(refrigerated for 1-2 days) </w:t>
      </w:r>
      <w:r w:rsidR="00860864" w:rsidRPr="005C6AB7">
        <w:rPr>
          <w:rFonts w:ascii="Arial" w:hAnsi="Arial" w:cs="Arial"/>
          <w:lang w:val="en-GB"/>
        </w:rPr>
        <w:t>were</w:t>
      </w:r>
      <w:r w:rsidR="00F12052" w:rsidRPr="005C6AB7">
        <w:rPr>
          <w:rFonts w:ascii="Arial" w:hAnsi="Arial" w:cs="Arial"/>
          <w:lang w:val="en-GB"/>
        </w:rPr>
        <w:t xml:space="preserve"> not significantly different than those in the reference condition</w:t>
      </w:r>
      <w:r w:rsidR="00EB4BDD" w:rsidRPr="005C6AB7">
        <w:rPr>
          <w:rFonts w:ascii="Arial" w:hAnsi="Arial" w:cs="Arial"/>
          <w:lang w:val="en-GB"/>
        </w:rPr>
        <w:t xml:space="preserve"> C</w:t>
      </w:r>
      <w:r w:rsidR="00860864" w:rsidRPr="005C6AB7">
        <w:rPr>
          <w:rFonts w:ascii="Arial" w:hAnsi="Arial" w:cs="Arial"/>
          <w:lang w:val="en-GB"/>
        </w:rPr>
        <w:t xml:space="preserve"> (95% CI </w:t>
      </w:r>
      <w:r w:rsidR="00F12052" w:rsidRPr="005C6AB7">
        <w:rPr>
          <w:rFonts w:ascii="Arial" w:hAnsi="Arial" w:cs="Arial"/>
          <w:lang w:val="en-GB"/>
        </w:rPr>
        <w:t>98-112</w:t>
      </w:r>
      <w:r w:rsidR="00A37456">
        <w:rPr>
          <w:rFonts w:ascii="Arial" w:hAnsi="Arial" w:cs="Arial"/>
          <w:lang w:val="en-GB"/>
        </w:rPr>
        <w:t>%</w:t>
      </w:r>
      <w:r w:rsidR="00F12052" w:rsidRPr="005C6AB7">
        <w:rPr>
          <w:rFonts w:ascii="Arial" w:hAnsi="Arial" w:cs="Arial"/>
          <w:lang w:val="en-GB"/>
        </w:rPr>
        <w:t>,</w:t>
      </w:r>
      <w:r w:rsidR="00860864" w:rsidRPr="005C6AB7">
        <w:rPr>
          <w:rFonts w:ascii="Arial" w:hAnsi="Arial" w:cs="Arial"/>
          <w:lang w:val="en-GB"/>
        </w:rPr>
        <w:t xml:space="preserve"> p</w:t>
      </w:r>
      <w:r w:rsidR="00F12052" w:rsidRPr="005C6AB7">
        <w:rPr>
          <w:rFonts w:ascii="Arial" w:hAnsi="Arial" w:cs="Arial"/>
          <w:lang w:val="en-GB"/>
        </w:rPr>
        <w:t>=ns</w:t>
      </w:r>
      <w:r w:rsidR="00860864" w:rsidRPr="005C6AB7">
        <w:rPr>
          <w:rFonts w:ascii="Arial" w:hAnsi="Arial" w:cs="Arial"/>
          <w:lang w:val="en-GB"/>
        </w:rPr>
        <w:t>)</w:t>
      </w:r>
      <w:r w:rsidR="009F53AC" w:rsidRPr="009F53AC">
        <w:rPr>
          <w:rFonts w:ascii="Arial" w:hAnsi="Arial" w:cs="Arial"/>
          <w:lang w:val="en-GB"/>
        </w:rPr>
        <w:t xml:space="preserve"> </w:t>
      </w:r>
      <w:r w:rsidR="009F53AC" w:rsidRPr="005C6AB7">
        <w:rPr>
          <w:rFonts w:ascii="Arial" w:hAnsi="Arial" w:cs="Arial"/>
          <w:lang w:val="en-GB"/>
        </w:rPr>
        <w:t>(</w:t>
      </w:r>
      <w:r w:rsidR="009F53AC" w:rsidRPr="005C6AB7">
        <w:rPr>
          <w:rFonts w:ascii="Arial" w:hAnsi="Arial" w:cs="Arial"/>
          <w:b/>
          <w:lang w:val="en-GB"/>
        </w:rPr>
        <w:t>Fig. 2a</w:t>
      </w:r>
      <w:r w:rsidR="009F53AC" w:rsidRPr="005C6AB7">
        <w:rPr>
          <w:rFonts w:ascii="Arial" w:hAnsi="Arial" w:cs="Arial"/>
          <w:lang w:val="en-GB"/>
        </w:rPr>
        <w:t>)</w:t>
      </w:r>
      <w:r w:rsidR="00F12052" w:rsidRPr="005C6AB7">
        <w:rPr>
          <w:rFonts w:ascii="Arial" w:hAnsi="Arial" w:cs="Arial"/>
          <w:lang w:val="en-GB"/>
        </w:rPr>
        <w:t>.</w:t>
      </w:r>
      <w:r w:rsidR="009F53AC">
        <w:rPr>
          <w:rFonts w:ascii="Arial" w:hAnsi="Arial" w:cs="Arial"/>
          <w:lang w:val="en-GB"/>
        </w:rPr>
        <w:t xml:space="preserve"> </w:t>
      </w:r>
      <w:r w:rsidR="006F75BB" w:rsidRPr="005C6AB7">
        <w:rPr>
          <w:rFonts w:ascii="Arial" w:hAnsi="Arial" w:cs="Arial"/>
          <w:lang w:val="en-GB"/>
        </w:rPr>
        <w:t xml:space="preserve">Similar results were </w:t>
      </w:r>
      <w:r w:rsidR="00F60629" w:rsidRPr="005C6AB7">
        <w:rPr>
          <w:rFonts w:ascii="Arial" w:hAnsi="Arial" w:cs="Arial"/>
          <w:lang w:val="en-GB"/>
        </w:rPr>
        <w:t>seen</w:t>
      </w:r>
      <w:r w:rsidR="006F75BB" w:rsidRPr="005C6AB7">
        <w:rPr>
          <w:rFonts w:ascii="Arial" w:hAnsi="Arial" w:cs="Arial"/>
          <w:lang w:val="en-GB"/>
        </w:rPr>
        <w:t xml:space="preserve"> for </w:t>
      </w:r>
      <w:r w:rsidR="000E0E41" w:rsidRPr="005C6AB7">
        <w:rPr>
          <w:rFonts w:ascii="Arial" w:hAnsi="Arial" w:cs="Arial"/>
          <w:lang w:val="en-GB"/>
        </w:rPr>
        <w:t>Aβ1-40 quantification, with concentrations</w:t>
      </w:r>
      <w:r w:rsidR="001E56FF" w:rsidRPr="005C6AB7">
        <w:rPr>
          <w:rFonts w:ascii="Arial" w:hAnsi="Arial" w:cs="Arial"/>
          <w:lang w:val="en-GB"/>
        </w:rPr>
        <w:t xml:space="preserve"> being 39% lower</w:t>
      </w:r>
      <w:r w:rsidR="000E0E41" w:rsidRPr="005C6AB7">
        <w:rPr>
          <w:rFonts w:ascii="Arial" w:hAnsi="Arial" w:cs="Arial"/>
          <w:lang w:val="en-GB"/>
        </w:rPr>
        <w:t xml:space="preserve"> in tubes stored for </w:t>
      </w:r>
      <w:r w:rsidR="00363970" w:rsidRPr="005C6AB7">
        <w:rPr>
          <w:rFonts w:ascii="Arial" w:hAnsi="Arial" w:cs="Arial"/>
          <w:lang w:val="en-GB"/>
        </w:rPr>
        <w:t xml:space="preserve">8-9 </w:t>
      </w:r>
      <w:r w:rsidR="000E0E41" w:rsidRPr="005C6AB7">
        <w:rPr>
          <w:rFonts w:ascii="Arial" w:hAnsi="Arial" w:cs="Arial"/>
          <w:lang w:val="en-GB"/>
        </w:rPr>
        <w:t>days at 4ºC</w:t>
      </w:r>
      <w:r w:rsidR="001E56FF" w:rsidRPr="005C6AB7">
        <w:rPr>
          <w:rFonts w:ascii="Arial" w:hAnsi="Arial" w:cs="Arial"/>
          <w:lang w:val="en-GB"/>
        </w:rPr>
        <w:t xml:space="preserve"> (95% CI 35-43%</w:t>
      </w:r>
      <w:r w:rsidR="00A37456">
        <w:rPr>
          <w:rFonts w:ascii="Arial" w:hAnsi="Arial" w:cs="Arial"/>
          <w:lang w:val="en-GB"/>
        </w:rPr>
        <w:t>,</w:t>
      </w:r>
      <w:r w:rsidR="001E56FF" w:rsidRPr="005C6AB7">
        <w:rPr>
          <w:rFonts w:ascii="Arial" w:hAnsi="Arial" w:cs="Arial"/>
          <w:lang w:val="en-GB"/>
        </w:rPr>
        <w:t xml:space="preserve"> p&lt;0.001) compared to those in the reference condition C. </w:t>
      </w:r>
      <w:r w:rsidR="00194401" w:rsidRPr="005C6AB7">
        <w:rPr>
          <w:rFonts w:ascii="Arial" w:hAnsi="Arial" w:cs="Arial"/>
          <w:lang w:val="en-GB"/>
        </w:rPr>
        <w:t>Aβ1-40 concentrations in condition A</w:t>
      </w:r>
      <w:r w:rsidR="001E56FF" w:rsidRPr="005C6AB7">
        <w:rPr>
          <w:rFonts w:ascii="Arial" w:hAnsi="Arial" w:cs="Arial"/>
          <w:lang w:val="en-GB"/>
        </w:rPr>
        <w:t xml:space="preserve"> </w:t>
      </w:r>
      <w:r w:rsidR="00194401" w:rsidRPr="005C6AB7">
        <w:rPr>
          <w:rFonts w:ascii="Arial" w:hAnsi="Arial" w:cs="Arial"/>
          <w:lang w:val="en-GB"/>
        </w:rPr>
        <w:t>were not significantly different than those in the reference condition</w:t>
      </w:r>
      <w:r w:rsidR="00534C90" w:rsidRPr="005C6AB7">
        <w:rPr>
          <w:rFonts w:ascii="Arial" w:hAnsi="Arial" w:cs="Arial"/>
          <w:lang w:val="en-GB"/>
        </w:rPr>
        <w:t xml:space="preserve"> C</w:t>
      </w:r>
      <w:r w:rsidR="00194401" w:rsidRPr="005C6AB7">
        <w:rPr>
          <w:rFonts w:ascii="Arial" w:hAnsi="Arial" w:cs="Arial"/>
          <w:lang w:val="en-GB"/>
        </w:rPr>
        <w:t xml:space="preserve"> (95% CI 9</w:t>
      </w:r>
      <w:r w:rsidR="001E56FF" w:rsidRPr="005C6AB7">
        <w:rPr>
          <w:rFonts w:ascii="Arial" w:hAnsi="Arial" w:cs="Arial"/>
          <w:lang w:val="en-GB"/>
        </w:rPr>
        <w:t>2</w:t>
      </w:r>
      <w:r w:rsidR="00194401" w:rsidRPr="005C6AB7">
        <w:rPr>
          <w:rFonts w:ascii="Arial" w:hAnsi="Arial" w:cs="Arial"/>
          <w:lang w:val="en-GB"/>
        </w:rPr>
        <w:t>-102%, p=</w:t>
      </w:r>
      <w:r w:rsidR="001E56FF" w:rsidRPr="005C6AB7">
        <w:rPr>
          <w:rFonts w:ascii="Arial" w:hAnsi="Arial" w:cs="Arial"/>
          <w:lang w:val="en-GB"/>
        </w:rPr>
        <w:t>ns)</w:t>
      </w:r>
      <w:r w:rsidR="009F53AC" w:rsidRPr="009F53AC">
        <w:rPr>
          <w:rFonts w:ascii="Arial" w:hAnsi="Arial" w:cs="Arial"/>
          <w:lang w:val="en-GB"/>
        </w:rPr>
        <w:t xml:space="preserve"> </w:t>
      </w:r>
      <w:r w:rsidR="009F53AC" w:rsidRPr="005C6AB7">
        <w:rPr>
          <w:rFonts w:ascii="Arial" w:hAnsi="Arial" w:cs="Arial"/>
          <w:lang w:val="en-GB"/>
        </w:rPr>
        <w:t>(</w:t>
      </w:r>
      <w:r w:rsidR="009F53AC" w:rsidRPr="005C6AB7">
        <w:rPr>
          <w:rFonts w:ascii="Arial" w:hAnsi="Arial" w:cs="Arial"/>
          <w:b/>
          <w:lang w:val="en-GB"/>
        </w:rPr>
        <w:t>Fig. 2b</w:t>
      </w:r>
      <w:r w:rsidR="009F53AC" w:rsidRPr="005C6AB7">
        <w:rPr>
          <w:rFonts w:ascii="Arial" w:hAnsi="Arial" w:cs="Arial"/>
          <w:lang w:val="en-GB"/>
        </w:rPr>
        <w:t>)</w:t>
      </w:r>
      <w:r w:rsidR="001E56FF" w:rsidRPr="005C6AB7">
        <w:rPr>
          <w:rFonts w:ascii="Arial" w:hAnsi="Arial" w:cs="Arial"/>
          <w:lang w:val="en-GB"/>
        </w:rPr>
        <w:t xml:space="preserve">. </w:t>
      </w:r>
      <w:r w:rsidR="00B10507" w:rsidRPr="005C6AB7">
        <w:rPr>
          <w:rFonts w:ascii="Arial" w:hAnsi="Arial" w:cs="Arial"/>
          <w:lang w:val="en-GB"/>
        </w:rPr>
        <w:t xml:space="preserve">When using the </w:t>
      </w:r>
      <w:r w:rsidR="00B56981" w:rsidRPr="00E6073F">
        <w:rPr>
          <w:rFonts w:ascii="Arial" w:hAnsi="Arial" w:cs="Arial"/>
          <w:lang w:val="en-GB"/>
        </w:rPr>
        <w:t>Aβ1-4</w:t>
      </w:r>
      <w:r w:rsidR="00B56981">
        <w:rPr>
          <w:rFonts w:ascii="Arial" w:hAnsi="Arial" w:cs="Arial"/>
          <w:lang w:val="en-GB"/>
        </w:rPr>
        <w:t>2/</w:t>
      </w:r>
      <w:r w:rsidR="00B56981" w:rsidRPr="00E6073F">
        <w:rPr>
          <w:rFonts w:ascii="Arial" w:hAnsi="Arial" w:cs="Arial"/>
          <w:lang w:val="en-GB"/>
        </w:rPr>
        <w:t xml:space="preserve">Aβ1-40 </w:t>
      </w:r>
      <w:r w:rsidR="00B10507" w:rsidRPr="005C6AB7">
        <w:rPr>
          <w:rFonts w:ascii="Arial" w:hAnsi="Arial" w:cs="Arial"/>
          <w:lang w:val="en-GB"/>
        </w:rPr>
        <w:t>ratio, significant differences were observed for both conditions involving storage at 4ºC compared to the reference condition C</w:t>
      </w:r>
      <w:r w:rsidR="009A5572" w:rsidRPr="005C6AB7">
        <w:rPr>
          <w:rFonts w:ascii="Arial" w:hAnsi="Arial" w:cs="Arial"/>
          <w:lang w:val="en-GB"/>
        </w:rPr>
        <w:t>. The ratios measured in conditions A and B were 8% (95% CI 4-12%, p&lt;0.001) and 16% (95% CI 13-20%</w:t>
      </w:r>
      <w:r w:rsidR="00A37456">
        <w:rPr>
          <w:rFonts w:ascii="Arial" w:hAnsi="Arial" w:cs="Arial"/>
          <w:lang w:val="en-GB"/>
        </w:rPr>
        <w:t>,</w:t>
      </w:r>
      <w:r w:rsidR="009A5572" w:rsidRPr="005C6AB7">
        <w:rPr>
          <w:rFonts w:ascii="Arial" w:hAnsi="Arial" w:cs="Arial"/>
          <w:lang w:val="en-GB"/>
        </w:rPr>
        <w:t xml:space="preserve"> p&lt;0.001)</w:t>
      </w:r>
      <w:r w:rsidR="00DA5618">
        <w:rPr>
          <w:rFonts w:ascii="Arial" w:hAnsi="Arial" w:cs="Arial"/>
          <w:lang w:val="en-GB"/>
        </w:rPr>
        <w:t>,</w:t>
      </w:r>
      <w:r w:rsidR="009A5572" w:rsidRPr="005C6AB7">
        <w:rPr>
          <w:rFonts w:ascii="Arial" w:hAnsi="Arial" w:cs="Arial"/>
          <w:lang w:val="en-GB"/>
        </w:rPr>
        <w:t xml:space="preserve"> </w:t>
      </w:r>
      <w:r w:rsidR="00A37456" w:rsidRPr="005C6AB7">
        <w:rPr>
          <w:rFonts w:ascii="Arial" w:hAnsi="Arial" w:cs="Arial"/>
          <w:lang w:val="en-GB"/>
        </w:rPr>
        <w:t>respectively</w:t>
      </w:r>
      <w:r w:rsidR="00DA5618">
        <w:rPr>
          <w:rFonts w:ascii="Arial" w:hAnsi="Arial" w:cs="Arial"/>
          <w:lang w:val="en-GB"/>
        </w:rPr>
        <w:t>,</w:t>
      </w:r>
      <w:r w:rsidR="00A37456" w:rsidRPr="005C6AB7">
        <w:rPr>
          <w:rFonts w:ascii="Arial" w:hAnsi="Arial" w:cs="Arial"/>
          <w:lang w:val="en-GB"/>
        </w:rPr>
        <w:t xml:space="preserve"> </w:t>
      </w:r>
      <w:r w:rsidR="009A5572" w:rsidRPr="005C6AB7">
        <w:rPr>
          <w:rFonts w:ascii="Arial" w:hAnsi="Arial" w:cs="Arial"/>
          <w:lang w:val="en-GB"/>
        </w:rPr>
        <w:t xml:space="preserve">higher </w:t>
      </w:r>
      <w:r w:rsidR="009A5572" w:rsidRPr="005C6AB7">
        <w:rPr>
          <w:rFonts w:ascii="Arial" w:hAnsi="Arial" w:cs="Arial"/>
          <w:lang w:val="en-GB"/>
        </w:rPr>
        <w:lastRenderedPageBreak/>
        <w:t>than those in the condition C</w:t>
      </w:r>
      <w:r w:rsidR="009F53AC">
        <w:rPr>
          <w:rFonts w:ascii="Arial" w:hAnsi="Arial" w:cs="Arial"/>
          <w:lang w:val="en-GB"/>
        </w:rPr>
        <w:t xml:space="preserve"> </w:t>
      </w:r>
      <w:r w:rsidR="009F53AC" w:rsidRPr="005C6AB7">
        <w:rPr>
          <w:rFonts w:ascii="Arial" w:hAnsi="Arial" w:cs="Arial"/>
          <w:lang w:val="en-GB"/>
        </w:rPr>
        <w:t>(</w:t>
      </w:r>
      <w:r w:rsidR="009F53AC" w:rsidRPr="005C6AB7">
        <w:rPr>
          <w:rFonts w:ascii="Arial" w:hAnsi="Arial" w:cs="Arial"/>
          <w:b/>
          <w:lang w:val="en-GB"/>
        </w:rPr>
        <w:t>Fig. 2c</w:t>
      </w:r>
      <w:r w:rsidR="009F53AC" w:rsidRPr="005C6AB7">
        <w:rPr>
          <w:rFonts w:ascii="Arial" w:hAnsi="Arial" w:cs="Arial"/>
          <w:lang w:val="en-GB"/>
        </w:rPr>
        <w:t>)</w:t>
      </w:r>
      <w:r w:rsidR="009A5572" w:rsidRPr="005C6AB7">
        <w:rPr>
          <w:rFonts w:ascii="Arial" w:hAnsi="Arial" w:cs="Arial"/>
          <w:lang w:val="en-GB"/>
        </w:rPr>
        <w:t xml:space="preserve">. </w:t>
      </w:r>
      <w:r w:rsidR="00054CBA" w:rsidRPr="005C6AB7">
        <w:rPr>
          <w:rFonts w:ascii="Arial" w:hAnsi="Arial" w:cs="Arial"/>
          <w:lang w:val="en-GB"/>
        </w:rPr>
        <w:t xml:space="preserve">For the </w:t>
      </w:r>
      <w:r w:rsidR="00872970" w:rsidRPr="005C6AB7">
        <w:rPr>
          <w:rFonts w:ascii="Arial" w:hAnsi="Arial" w:cs="Arial"/>
          <w:lang w:val="en-GB"/>
        </w:rPr>
        <w:t>p</w:t>
      </w:r>
      <w:r w:rsidR="002635B9" w:rsidRPr="005C6AB7">
        <w:rPr>
          <w:rFonts w:ascii="Arial" w:hAnsi="Arial" w:cs="Arial"/>
          <w:lang w:val="en-GB"/>
        </w:rPr>
        <w:t>-</w:t>
      </w:r>
      <w:r w:rsidR="00872970" w:rsidRPr="005C6AB7">
        <w:rPr>
          <w:rFonts w:ascii="Arial" w:hAnsi="Arial" w:cs="Arial"/>
          <w:lang w:val="en-GB"/>
        </w:rPr>
        <w:t>Tau</w:t>
      </w:r>
      <w:r w:rsidR="00D51F07" w:rsidRPr="005C6AB7">
        <w:rPr>
          <w:rFonts w:ascii="Arial" w:hAnsi="Arial" w:cs="Arial"/>
          <w:lang w:val="en-GB"/>
        </w:rPr>
        <w:t>181</w:t>
      </w:r>
      <w:r w:rsidR="00872970" w:rsidRPr="005C6AB7">
        <w:rPr>
          <w:rFonts w:ascii="Arial" w:hAnsi="Arial" w:cs="Arial"/>
          <w:lang w:val="en-GB"/>
        </w:rPr>
        <w:t xml:space="preserve"> concentrations, </w:t>
      </w:r>
      <w:r w:rsidR="00C471E1" w:rsidRPr="005C6AB7">
        <w:rPr>
          <w:rFonts w:ascii="Arial" w:hAnsi="Arial" w:cs="Arial"/>
          <w:lang w:val="en-GB"/>
        </w:rPr>
        <w:t>significant</w:t>
      </w:r>
      <w:r w:rsidR="00F60C7F">
        <w:rPr>
          <w:rFonts w:ascii="Arial" w:hAnsi="Arial" w:cs="Arial"/>
          <w:lang w:val="en-GB"/>
        </w:rPr>
        <w:t>ly</w:t>
      </w:r>
      <w:r w:rsidR="00C471E1" w:rsidRPr="005C6AB7">
        <w:rPr>
          <w:rFonts w:ascii="Arial" w:hAnsi="Arial" w:cs="Arial"/>
          <w:lang w:val="en-GB"/>
        </w:rPr>
        <w:t xml:space="preserve"> lower values were observed for conditions A</w:t>
      </w:r>
      <w:r w:rsidR="00A37456">
        <w:rPr>
          <w:rFonts w:ascii="Arial" w:hAnsi="Arial" w:cs="Arial"/>
          <w:lang w:val="en-GB"/>
        </w:rPr>
        <w:t xml:space="preserve"> and B</w:t>
      </w:r>
      <w:r w:rsidR="00AA1D26" w:rsidRPr="005C6AB7">
        <w:rPr>
          <w:rFonts w:ascii="Arial" w:hAnsi="Arial" w:cs="Arial"/>
          <w:lang w:val="en-GB"/>
        </w:rPr>
        <w:t>,</w:t>
      </w:r>
      <w:r w:rsidR="00C471E1" w:rsidRPr="005C6AB7">
        <w:rPr>
          <w:rFonts w:ascii="Arial" w:hAnsi="Arial" w:cs="Arial"/>
          <w:lang w:val="en-GB"/>
        </w:rPr>
        <w:t xml:space="preserve"> </w:t>
      </w:r>
      <w:r w:rsidR="00A37456">
        <w:rPr>
          <w:rFonts w:ascii="Arial" w:hAnsi="Arial" w:cs="Arial"/>
          <w:lang w:val="en-GB"/>
        </w:rPr>
        <w:t xml:space="preserve">with decreases of </w:t>
      </w:r>
      <w:r w:rsidR="00C471E1" w:rsidRPr="005C6AB7">
        <w:rPr>
          <w:rFonts w:ascii="Arial" w:hAnsi="Arial" w:cs="Arial"/>
          <w:lang w:val="en-GB"/>
        </w:rPr>
        <w:t xml:space="preserve">21% </w:t>
      </w:r>
      <w:r w:rsidR="00DA5618">
        <w:rPr>
          <w:rFonts w:ascii="Arial" w:hAnsi="Arial" w:cs="Arial"/>
          <w:lang w:val="en-GB"/>
        </w:rPr>
        <w:t xml:space="preserve">for both conditions </w:t>
      </w:r>
      <w:r w:rsidR="00C471E1" w:rsidRPr="005C6AB7">
        <w:rPr>
          <w:rFonts w:ascii="Arial" w:hAnsi="Arial" w:cs="Arial"/>
          <w:lang w:val="en-GB"/>
        </w:rPr>
        <w:t>(</w:t>
      </w:r>
      <w:r w:rsidR="00A37456">
        <w:rPr>
          <w:rFonts w:ascii="Arial" w:hAnsi="Arial" w:cs="Arial"/>
          <w:lang w:val="en-GB"/>
        </w:rPr>
        <w:t xml:space="preserve">condition A: </w:t>
      </w:r>
      <w:r w:rsidR="00C471E1" w:rsidRPr="005C6AB7">
        <w:rPr>
          <w:rFonts w:ascii="Arial" w:hAnsi="Arial" w:cs="Arial"/>
          <w:lang w:val="en-GB"/>
        </w:rPr>
        <w:t>95% CI 15-26%, p&lt;0.001</w:t>
      </w:r>
      <w:r w:rsidR="00A37456">
        <w:rPr>
          <w:rFonts w:ascii="Arial" w:hAnsi="Arial" w:cs="Arial"/>
          <w:lang w:val="en-GB"/>
        </w:rPr>
        <w:t>; condition</w:t>
      </w:r>
      <w:r w:rsidR="00DA5618">
        <w:rPr>
          <w:rFonts w:ascii="Arial" w:hAnsi="Arial" w:cs="Arial"/>
          <w:lang w:val="en-GB"/>
        </w:rPr>
        <w:t xml:space="preserve"> B</w:t>
      </w:r>
      <w:r w:rsidR="00A37456">
        <w:rPr>
          <w:rFonts w:ascii="Arial" w:hAnsi="Arial" w:cs="Arial"/>
          <w:lang w:val="en-GB"/>
        </w:rPr>
        <w:t>:</w:t>
      </w:r>
      <w:r w:rsidR="00C471E1" w:rsidRPr="005C6AB7">
        <w:rPr>
          <w:rFonts w:ascii="Arial" w:hAnsi="Arial" w:cs="Arial"/>
          <w:lang w:val="en-GB"/>
        </w:rPr>
        <w:t xml:space="preserve"> 95% CI 16-26%, p&lt;0.001) compared to those observed in the reference condition C (</w:t>
      </w:r>
      <w:r w:rsidR="00C471E1" w:rsidRPr="005C6AB7">
        <w:rPr>
          <w:rFonts w:ascii="Arial" w:hAnsi="Arial" w:cs="Arial"/>
          <w:b/>
          <w:lang w:val="en-GB"/>
        </w:rPr>
        <w:t xml:space="preserve">Fig. </w:t>
      </w:r>
      <w:r w:rsidR="00162C05" w:rsidRPr="005C6AB7">
        <w:rPr>
          <w:rFonts w:ascii="Arial" w:hAnsi="Arial" w:cs="Arial"/>
          <w:b/>
          <w:lang w:val="en-GB"/>
        </w:rPr>
        <w:t>2</w:t>
      </w:r>
      <w:r w:rsidR="00C471E1" w:rsidRPr="005C6AB7">
        <w:rPr>
          <w:rFonts w:ascii="Arial" w:hAnsi="Arial" w:cs="Arial"/>
          <w:b/>
          <w:lang w:val="en-GB"/>
        </w:rPr>
        <w:t>d</w:t>
      </w:r>
      <w:r w:rsidR="00C471E1" w:rsidRPr="005C6AB7">
        <w:rPr>
          <w:rFonts w:ascii="Arial" w:hAnsi="Arial" w:cs="Arial"/>
          <w:lang w:val="en-GB"/>
        </w:rPr>
        <w:t>). No</w:t>
      </w:r>
      <w:r w:rsidR="00026D89" w:rsidRPr="005C6AB7">
        <w:rPr>
          <w:rFonts w:ascii="Arial" w:hAnsi="Arial" w:cs="Arial"/>
          <w:lang w:val="en-GB"/>
        </w:rPr>
        <w:t xml:space="preserve"> statistical differences were observed </w:t>
      </w:r>
      <w:r w:rsidR="00EF4221" w:rsidRPr="005C6AB7">
        <w:rPr>
          <w:rFonts w:ascii="Arial" w:hAnsi="Arial" w:cs="Arial"/>
          <w:lang w:val="en-GB"/>
        </w:rPr>
        <w:t>in p-Tau181 concentrations</w:t>
      </w:r>
      <w:r w:rsidR="00EF4221" w:rsidRPr="005C6AB7" w:rsidDel="002C740A">
        <w:rPr>
          <w:rFonts w:ascii="Arial" w:hAnsi="Arial" w:cs="Arial"/>
          <w:lang w:val="en-GB"/>
        </w:rPr>
        <w:t xml:space="preserve"> </w:t>
      </w:r>
      <w:r w:rsidR="008F687D" w:rsidRPr="005C6AB7">
        <w:rPr>
          <w:rFonts w:ascii="Arial" w:hAnsi="Arial" w:cs="Arial"/>
          <w:lang w:val="en-GB"/>
        </w:rPr>
        <w:t>when samples were</w:t>
      </w:r>
      <w:r w:rsidR="009A5572" w:rsidRPr="005C6AB7">
        <w:rPr>
          <w:rFonts w:ascii="Arial" w:hAnsi="Arial" w:cs="Arial"/>
          <w:lang w:val="en-GB"/>
        </w:rPr>
        <w:t xml:space="preserve"> </w:t>
      </w:r>
      <w:r w:rsidR="00374964">
        <w:rPr>
          <w:rFonts w:ascii="Arial" w:hAnsi="Arial" w:cs="Arial"/>
          <w:lang w:val="en-GB"/>
        </w:rPr>
        <w:t>kept refrigerated</w:t>
      </w:r>
      <w:r w:rsidR="009A5572" w:rsidRPr="005C6AB7">
        <w:rPr>
          <w:rFonts w:ascii="Arial" w:hAnsi="Arial" w:cs="Arial"/>
          <w:lang w:val="en-GB"/>
        </w:rPr>
        <w:t xml:space="preserve"> </w:t>
      </w:r>
      <w:r w:rsidR="002C740A" w:rsidRPr="005C6AB7">
        <w:rPr>
          <w:rFonts w:ascii="Arial" w:hAnsi="Arial" w:cs="Arial"/>
          <w:lang w:val="en-GB"/>
        </w:rPr>
        <w:t xml:space="preserve">for 1-2 days </w:t>
      </w:r>
      <w:r w:rsidR="008F687D" w:rsidRPr="005C6AB7">
        <w:rPr>
          <w:rFonts w:ascii="Arial" w:hAnsi="Arial" w:cs="Arial"/>
          <w:lang w:val="en-GB"/>
        </w:rPr>
        <w:t>or for 8-9 days.</w:t>
      </w:r>
      <w:r w:rsidR="00C471E1" w:rsidRPr="005C6AB7">
        <w:rPr>
          <w:rFonts w:ascii="Arial" w:hAnsi="Arial" w:cs="Arial"/>
          <w:lang w:val="en-GB"/>
        </w:rPr>
        <w:t xml:space="preserve"> </w:t>
      </w:r>
      <w:r w:rsidR="009F53AC">
        <w:rPr>
          <w:rFonts w:ascii="Arial" w:hAnsi="Arial" w:cs="Arial"/>
          <w:lang w:val="en-GB"/>
        </w:rPr>
        <w:t>A</w:t>
      </w:r>
      <w:r w:rsidR="009F53AC" w:rsidRPr="00E45753">
        <w:rPr>
          <w:rFonts w:ascii="Arial" w:hAnsi="Arial" w:cs="Arial"/>
          <w:lang w:val="en-GB"/>
        </w:rPr>
        <w:t xml:space="preserve">nalysis using </w:t>
      </w:r>
      <w:r w:rsidR="009F53AC">
        <w:rPr>
          <w:rFonts w:ascii="Arial" w:hAnsi="Arial" w:cs="Arial"/>
          <w:lang w:val="en-GB"/>
        </w:rPr>
        <w:t>absolute</w:t>
      </w:r>
      <w:r w:rsidR="009F53AC" w:rsidRPr="00E45753">
        <w:rPr>
          <w:rFonts w:ascii="Arial" w:hAnsi="Arial" w:cs="Arial"/>
          <w:lang w:val="en-GB"/>
        </w:rPr>
        <w:t xml:space="preserve"> values we</w:t>
      </w:r>
      <w:r w:rsidR="009F53AC">
        <w:rPr>
          <w:rFonts w:ascii="Arial" w:hAnsi="Arial" w:cs="Arial"/>
          <w:lang w:val="en-GB"/>
        </w:rPr>
        <w:t>re</w:t>
      </w:r>
      <w:r w:rsidR="009F53AC" w:rsidRPr="00E45753">
        <w:rPr>
          <w:rFonts w:ascii="Arial" w:hAnsi="Arial" w:cs="Arial"/>
          <w:lang w:val="en-GB"/>
        </w:rPr>
        <w:t xml:space="preserve"> repeated </w:t>
      </w:r>
      <w:r w:rsidR="00EA3C70" w:rsidRPr="00E45753">
        <w:rPr>
          <w:rFonts w:ascii="Arial" w:hAnsi="Arial" w:cs="Arial"/>
          <w:lang w:val="en-GB"/>
        </w:rPr>
        <w:t>for all the studied magnitudes, obtain</w:t>
      </w:r>
      <w:r w:rsidR="009F53AC">
        <w:rPr>
          <w:rFonts w:ascii="Arial" w:hAnsi="Arial" w:cs="Arial"/>
          <w:lang w:val="en-GB"/>
        </w:rPr>
        <w:t>ing</w:t>
      </w:r>
      <w:r w:rsidR="00EA3C70" w:rsidRPr="00E45753">
        <w:rPr>
          <w:rFonts w:ascii="Arial" w:hAnsi="Arial" w:cs="Arial"/>
          <w:lang w:val="en-GB"/>
        </w:rPr>
        <w:t xml:space="preserve"> identical results.</w:t>
      </w:r>
    </w:p>
    <w:p w14:paraId="0A155AAA" w14:textId="054622A8" w:rsidR="00DA40F8" w:rsidRDefault="00B557AD" w:rsidP="000A48C9">
      <w:pPr>
        <w:spacing w:line="480" w:lineRule="auto"/>
        <w:jc w:val="both"/>
        <w:rPr>
          <w:rFonts w:ascii="Arial" w:hAnsi="Arial" w:cs="Arial"/>
          <w:lang w:val="en-GB"/>
        </w:rPr>
      </w:pPr>
      <w:r w:rsidRPr="005C6AB7">
        <w:rPr>
          <w:rFonts w:ascii="Arial" w:hAnsi="Arial" w:cs="Arial"/>
          <w:lang w:val="en-GB"/>
        </w:rPr>
        <w:t xml:space="preserve">Correlation studies </w:t>
      </w:r>
      <w:r w:rsidR="00981EED" w:rsidRPr="005C6AB7">
        <w:rPr>
          <w:rFonts w:ascii="Arial" w:hAnsi="Arial" w:cs="Arial"/>
          <w:lang w:val="en-GB"/>
        </w:rPr>
        <w:t xml:space="preserve">involving </w:t>
      </w:r>
      <w:r w:rsidR="00AA1D26" w:rsidRPr="005C6AB7">
        <w:rPr>
          <w:rFonts w:ascii="Arial" w:hAnsi="Arial" w:cs="Arial"/>
          <w:lang w:val="en-GB"/>
        </w:rPr>
        <w:t xml:space="preserve">reference </w:t>
      </w:r>
      <w:r w:rsidR="00981EED" w:rsidRPr="005C6AB7">
        <w:rPr>
          <w:rFonts w:ascii="Arial" w:hAnsi="Arial" w:cs="Arial"/>
          <w:lang w:val="en-GB"/>
        </w:rPr>
        <w:t xml:space="preserve">condition C vs. A </w:t>
      </w:r>
      <w:r w:rsidR="00AA1D26" w:rsidRPr="005C6AB7">
        <w:rPr>
          <w:rFonts w:ascii="Arial" w:hAnsi="Arial" w:cs="Arial"/>
          <w:lang w:val="en-GB"/>
        </w:rPr>
        <w:t>and</w:t>
      </w:r>
      <w:r w:rsidR="00981EED" w:rsidRPr="005C6AB7">
        <w:rPr>
          <w:rFonts w:ascii="Arial" w:hAnsi="Arial" w:cs="Arial"/>
          <w:lang w:val="en-GB"/>
        </w:rPr>
        <w:t xml:space="preserve"> </w:t>
      </w:r>
      <w:r w:rsidR="009E6E8A">
        <w:rPr>
          <w:rFonts w:ascii="Arial" w:hAnsi="Arial" w:cs="Arial"/>
          <w:lang w:val="en-GB"/>
        </w:rPr>
        <w:t xml:space="preserve">condition C vs. </w:t>
      </w:r>
      <w:r w:rsidR="00981EED" w:rsidRPr="005C6AB7">
        <w:rPr>
          <w:rFonts w:ascii="Arial" w:hAnsi="Arial" w:cs="Arial"/>
          <w:lang w:val="en-GB"/>
        </w:rPr>
        <w:t xml:space="preserve">B for </w:t>
      </w:r>
      <w:r w:rsidR="00C109FA" w:rsidRPr="005C6AB7">
        <w:rPr>
          <w:rFonts w:ascii="Arial" w:hAnsi="Arial" w:cs="Arial"/>
          <w:lang w:val="en-GB"/>
        </w:rPr>
        <w:t>every measured</w:t>
      </w:r>
      <w:r w:rsidR="00981EED" w:rsidRPr="005C6AB7">
        <w:rPr>
          <w:rFonts w:ascii="Arial" w:hAnsi="Arial" w:cs="Arial"/>
          <w:lang w:val="en-GB"/>
        </w:rPr>
        <w:t xml:space="preserve"> magnitude were </w:t>
      </w:r>
      <w:r w:rsidR="008A3B17" w:rsidRPr="005C6AB7">
        <w:rPr>
          <w:rFonts w:ascii="Arial" w:hAnsi="Arial" w:cs="Arial"/>
          <w:lang w:val="en-GB"/>
        </w:rPr>
        <w:t>performed</w:t>
      </w:r>
      <w:r w:rsidR="00981EED" w:rsidRPr="005C6AB7">
        <w:rPr>
          <w:rFonts w:ascii="Arial" w:hAnsi="Arial" w:cs="Arial"/>
          <w:lang w:val="en-GB"/>
        </w:rPr>
        <w:t>.</w:t>
      </w:r>
      <w:r w:rsidR="00286B83">
        <w:rPr>
          <w:rFonts w:ascii="Arial" w:hAnsi="Arial" w:cs="Arial"/>
          <w:lang w:val="en-GB"/>
        </w:rPr>
        <w:t xml:space="preserve"> </w:t>
      </w:r>
      <w:r w:rsidR="00DA40F8">
        <w:rPr>
          <w:rFonts w:ascii="Arial" w:hAnsi="Arial" w:cs="Arial"/>
          <w:lang w:val="en-GB"/>
        </w:rPr>
        <w:t>All correlations were significant</w:t>
      </w:r>
      <w:r w:rsidR="00B24541">
        <w:rPr>
          <w:rFonts w:ascii="Arial" w:hAnsi="Arial" w:cs="Arial"/>
          <w:lang w:val="en-GB"/>
        </w:rPr>
        <w:t>,</w:t>
      </w:r>
      <w:r w:rsidR="00DA40F8">
        <w:rPr>
          <w:rFonts w:ascii="Arial" w:hAnsi="Arial" w:cs="Arial"/>
          <w:lang w:val="en-GB"/>
        </w:rPr>
        <w:t xml:space="preserve"> with the following correlation coefficients for each comparison and each marker (from high to low): Reference condition C vs. A: p-Tau181 (0.93) &gt; </w:t>
      </w:r>
      <w:r w:rsidR="00DA40F8" w:rsidRPr="005C6AB7">
        <w:rPr>
          <w:rFonts w:ascii="Arial" w:hAnsi="Arial" w:cs="Arial"/>
          <w:lang w:val="en-GB"/>
        </w:rPr>
        <w:t>Aβ1-40</w:t>
      </w:r>
      <w:r w:rsidR="00DA40F8">
        <w:rPr>
          <w:rFonts w:ascii="Arial" w:hAnsi="Arial" w:cs="Arial"/>
          <w:lang w:val="en-GB"/>
        </w:rPr>
        <w:t xml:space="preserve"> (0.75) &gt; </w:t>
      </w:r>
      <w:r w:rsidR="00DA40F8" w:rsidRPr="005C6AB7">
        <w:rPr>
          <w:rFonts w:ascii="Arial" w:hAnsi="Arial" w:cs="Arial"/>
          <w:lang w:val="en-GB"/>
        </w:rPr>
        <w:t>Aβ1-42</w:t>
      </w:r>
      <w:r w:rsidR="00DA40F8">
        <w:rPr>
          <w:rFonts w:ascii="Arial" w:hAnsi="Arial" w:cs="Arial"/>
          <w:lang w:val="en-GB"/>
        </w:rPr>
        <w:t xml:space="preserve"> (0.72) &gt; </w:t>
      </w:r>
      <w:r w:rsidR="00DA40F8" w:rsidRPr="005C6AB7">
        <w:rPr>
          <w:rFonts w:ascii="Arial" w:hAnsi="Arial" w:cs="Arial"/>
          <w:lang w:val="en-GB"/>
        </w:rPr>
        <w:t>Aβ1-42/Aβ1-40</w:t>
      </w:r>
      <w:r w:rsidR="00DA40F8">
        <w:rPr>
          <w:rFonts w:ascii="Arial" w:hAnsi="Arial" w:cs="Arial"/>
          <w:lang w:val="en-GB"/>
        </w:rPr>
        <w:t xml:space="preserve"> (0.55); Reference condition C vs. B:</w:t>
      </w:r>
      <w:r w:rsidR="00DA40F8" w:rsidRPr="00DA40F8">
        <w:rPr>
          <w:rFonts w:ascii="Arial" w:hAnsi="Arial" w:cs="Arial"/>
          <w:lang w:val="en-GB"/>
        </w:rPr>
        <w:t xml:space="preserve"> </w:t>
      </w:r>
      <w:r w:rsidR="00DA40F8">
        <w:rPr>
          <w:rFonts w:ascii="Arial" w:hAnsi="Arial" w:cs="Arial"/>
          <w:lang w:val="en-GB"/>
        </w:rPr>
        <w:t xml:space="preserve">p-Tau181 (0.95) &gt; </w:t>
      </w:r>
      <w:r w:rsidR="00DA40F8" w:rsidRPr="005C6AB7">
        <w:rPr>
          <w:rFonts w:ascii="Arial" w:hAnsi="Arial" w:cs="Arial"/>
          <w:lang w:val="en-GB"/>
        </w:rPr>
        <w:t>Aβ1-4</w:t>
      </w:r>
      <w:r w:rsidR="00DA40F8">
        <w:rPr>
          <w:rFonts w:ascii="Arial" w:hAnsi="Arial" w:cs="Arial"/>
          <w:lang w:val="en-GB"/>
        </w:rPr>
        <w:t xml:space="preserve">2 (0.78) &gt; </w:t>
      </w:r>
      <w:r w:rsidR="00DA40F8" w:rsidRPr="005C6AB7">
        <w:rPr>
          <w:rFonts w:ascii="Arial" w:hAnsi="Arial" w:cs="Arial"/>
          <w:lang w:val="en-GB"/>
        </w:rPr>
        <w:t>Aβ1-4</w:t>
      </w:r>
      <w:r w:rsidR="00DA40F8">
        <w:rPr>
          <w:rFonts w:ascii="Arial" w:hAnsi="Arial" w:cs="Arial"/>
          <w:lang w:val="en-GB"/>
        </w:rPr>
        <w:t xml:space="preserve">0 (0.76) &gt; </w:t>
      </w:r>
      <w:r w:rsidR="00DA40F8" w:rsidRPr="005C6AB7">
        <w:rPr>
          <w:rFonts w:ascii="Arial" w:hAnsi="Arial" w:cs="Arial"/>
          <w:lang w:val="en-GB"/>
        </w:rPr>
        <w:t>Aβ1-42/Aβ1-40</w:t>
      </w:r>
      <w:r w:rsidR="00DA40F8">
        <w:rPr>
          <w:rFonts w:ascii="Arial" w:hAnsi="Arial" w:cs="Arial"/>
          <w:lang w:val="en-GB"/>
        </w:rPr>
        <w:t xml:space="preserve"> (0.71)</w:t>
      </w:r>
      <w:r w:rsidR="003C5AA4" w:rsidRPr="003C5AA4">
        <w:rPr>
          <w:rFonts w:ascii="Arial" w:hAnsi="Arial" w:cs="Arial"/>
          <w:lang w:val="en-GB"/>
        </w:rPr>
        <w:t xml:space="preserve"> </w:t>
      </w:r>
      <w:r w:rsidR="003C5AA4" w:rsidRPr="005C6AB7">
        <w:rPr>
          <w:rFonts w:ascii="Arial" w:hAnsi="Arial" w:cs="Arial"/>
          <w:lang w:val="en-GB"/>
        </w:rPr>
        <w:t>(</w:t>
      </w:r>
      <w:r w:rsidR="003C5AA4" w:rsidRPr="005C6AB7">
        <w:rPr>
          <w:rFonts w:ascii="Arial" w:hAnsi="Arial" w:cs="Arial"/>
          <w:b/>
          <w:lang w:val="en-GB"/>
        </w:rPr>
        <w:t>Figure 3</w:t>
      </w:r>
      <w:r w:rsidR="003C5AA4" w:rsidRPr="005C6AB7">
        <w:rPr>
          <w:rFonts w:ascii="Arial" w:hAnsi="Arial" w:cs="Arial"/>
          <w:lang w:val="en-GB"/>
        </w:rPr>
        <w:t>)</w:t>
      </w:r>
      <w:r w:rsidR="00DA40F8">
        <w:rPr>
          <w:rFonts w:ascii="Arial" w:hAnsi="Arial" w:cs="Arial"/>
          <w:lang w:val="en-GB"/>
        </w:rPr>
        <w:t>.</w:t>
      </w:r>
    </w:p>
    <w:p w14:paraId="1942CE33" w14:textId="367D1EF7" w:rsidR="003A3B18" w:rsidRPr="005C6AB7" w:rsidRDefault="003A3B18" w:rsidP="000A48C9">
      <w:pPr>
        <w:spacing w:line="480" w:lineRule="auto"/>
        <w:jc w:val="both"/>
        <w:rPr>
          <w:rFonts w:ascii="Arial" w:hAnsi="Arial" w:cs="Arial"/>
          <w:lang w:val="en-GB"/>
        </w:rPr>
      </w:pPr>
      <w:r w:rsidRPr="005C6AB7">
        <w:rPr>
          <w:rFonts w:ascii="Arial" w:hAnsi="Arial" w:cs="Arial"/>
          <w:lang w:val="en-GB"/>
        </w:rPr>
        <w:t xml:space="preserve">For the </w:t>
      </w:r>
      <w:r w:rsidR="005E3EA2">
        <w:rPr>
          <w:rFonts w:ascii="Arial" w:hAnsi="Arial" w:cs="Arial"/>
          <w:lang w:val="en-GB"/>
        </w:rPr>
        <w:t>EDTA-</w:t>
      </w:r>
      <w:r w:rsidRPr="005C6AB7">
        <w:rPr>
          <w:rFonts w:ascii="Arial" w:hAnsi="Arial" w:cs="Arial"/>
          <w:lang w:val="en-GB"/>
        </w:rPr>
        <w:t>plasma</w:t>
      </w:r>
      <w:r w:rsidR="005E3EA2">
        <w:rPr>
          <w:rFonts w:ascii="Arial" w:hAnsi="Arial" w:cs="Arial"/>
          <w:lang w:val="en-GB"/>
        </w:rPr>
        <w:t xml:space="preserve"> vs. </w:t>
      </w:r>
      <w:r w:rsidRPr="005C6AB7">
        <w:rPr>
          <w:rFonts w:ascii="Arial" w:hAnsi="Arial" w:cs="Arial"/>
          <w:lang w:val="en-GB"/>
        </w:rPr>
        <w:t xml:space="preserve">serum </w:t>
      </w:r>
      <w:r w:rsidR="00776C6E" w:rsidRPr="005C6AB7">
        <w:rPr>
          <w:rFonts w:ascii="Arial" w:hAnsi="Arial" w:cs="Arial"/>
          <w:lang w:val="en-GB"/>
        </w:rPr>
        <w:t xml:space="preserve">analysis, we observed that concentrations </w:t>
      </w:r>
      <w:r w:rsidR="007E212D" w:rsidRPr="005C6AB7">
        <w:rPr>
          <w:rFonts w:ascii="Arial" w:hAnsi="Arial" w:cs="Arial"/>
          <w:lang w:val="en-GB"/>
        </w:rPr>
        <w:t>for Aβ1-42, Aβ1-40 and p-Tau</w:t>
      </w:r>
      <w:r w:rsidR="00374964">
        <w:rPr>
          <w:rFonts w:ascii="Arial" w:hAnsi="Arial" w:cs="Arial"/>
          <w:lang w:val="en-GB"/>
        </w:rPr>
        <w:t>181</w:t>
      </w:r>
      <w:r w:rsidR="007E212D" w:rsidRPr="005C6AB7">
        <w:rPr>
          <w:rFonts w:ascii="Arial" w:hAnsi="Arial" w:cs="Arial"/>
          <w:lang w:val="en-GB"/>
        </w:rPr>
        <w:t xml:space="preserve"> </w:t>
      </w:r>
      <w:r w:rsidR="00776C6E" w:rsidRPr="005C6AB7">
        <w:rPr>
          <w:rFonts w:ascii="Arial" w:hAnsi="Arial" w:cs="Arial"/>
          <w:lang w:val="en-GB"/>
        </w:rPr>
        <w:t xml:space="preserve">in serum were </w:t>
      </w:r>
      <w:r w:rsidR="007E212D" w:rsidRPr="005C6AB7">
        <w:rPr>
          <w:rFonts w:ascii="Arial" w:hAnsi="Arial" w:cs="Arial"/>
          <w:lang w:val="en-GB"/>
        </w:rPr>
        <w:t>decreased 94</w:t>
      </w:r>
      <w:r w:rsidR="00DA40F8">
        <w:rPr>
          <w:rFonts w:ascii="Arial" w:hAnsi="Arial" w:cs="Arial"/>
          <w:lang w:val="en-GB"/>
        </w:rPr>
        <w:t>.0</w:t>
      </w:r>
      <w:r w:rsidR="007E212D" w:rsidRPr="005C6AB7">
        <w:rPr>
          <w:rFonts w:ascii="Arial" w:hAnsi="Arial" w:cs="Arial"/>
          <w:lang w:val="en-GB"/>
        </w:rPr>
        <w:t xml:space="preserve">%, 38.9% and 30.6% respectively when compared to </w:t>
      </w:r>
      <w:r w:rsidR="003C5AA4">
        <w:rPr>
          <w:rFonts w:ascii="Arial" w:hAnsi="Arial" w:cs="Arial"/>
          <w:lang w:val="en-GB"/>
        </w:rPr>
        <w:t>the</w:t>
      </w:r>
      <w:r w:rsidR="00345CFA">
        <w:rPr>
          <w:rFonts w:ascii="Arial" w:hAnsi="Arial" w:cs="Arial"/>
          <w:lang w:val="en-GB"/>
        </w:rPr>
        <w:t xml:space="preserve"> </w:t>
      </w:r>
      <w:r w:rsidR="003C5AA4">
        <w:rPr>
          <w:rFonts w:ascii="Arial" w:hAnsi="Arial" w:cs="Arial"/>
          <w:lang w:val="en-GB"/>
        </w:rPr>
        <w:t>p</w:t>
      </w:r>
      <w:r w:rsidR="007E212D" w:rsidRPr="005C6AB7">
        <w:rPr>
          <w:rFonts w:ascii="Arial" w:hAnsi="Arial" w:cs="Arial"/>
          <w:lang w:val="en-GB"/>
        </w:rPr>
        <w:t>lasma</w:t>
      </w:r>
      <w:r w:rsidR="003C5AA4">
        <w:rPr>
          <w:rFonts w:ascii="Arial" w:hAnsi="Arial" w:cs="Arial"/>
          <w:lang w:val="en-GB"/>
        </w:rPr>
        <w:t xml:space="preserve"> ones</w:t>
      </w:r>
      <w:r w:rsidR="007E212D" w:rsidRPr="005C6AB7">
        <w:rPr>
          <w:rFonts w:ascii="Arial" w:hAnsi="Arial" w:cs="Arial"/>
          <w:lang w:val="en-GB"/>
        </w:rPr>
        <w:t xml:space="preserve">. </w:t>
      </w:r>
      <w:r w:rsidR="00B161DE">
        <w:rPr>
          <w:rFonts w:ascii="Arial" w:hAnsi="Arial" w:cs="Arial"/>
          <w:lang w:val="en-GB"/>
        </w:rPr>
        <w:t>In the</w:t>
      </w:r>
      <w:r w:rsidRPr="005C6AB7">
        <w:rPr>
          <w:rFonts w:ascii="Arial" w:hAnsi="Arial" w:cs="Arial"/>
          <w:lang w:val="en-GB"/>
        </w:rPr>
        <w:t xml:space="preserve"> </w:t>
      </w:r>
      <w:r w:rsidR="003320E3" w:rsidRPr="005C6AB7">
        <w:rPr>
          <w:rFonts w:ascii="Arial" w:hAnsi="Arial" w:cs="Arial"/>
          <w:lang w:val="en-GB"/>
        </w:rPr>
        <w:t xml:space="preserve">correlation </w:t>
      </w:r>
      <w:r w:rsidR="00B161DE">
        <w:rPr>
          <w:rFonts w:ascii="Arial" w:hAnsi="Arial" w:cs="Arial"/>
          <w:lang w:val="en-GB"/>
        </w:rPr>
        <w:t>analysis between both matrices</w:t>
      </w:r>
      <w:r w:rsidR="00CF61D9">
        <w:rPr>
          <w:rFonts w:ascii="Arial" w:hAnsi="Arial" w:cs="Arial"/>
          <w:lang w:val="en-GB"/>
        </w:rPr>
        <w:t>,</w:t>
      </w:r>
      <w:r w:rsidR="00B161DE">
        <w:rPr>
          <w:rFonts w:ascii="Arial" w:hAnsi="Arial" w:cs="Arial"/>
          <w:lang w:val="en-GB"/>
        </w:rPr>
        <w:t xml:space="preserve"> </w:t>
      </w:r>
      <w:r w:rsidR="00810432">
        <w:rPr>
          <w:rFonts w:ascii="Arial" w:hAnsi="Arial" w:cs="Arial"/>
          <w:lang w:val="en-GB"/>
        </w:rPr>
        <w:t>Pearson’s r</w:t>
      </w:r>
      <w:r w:rsidR="003B2F74">
        <w:rPr>
          <w:rFonts w:ascii="Arial" w:hAnsi="Arial" w:cs="Arial"/>
          <w:lang w:val="en-GB"/>
        </w:rPr>
        <w:t xml:space="preserve"> </w:t>
      </w:r>
      <w:r w:rsidR="005779C7">
        <w:rPr>
          <w:rFonts w:ascii="Arial" w:hAnsi="Arial" w:cs="Arial"/>
          <w:lang w:val="en-GB"/>
        </w:rPr>
        <w:t>was</w:t>
      </w:r>
      <w:r w:rsidR="003B2F74">
        <w:rPr>
          <w:rFonts w:ascii="Arial" w:hAnsi="Arial" w:cs="Arial"/>
          <w:lang w:val="en-GB"/>
        </w:rPr>
        <w:t xml:space="preserve"> </w:t>
      </w:r>
      <w:r w:rsidR="003B2F74" w:rsidRPr="00524EC2">
        <w:rPr>
          <w:rFonts w:ascii="Arial" w:hAnsi="Arial" w:cs="Arial"/>
          <w:lang w:val="en-GB"/>
        </w:rPr>
        <w:t xml:space="preserve">0.43 (p=0.018) </w:t>
      </w:r>
      <w:r w:rsidR="003B2F74">
        <w:rPr>
          <w:rFonts w:ascii="Arial" w:hAnsi="Arial" w:cs="Arial"/>
          <w:lang w:val="en-GB"/>
        </w:rPr>
        <w:t>f</w:t>
      </w:r>
      <w:r w:rsidR="003320E3" w:rsidRPr="005C6AB7">
        <w:rPr>
          <w:rFonts w:ascii="Arial" w:hAnsi="Arial" w:cs="Arial"/>
          <w:lang w:val="en-GB"/>
        </w:rPr>
        <w:t>or Aβ1-42</w:t>
      </w:r>
      <w:r w:rsidR="003B2F74">
        <w:rPr>
          <w:rFonts w:ascii="Arial" w:hAnsi="Arial" w:cs="Arial"/>
          <w:lang w:val="en-GB"/>
        </w:rPr>
        <w:t>;</w:t>
      </w:r>
      <w:r w:rsidR="003320E3" w:rsidRPr="005C6AB7">
        <w:rPr>
          <w:rFonts w:ascii="Arial" w:hAnsi="Arial" w:cs="Arial"/>
          <w:lang w:val="en-GB"/>
        </w:rPr>
        <w:t xml:space="preserve"> </w:t>
      </w:r>
      <w:r w:rsidR="003B2F74" w:rsidRPr="00E6073F">
        <w:rPr>
          <w:rFonts w:ascii="Arial" w:hAnsi="Arial" w:cs="Arial"/>
          <w:lang w:val="en-GB"/>
        </w:rPr>
        <w:t xml:space="preserve">0.77 (p&lt;0.0001) </w:t>
      </w:r>
      <w:r w:rsidR="001F4ED3" w:rsidRPr="005C6AB7">
        <w:rPr>
          <w:rFonts w:ascii="Arial" w:hAnsi="Arial" w:cs="Arial"/>
          <w:lang w:val="en-GB"/>
        </w:rPr>
        <w:t>f</w:t>
      </w:r>
      <w:r w:rsidR="003320E3" w:rsidRPr="005C6AB7">
        <w:rPr>
          <w:rFonts w:ascii="Arial" w:hAnsi="Arial" w:cs="Arial"/>
          <w:lang w:val="en-GB"/>
        </w:rPr>
        <w:t>or Aβ1-40</w:t>
      </w:r>
      <w:r w:rsidR="003B2F74">
        <w:rPr>
          <w:rFonts w:ascii="Arial" w:hAnsi="Arial" w:cs="Arial"/>
          <w:lang w:val="en-GB"/>
        </w:rPr>
        <w:t xml:space="preserve">; </w:t>
      </w:r>
      <w:r w:rsidR="003B2F74" w:rsidRPr="00E6073F">
        <w:rPr>
          <w:rFonts w:ascii="Arial" w:hAnsi="Arial" w:cs="Arial"/>
          <w:lang w:val="en-GB"/>
        </w:rPr>
        <w:t>0.30 (p=0.101)</w:t>
      </w:r>
      <w:r w:rsidR="003B2F74">
        <w:rPr>
          <w:rFonts w:ascii="Arial" w:hAnsi="Arial" w:cs="Arial"/>
          <w:lang w:val="en-GB"/>
        </w:rPr>
        <w:t xml:space="preserve"> </w:t>
      </w:r>
      <w:r w:rsidR="001F4ED3" w:rsidRPr="005C6AB7">
        <w:rPr>
          <w:rFonts w:ascii="Arial" w:hAnsi="Arial" w:cs="Arial"/>
          <w:lang w:val="en-GB"/>
        </w:rPr>
        <w:t>for Aβ1-42/Aβ1-40</w:t>
      </w:r>
      <w:r w:rsidR="003B2F74">
        <w:rPr>
          <w:rFonts w:ascii="Arial" w:hAnsi="Arial" w:cs="Arial"/>
          <w:lang w:val="en-GB"/>
        </w:rPr>
        <w:t xml:space="preserve">; and </w:t>
      </w:r>
      <w:r w:rsidR="003B2F74" w:rsidRPr="00E6073F">
        <w:rPr>
          <w:rFonts w:ascii="Arial" w:hAnsi="Arial" w:cs="Arial"/>
          <w:lang w:val="en-GB"/>
        </w:rPr>
        <w:t>0.94 (p&lt;0.0001)</w:t>
      </w:r>
      <w:r w:rsidR="003B2F74">
        <w:rPr>
          <w:rFonts w:ascii="Arial" w:hAnsi="Arial" w:cs="Arial"/>
          <w:lang w:val="en-GB"/>
        </w:rPr>
        <w:t xml:space="preserve"> </w:t>
      </w:r>
      <w:r w:rsidR="001F4ED3" w:rsidRPr="005C6AB7">
        <w:rPr>
          <w:rFonts w:ascii="Arial" w:hAnsi="Arial" w:cs="Arial"/>
          <w:lang w:val="en-GB"/>
        </w:rPr>
        <w:t>for p-Tau</w:t>
      </w:r>
      <w:r w:rsidR="00C93B59" w:rsidRPr="005C6AB7">
        <w:rPr>
          <w:rFonts w:ascii="Arial" w:hAnsi="Arial" w:cs="Arial"/>
          <w:lang w:val="en-GB"/>
        </w:rPr>
        <w:t>181</w:t>
      </w:r>
      <w:r w:rsidR="003C5AA4">
        <w:rPr>
          <w:rFonts w:ascii="Arial" w:hAnsi="Arial" w:cs="Arial"/>
          <w:lang w:val="en-GB"/>
        </w:rPr>
        <w:t xml:space="preserve"> </w:t>
      </w:r>
      <w:r w:rsidR="003C5AA4">
        <w:rPr>
          <w:rFonts w:ascii="Arial" w:hAnsi="Arial" w:cs="Arial"/>
          <w:lang w:val="en-GB"/>
        </w:rPr>
        <w:t>(</w:t>
      </w:r>
      <w:r w:rsidR="003C5AA4" w:rsidRPr="00374964">
        <w:rPr>
          <w:rFonts w:ascii="Arial" w:hAnsi="Arial" w:cs="Arial"/>
          <w:b/>
          <w:lang w:val="en-GB"/>
        </w:rPr>
        <w:t>Fig</w:t>
      </w:r>
      <w:r w:rsidR="003C5AA4">
        <w:rPr>
          <w:rFonts w:ascii="Arial" w:hAnsi="Arial" w:cs="Arial"/>
          <w:b/>
          <w:lang w:val="en-GB"/>
        </w:rPr>
        <w:t>ure</w:t>
      </w:r>
      <w:r w:rsidR="003C5AA4" w:rsidRPr="00374964">
        <w:rPr>
          <w:rFonts w:ascii="Arial" w:hAnsi="Arial" w:cs="Arial"/>
          <w:b/>
          <w:lang w:val="en-GB"/>
        </w:rPr>
        <w:t xml:space="preserve"> 4</w:t>
      </w:r>
      <w:r w:rsidR="003C5AA4">
        <w:rPr>
          <w:rFonts w:ascii="Arial" w:hAnsi="Arial" w:cs="Arial"/>
          <w:lang w:val="en-GB"/>
        </w:rPr>
        <w:t>).</w:t>
      </w:r>
    </w:p>
    <w:p w14:paraId="5DAED30F" w14:textId="7919C9B6" w:rsidR="00480521" w:rsidRPr="001B4E9F" w:rsidRDefault="006E0E6F" w:rsidP="001E792E">
      <w:pPr>
        <w:spacing w:line="480" w:lineRule="auto"/>
        <w:jc w:val="both"/>
        <w:rPr>
          <w:rFonts w:ascii="Arial" w:hAnsi="Arial" w:cs="Arial"/>
          <w:lang w:val="en-GB"/>
        </w:rPr>
      </w:pPr>
      <w:r w:rsidRPr="00137CF8">
        <w:rPr>
          <w:rFonts w:ascii="Arial" w:hAnsi="Arial" w:cs="Arial"/>
          <w:lang w:val="en-GB"/>
        </w:rPr>
        <w:t xml:space="preserve">The </w:t>
      </w:r>
      <w:r w:rsidR="004615D9" w:rsidRPr="00137CF8">
        <w:rPr>
          <w:rFonts w:ascii="Arial" w:hAnsi="Arial" w:cs="Arial"/>
          <w:lang w:val="en-GB"/>
        </w:rPr>
        <w:t>inter</w:t>
      </w:r>
      <w:r w:rsidR="00D5286F" w:rsidRPr="00137CF8">
        <w:rPr>
          <w:rFonts w:ascii="Arial" w:hAnsi="Arial" w:cs="Arial"/>
          <w:lang w:val="en-GB"/>
        </w:rPr>
        <w:t xml:space="preserve">-assay </w:t>
      </w:r>
      <w:r w:rsidR="00304851" w:rsidRPr="00137CF8">
        <w:rPr>
          <w:rFonts w:ascii="Arial" w:hAnsi="Arial" w:cs="Arial"/>
          <w:lang w:val="en-GB"/>
        </w:rPr>
        <w:t>CV</w:t>
      </w:r>
      <w:r w:rsidRPr="00137CF8">
        <w:rPr>
          <w:rFonts w:ascii="Arial" w:hAnsi="Arial" w:cs="Arial"/>
          <w:lang w:val="en-GB"/>
        </w:rPr>
        <w:t xml:space="preserve"> for Aβ1-42, Aβ1-40, </w:t>
      </w:r>
      <w:r w:rsidR="005A2408" w:rsidRPr="00137CF8">
        <w:rPr>
          <w:rFonts w:ascii="Arial" w:hAnsi="Arial" w:cs="Arial"/>
          <w:lang w:val="en-GB"/>
        </w:rPr>
        <w:t xml:space="preserve">and </w:t>
      </w:r>
      <w:r w:rsidRPr="00137CF8">
        <w:rPr>
          <w:rFonts w:ascii="Arial" w:hAnsi="Arial" w:cs="Arial"/>
          <w:lang w:val="en-GB"/>
        </w:rPr>
        <w:t>p</w:t>
      </w:r>
      <w:r w:rsidR="00DD1786" w:rsidRPr="00137CF8">
        <w:rPr>
          <w:rFonts w:ascii="Arial" w:hAnsi="Arial" w:cs="Arial"/>
          <w:lang w:val="en-GB"/>
        </w:rPr>
        <w:t>-</w:t>
      </w:r>
      <w:r w:rsidRPr="00137CF8">
        <w:rPr>
          <w:rFonts w:ascii="Arial" w:hAnsi="Arial" w:cs="Arial"/>
          <w:lang w:val="en-GB"/>
        </w:rPr>
        <w:t>Tau</w:t>
      </w:r>
      <w:r w:rsidR="00C63277" w:rsidRPr="00137CF8">
        <w:rPr>
          <w:rFonts w:ascii="Arial" w:hAnsi="Arial" w:cs="Arial"/>
          <w:lang w:val="en-GB"/>
        </w:rPr>
        <w:t>181</w:t>
      </w:r>
      <w:r w:rsidRPr="00137CF8">
        <w:rPr>
          <w:rFonts w:ascii="Arial" w:hAnsi="Arial" w:cs="Arial"/>
          <w:lang w:val="en-GB"/>
        </w:rPr>
        <w:t xml:space="preserve"> </w:t>
      </w:r>
      <w:r w:rsidR="00F948BE" w:rsidRPr="00137CF8">
        <w:rPr>
          <w:rFonts w:ascii="Arial" w:hAnsi="Arial" w:cs="Arial"/>
          <w:lang w:val="en-GB"/>
        </w:rPr>
        <w:t xml:space="preserve">were </w:t>
      </w:r>
      <w:r w:rsidR="001148C1" w:rsidRPr="00137CF8">
        <w:rPr>
          <w:rFonts w:ascii="Arial" w:hAnsi="Arial" w:cs="Arial"/>
          <w:lang w:val="en-GB"/>
        </w:rPr>
        <w:t>4.9</w:t>
      </w:r>
      <w:r w:rsidR="00DD1786" w:rsidRPr="00137CF8">
        <w:rPr>
          <w:rFonts w:ascii="Arial" w:hAnsi="Arial" w:cs="Arial"/>
          <w:lang w:val="en-GB"/>
        </w:rPr>
        <w:t>%, 6.</w:t>
      </w:r>
      <w:r w:rsidR="0064430B" w:rsidRPr="00137CF8">
        <w:rPr>
          <w:rFonts w:ascii="Arial" w:hAnsi="Arial" w:cs="Arial"/>
          <w:lang w:val="en-GB"/>
        </w:rPr>
        <w:t>1</w:t>
      </w:r>
      <w:r w:rsidR="00DD1786" w:rsidRPr="00137CF8">
        <w:rPr>
          <w:rFonts w:ascii="Arial" w:hAnsi="Arial" w:cs="Arial"/>
          <w:lang w:val="en-GB"/>
        </w:rPr>
        <w:t>% and 1.9%</w:t>
      </w:r>
      <w:r w:rsidR="00CF61D9">
        <w:rPr>
          <w:rFonts w:ascii="Arial" w:hAnsi="Arial" w:cs="Arial"/>
          <w:lang w:val="en-GB"/>
        </w:rPr>
        <w:t>,</w:t>
      </w:r>
      <w:r w:rsidR="00C63277" w:rsidRPr="00137CF8">
        <w:rPr>
          <w:rFonts w:ascii="Arial" w:hAnsi="Arial" w:cs="Arial"/>
          <w:lang w:val="en-GB"/>
        </w:rPr>
        <w:t xml:space="preserve"> </w:t>
      </w:r>
      <w:r w:rsidRPr="00137CF8">
        <w:rPr>
          <w:rFonts w:ascii="Arial" w:hAnsi="Arial" w:cs="Arial"/>
          <w:lang w:val="en-GB"/>
        </w:rPr>
        <w:t>respectively</w:t>
      </w:r>
      <w:r w:rsidR="00D5286F" w:rsidRPr="00137CF8">
        <w:rPr>
          <w:rFonts w:ascii="Arial" w:hAnsi="Arial" w:cs="Arial"/>
          <w:lang w:val="en-GB"/>
        </w:rPr>
        <w:t>.</w:t>
      </w:r>
      <w:r w:rsidRPr="00137CF8">
        <w:rPr>
          <w:rFonts w:ascii="Arial" w:hAnsi="Arial" w:cs="Arial"/>
          <w:lang w:val="en-GB"/>
        </w:rPr>
        <w:t xml:space="preserve"> </w:t>
      </w:r>
      <w:r w:rsidRPr="00074895">
        <w:rPr>
          <w:rFonts w:ascii="Arial" w:hAnsi="Arial" w:cs="Arial"/>
          <w:lang w:val="en-GB"/>
        </w:rPr>
        <w:t>The i</w:t>
      </w:r>
      <w:r w:rsidR="00D5286F" w:rsidRPr="00074895">
        <w:rPr>
          <w:rFonts w:ascii="Arial" w:hAnsi="Arial" w:cs="Arial"/>
          <w:lang w:val="en-GB"/>
        </w:rPr>
        <w:t>nter-condition</w:t>
      </w:r>
      <w:r w:rsidR="00304851" w:rsidRPr="00074895">
        <w:rPr>
          <w:rFonts w:ascii="Arial" w:hAnsi="Arial" w:cs="Arial"/>
          <w:lang w:val="en-GB"/>
        </w:rPr>
        <w:t xml:space="preserve"> CV</w:t>
      </w:r>
      <w:r w:rsidR="00D5286F" w:rsidRPr="00074895">
        <w:rPr>
          <w:rFonts w:ascii="Arial" w:hAnsi="Arial" w:cs="Arial"/>
          <w:lang w:val="en-GB"/>
        </w:rPr>
        <w:t xml:space="preserve"> </w:t>
      </w:r>
      <w:r w:rsidR="009171A1" w:rsidRPr="00074895">
        <w:rPr>
          <w:rFonts w:ascii="Arial" w:hAnsi="Arial" w:cs="Arial"/>
          <w:lang w:val="en-GB"/>
        </w:rPr>
        <w:t xml:space="preserve">for Aβ1-42, Aβ1-40, </w:t>
      </w:r>
      <w:r w:rsidR="00013C42" w:rsidRPr="00074895">
        <w:rPr>
          <w:rFonts w:ascii="Arial" w:hAnsi="Arial" w:cs="Arial"/>
          <w:lang w:val="en-GB"/>
        </w:rPr>
        <w:t xml:space="preserve">Aβ1-42/Aβ1-40 ratio, </w:t>
      </w:r>
      <w:r w:rsidR="00DD1786" w:rsidRPr="00074895">
        <w:rPr>
          <w:rFonts w:ascii="Arial" w:hAnsi="Arial" w:cs="Arial"/>
          <w:lang w:val="en-GB"/>
        </w:rPr>
        <w:t xml:space="preserve">and </w:t>
      </w:r>
      <w:r w:rsidR="009171A1" w:rsidRPr="00074895">
        <w:rPr>
          <w:rFonts w:ascii="Arial" w:hAnsi="Arial" w:cs="Arial"/>
          <w:lang w:val="en-GB"/>
        </w:rPr>
        <w:t>p</w:t>
      </w:r>
      <w:r w:rsidR="00DD1786" w:rsidRPr="00074895">
        <w:rPr>
          <w:rFonts w:ascii="Arial" w:hAnsi="Arial" w:cs="Arial"/>
          <w:lang w:val="en-GB"/>
        </w:rPr>
        <w:t>-</w:t>
      </w:r>
      <w:r w:rsidR="009171A1" w:rsidRPr="00074895">
        <w:rPr>
          <w:rFonts w:ascii="Arial" w:hAnsi="Arial" w:cs="Arial"/>
          <w:lang w:val="en-GB"/>
        </w:rPr>
        <w:t>Tau</w:t>
      </w:r>
      <w:r w:rsidR="00C63277" w:rsidRPr="00074895">
        <w:rPr>
          <w:rFonts w:ascii="Arial" w:hAnsi="Arial" w:cs="Arial"/>
          <w:lang w:val="en-GB"/>
        </w:rPr>
        <w:t xml:space="preserve">181 </w:t>
      </w:r>
      <w:r w:rsidR="009171A1" w:rsidRPr="00074895">
        <w:rPr>
          <w:rFonts w:ascii="Arial" w:hAnsi="Arial" w:cs="Arial"/>
          <w:lang w:val="en-GB"/>
        </w:rPr>
        <w:t>w</w:t>
      </w:r>
      <w:r w:rsidR="0071005E" w:rsidRPr="00074895">
        <w:rPr>
          <w:rFonts w:ascii="Arial" w:hAnsi="Arial" w:cs="Arial"/>
          <w:lang w:val="en-GB"/>
        </w:rPr>
        <w:t>ere</w:t>
      </w:r>
      <w:r w:rsidR="009171A1" w:rsidRPr="00074895">
        <w:rPr>
          <w:rFonts w:ascii="Arial" w:hAnsi="Arial" w:cs="Arial"/>
          <w:lang w:val="en-GB"/>
        </w:rPr>
        <w:t xml:space="preserve"> </w:t>
      </w:r>
      <w:r w:rsidR="0064430B" w:rsidRPr="00074895">
        <w:rPr>
          <w:rFonts w:ascii="Arial" w:hAnsi="Arial" w:cs="Arial"/>
          <w:lang w:val="en-GB"/>
        </w:rPr>
        <w:t>23.3%, 27.1%, 9.3% and 16.3%</w:t>
      </w:r>
      <w:r w:rsidR="009171A1" w:rsidRPr="00074895">
        <w:rPr>
          <w:rFonts w:ascii="Arial" w:hAnsi="Arial" w:cs="Arial"/>
          <w:lang w:val="en-GB"/>
        </w:rPr>
        <w:t xml:space="preserve"> respectively</w:t>
      </w:r>
      <w:r w:rsidR="00133C75" w:rsidRPr="00074895">
        <w:rPr>
          <w:rFonts w:ascii="Arial" w:hAnsi="Arial" w:cs="Arial"/>
          <w:lang w:val="en-GB"/>
        </w:rPr>
        <w:t>.</w:t>
      </w:r>
      <w:r w:rsidR="00133C75">
        <w:rPr>
          <w:rFonts w:ascii="Arial" w:hAnsi="Arial" w:cs="Arial"/>
          <w:lang w:val="en-GB"/>
        </w:rPr>
        <w:t xml:space="preserve"> T</w:t>
      </w:r>
      <w:r w:rsidR="00801E4F">
        <w:rPr>
          <w:rFonts w:ascii="Arial" w:hAnsi="Arial" w:cs="Arial"/>
          <w:lang w:val="en-GB"/>
        </w:rPr>
        <w:t>h</w:t>
      </w:r>
      <w:r w:rsidR="00BF0C69">
        <w:rPr>
          <w:rFonts w:ascii="Arial" w:hAnsi="Arial" w:cs="Arial"/>
          <w:lang w:val="en-GB"/>
        </w:rPr>
        <w:t>erefore</w:t>
      </w:r>
      <w:r w:rsidR="00133C75">
        <w:rPr>
          <w:rFonts w:ascii="Arial" w:hAnsi="Arial" w:cs="Arial"/>
          <w:lang w:val="en-GB"/>
        </w:rPr>
        <w:t>, the observed differences between conditions were</w:t>
      </w:r>
      <w:r w:rsidR="00801E4F">
        <w:rPr>
          <w:rFonts w:ascii="Arial" w:hAnsi="Arial" w:cs="Arial"/>
          <w:lang w:val="en-GB"/>
        </w:rPr>
        <w:t xml:space="preserve"> </w:t>
      </w:r>
      <w:r w:rsidR="003B1638">
        <w:rPr>
          <w:rFonts w:ascii="Arial" w:hAnsi="Arial" w:cs="Arial"/>
          <w:lang w:val="en-GB"/>
        </w:rPr>
        <w:t xml:space="preserve">greater than expected by </w:t>
      </w:r>
      <w:r w:rsidR="0008048A">
        <w:rPr>
          <w:rFonts w:ascii="Arial" w:hAnsi="Arial" w:cs="Arial"/>
          <w:lang w:val="en-GB"/>
        </w:rPr>
        <w:t>inter-assay</w:t>
      </w:r>
      <w:r w:rsidR="00075452">
        <w:rPr>
          <w:rFonts w:ascii="Arial" w:hAnsi="Arial" w:cs="Arial"/>
          <w:lang w:val="en-GB"/>
        </w:rPr>
        <w:t xml:space="preserve"> variability</w:t>
      </w:r>
      <w:r w:rsidR="00BF0C69">
        <w:rPr>
          <w:rFonts w:ascii="Arial" w:hAnsi="Arial" w:cs="Arial"/>
          <w:lang w:val="en-GB"/>
        </w:rPr>
        <w:t>.</w:t>
      </w:r>
      <w:r w:rsidR="00EA3C70">
        <w:rPr>
          <w:rFonts w:ascii="Arial" w:hAnsi="Arial" w:cs="Arial"/>
          <w:lang w:val="en-GB"/>
        </w:rPr>
        <w:t xml:space="preserve"> </w:t>
      </w:r>
    </w:p>
    <w:p w14:paraId="62713452" w14:textId="3BB8AC70" w:rsidR="00455B39" w:rsidRPr="00422DF2" w:rsidRDefault="00D32D50" w:rsidP="00422DF2">
      <w:pPr>
        <w:spacing w:line="480" w:lineRule="auto"/>
        <w:jc w:val="both"/>
        <w:rPr>
          <w:rFonts w:ascii="Arial" w:hAnsi="Arial" w:cs="Arial"/>
          <w:lang w:val="en-GB"/>
        </w:rPr>
      </w:pPr>
      <w:r>
        <w:rPr>
          <w:rFonts w:ascii="Arial" w:hAnsi="Arial" w:cs="Arial"/>
          <w:lang w:val="en-GB"/>
        </w:rPr>
        <w:t>To assess interchange</w:t>
      </w:r>
      <w:r w:rsidR="001B4E9F">
        <w:rPr>
          <w:rFonts w:ascii="Arial" w:hAnsi="Arial" w:cs="Arial"/>
          <w:lang w:val="en-GB"/>
        </w:rPr>
        <w:t>a</w:t>
      </w:r>
      <w:r>
        <w:rPr>
          <w:rFonts w:ascii="Arial" w:hAnsi="Arial" w:cs="Arial"/>
          <w:lang w:val="en-GB"/>
        </w:rPr>
        <w:t>bility between conditions, w</w:t>
      </w:r>
      <w:r w:rsidR="00D249AB">
        <w:rPr>
          <w:rFonts w:ascii="Arial" w:hAnsi="Arial" w:cs="Arial"/>
          <w:lang w:val="en-GB"/>
        </w:rPr>
        <w:t xml:space="preserve">e </w:t>
      </w:r>
      <w:r w:rsidR="00F342EA">
        <w:rPr>
          <w:rFonts w:ascii="Arial" w:hAnsi="Arial" w:cs="Arial"/>
          <w:lang w:val="en-GB"/>
        </w:rPr>
        <w:t>performed regression analysis</w:t>
      </w:r>
      <w:r w:rsidR="00D249AB">
        <w:rPr>
          <w:rFonts w:ascii="Arial" w:hAnsi="Arial" w:cs="Arial"/>
          <w:lang w:val="en-GB"/>
        </w:rPr>
        <w:t xml:space="preserve"> for those comparisons that showed strong correlations</w:t>
      </w:r>
      <w:r w:rsidR="006370CF">
        <w:rPr>
          <w:rFonts w:ascii="Arial" w:hAnsi="Arial" w:cs="Arial"/>
          <w:lang w:val="en-GB"/>
        </w:rPr>
        <w:t xml:space="preserve"> (Pearson’s r &gt; 0.8)</w:t>
      </w:r>
      <w:r w:rsidR="00DA40F8">
        <w:rPr>
          <w:rFonts w:ascii="Arial" w:hAnsi="Arial" w:cs="Arial"/>
          <w:lang w:val="en-GB"/>
        </w:rPr>
        <w:t>, i.e. p-Tau181.</w:t>
      </w:r>
      <w:r w:rsidR="00900E5F">
        <w:rPr>
          <w:rFonts w:ascii="Arial" w:hAnsi="Arial" w:cs="Arial"/>
          <w:lang w:val="en-GB"/>
        </w:rPr>
        <w:t xml:space="preserve"> </w:t>
      </w:r>
      <w:r w:rsidR="00BB60A7">
        <w:rPr>
          <w:rFonts w:ascii="Arial" w:hAnsi="Arial" w:cs="Arial"/>
          <w:lang w:val="en-GB"/>
        </w:rPr>
        <w:t>For</w:t>
      </w:r>
      <w:r w:rsidR="00DA40F8" w:rsidRPr="00DA40F8">
        <w:rPr>
          <w:rFonts w:ascii="Arial" w:hAnsi="Arial" w:cs="Arial"/>
          <w:lang w:val="en-GB"/>
        </w:rPr>
        <w:t xml:space="preserve"> </w:t>
      </w:r>
      <w:r w:rsidR="00DA40F8" w:rsidRPr="00876E0B">
        <w:rPr>
          <w:rFonts w:ascii="Arial" w:hAnsi="Arial" w:cs="Arial"/>
          <w:lang w:val="en-GB"/>
        </w:rPr>
        <w:t>the amyloid peptides</w:t>
      </w:r>
      <w:r w:rsidR="00DA40F8">
        <w:rPr>
          <w:rFonts w:ascii="Arial" w:hAnsi="Arial" w:cs="Arial"/>
          <w:lang w:val="en-GB"/>
        </w:rPr>
        <w:t xml:space="preserve"> in plasma</w:t>
      </w:r>
      <w:r w:rsidR="00DA40F8" w:rsidRPr="00876E0B">
        <w:rPr>
          <w:rFonts w:ascii="Arial" w:hAnsi="Arial" w:cs="Arial"/>
          <w:lang w:val="en-GB"/>
        </w:rPr>
        <w:t xml:space="preserve">, </w:t>
      </w:r>
      <w:r w:rsidR="00DA40F8">
        <w:rPr>
          <w:rFonts w:ascii="Arial" w:hAnsi="Arial" w:cs="Arial"/>
          <w:lang w:val="en-GB"/>
        </w:rPr>
        <w:t xml:space="preserve">the correlation coefficients between conditions were too low to </w:t>
      </w:r>
      <w:r w:rsidR="00F342EA">
        <w:rPr>
          <w:rFonts w:ascii="Arial" w:hAnsi="Arial" w:cs="Arial"/>
          <w:lang w:val="en-GB"/>
        </w:rPr>
        <w:t>perform regression analysis</w:t>
      </w:r>
      <w:r w:rsidR="00DA40F8">
        <w:rPr>
          <w:rFonts w:ascii="Arial" w:hAnsi="Arial" w:cs="Arial"/>
          <w:lang w:val="en-GB"/>
        </w:rPr>
        <w:t xml:space="preserve">. </w:t>
      </w:r>
      <w:r w:rsidR="00F342EA" w:rsidRPr="00F342EA">
        <w:rPr>
          <w:rFonts w:ascii="Arial" w:hAnsi="Arial" w:cs="Arial"/>
          <w:b/>
          <w:lang w:val="en-GB"/>
        </w:rPr>
        <w:t>Table 3</w:t>
      </w:r>
      <w:r w:rsidR="00F342EA">
        <w:rPr>
          <w:rFonts w:ascii="Arial" w:hAnsi="Arial" w:cs="Arial"/>
          <w:lang w:val="en-GB"/>
        </w:rPr>
        <w:t xml:space="preserve"> includes slope and intercept regression </w:t>
      </w:r>
      <w:r w:rsidR="00F342EA">
        <w:rPr>
          <w:rFonts w:ascii="Arial" w:hAnsi="Arial" w:cs="Arial"/>
          <w:lang w:val="en-GB"/>
        </w:rPr>
        <w:lastRenderedPageBreak/>
        <w:t xml:space="preserve">parameters for p-Tau181 comparisons between condition C </w:t>
      </w:r>
      <w:r w:rsidR="00422DF2">
        <w:rPr>
          <w:rFonts w:ascii="Arial" w:hAnsi="Arial" w:cs="Arial"/>
          <w:lang w:val="en-GB"/>
        </w:rPr>
        <w:t>vs.</w:t>
      </w:r>
      <w:r w:rsidR="00F342EA">
        <w:rPr>
          <w:rFonts w:ascii="Arial" w:hAnsi="Arial" w:cs="Arial"/>
          <w:lang w:val="en-GB"/>
        </w:rPr>
        <w:t xml:space="preserve"> A</w:t>
      </w:r>
      <w:r w:rsidR="00665F35">
        <w:rPr>
          <w:rFonts w:ascii="Arial" w:hAnsi="Arial" w:cs="Arial"/>
          <w:lang w:val="en-GB"/>
        </w:rPr>
        <w:t>,</w:t>
      </w:r>
      <w:r w:rsidR="00F342EA">
        <w:rPr>
          <w:rFonts w:ascii="Arial" w:hAnsi="Arial" w:cs="Arial"/>
          <w:lang w:val="en-GB"/>
        </w:rPr>
        <w:t xml:space="preserve"> condition C </w:t>
      </w:r>
      <w:r w:rsidR="00422DF2">
        <w:rPr>
          <w:rFonts w:ascii="Arial" w:hAnsi="Arial" w:cs="Arial"/>
          <w:lang w:val="en-GB"/>
        </w:rPr>
        <w:t>vs.</w:t>
      </w:r>
      <w:r w:rsidR="00F342EA">
        <w:rPr>
          <w:rFonts w:ascii="Arial" w:hAnsi="Arial" w:cs="Arial"/>
          <w:lang w:val="en-GB"/>
        </w:rPr>
        <w:t xml:space="preserve"> B</w:t>
      </w:r>
      <w:r w:rsidR="00422DF2">
        <w:rPr>
          <w:rFonts w:ascii="Arial" w:hAnsi="Arial" w:cs="Arial"/>
          <w:lang w:val="en-GB"/>
        </w:rPr>
        <w:t>, and</w:t>
      </w:r>
      <w:r w:rsidR="00700445" w:rsidRPr="00700445">
        <w:rPr>
          <w:rFonts w:ascii="Arial" w:hAnsi="Arial" w:cs="Arial"/>
          <w:lang w:val="en-GB"/>
        </w:rPr>
        <w:t xml:space="preserve"> </w:t>
      </w:r>
      <w:r w:rsidR="00700445">
        <w:rPr>
          <w:rFonts w:ascii="Arial" w:hAnsi="Arial" w:cs="Arial"/>
          <w:lang w:val="en-GB"/>
        </w:rPr>
        <w:t xml:space="preserve">EDTA-plasma </w:t>
      </w:r>
      <w:r w:rsidR="00422DF2">
        <w:rPr>
          <w:rFonts w:ascii="Arial" w:hAnsi="Arial" w:cs="Arial"/>
          <w:lang w:val="en-GB"/>
        </w:rPr>
        <w:t>vs.</w:t>
      </w:r>
      <w:r w:rsidR="00700445">
        <w:rPr>
          <w:rFonts w:ascii="Arial" w:hAnsi="Arial" w:cs="Arial"/>
          <w:lang w:val="en-GB"/>
        </w:rPr>
        <w:t xml:space="preserve"> serum</w:t>
      </w:r>
      <w:r w:rsidR="00F342EA">
        <w:rPr>
          <w:rFonts w:ascii="Arial" w:hAnsi="Arial" w:cs="Arial"/>
          <w:lang w:val="en-GB"/>
        </w:rPr>
        <w:t xml:space="preserve">. The regression parameters were used to calculate new p-Tau181 values </w:t>
      </w:r>
      <w:r w:rsidR="004A5365" w:rsidRPr="00876E0B">
        <w:rPr>
          <w:rFonts w:ascii="Arial" w:hAnsi="Arial" w:cs="Arial"/>
          <w:lang w:val="en-GB"/>
        </w:rPr>
        <w:t>which</w:t>
      </w:r>
      <w:r w:rsidR="001610EE" w:rsidRPr="00876E0B">
        <w:rPr>
          <w:rFonts w:ascii="Arial" w:hAnsi="Arial" w:cs="Arial"/>
          <w:lang w:val="en-GB"/>
        </w:rPr>
        <w:t xml:space="preserve"> </w:t>
      </w:r>
      <w:r w:rsidR="00801F62" w:rsidRPr="00876E0B">
        <w:rPr>
          <w:rFonts w:ascii="Arial" w:hAnsi="Arial" w:cs="Arial"/>
          <w:lang w:val="en-GB"/>
        </w:rPr>
        <w:t xml:space="preserve">were used in diagnostic agreement studies </w:t>
      </w:r>
      <w:r w:rsidR="00BA0E6E" w:rsidRPr="00876E0B">
        <w:rPr>
          <w:rFonts w:ascii="Arial" w:hAnsi="Arial" w:cs="Arial"/>
          <w:lang w:val="en-GB"/>
        </w:rPr>
        <w:t>(</w:t>
      </w:r>
      <w:r w:rsidR="00BA0E6E" w:rsidRPr="00876E0B">
        <w:rPr>
          <w:rFonts w:ascii="Arial" w:hAnsi="Arial" w:cs="Arial"/>
          <w:b/>
          <w:lang w:val="en-GB"/>
        </w:rPr>
        <w:t>Figure 5</w:t>
      </w:r>
      <w:r w:rsidR="00BA0E6E" w:rsidRPr="00876E0B">
        <w:rPr>
          <w:rFonts w:ascii="Arial" w:hAnsi="Arial" w:cs="Arial"/>
          <w:lang w:val="en-GB"/>
        </w:rPr>
        <w:t>)</w:t>
      </w:r>
      <w:r w:rsidR="00801F62" w:rsidRPr="00876E0B">
        <w:rPr>
          <w:rFonts w:ascii="Arial" w:hAnsi="Arial" w:cs="Arial"/>
          <w:lang w:val="en-GB"/>
        </w:rPr>
        <w:t xml:space="preserve">. </w:t>
      </w:r>
      <w:r w:rsidR="00422DF2">
        <w:rPr>
          <w:rFonts w:ascii="Arial" w:hAnsi="Arial" w:cs="Arial"/>
          <w:lang w:val="en-GB"/>
        </w:rPr>
        <w:t>T</w:t>
      </w:r>
      <w:r w:rsidR="00422DF2" w:rsidRPr="00422DF2">
        <w:rPr>
          <w:rFonts w:ascii="Arial" w:hAnsi="Arial" w:cs="Arial"/>
          <w:lang w:val="en-GB"/>
        </w:rPr>
        <w:t>o assess the agreement between conditions</w:t>
      </w:r>
      <w:r w:rsidR="00422DF2">
        <w:rPr>
          <w:rFonts w:ascii="Arial" w:hAnsi="Arial" w:cs="Arial"/>
          <w:lang w:val="en-GB"/>
        </w:rPr>
        <w:t>, we</w:t>
      </w:r>
      <w:r w:rsidR="00422DF2">
        <w:rPr>
          <w:rFonts w:ascii="Arial" w:hAnsi="Arial" w:cs="Arial"/>
          <w:lang w:val="en-GB"/>
        </w:rPr>
        <w:t xml:space="preserve"> calculated</w:t>
      </w:r>
      <w:r w:rsidR="00422DF2" w:rsidRPr="00422DF2">
        <w:rPr>
          <w:rFonts w:ascii="Arial" w:hAnsi="Arial" w:cs="Arial"/>
          <w:lang w:val="en-GB"/>
        </w:rPr>
        <w:t xml:space="preserve"> </w:t>
      </w:r>
      <w:r w:rsidR="00422DF2" w:rsidRPr="00422DF2">
        <w:rPr>
          <w:rFonts w:ascii="Arial" w:hAnsi="Arial" w:cs="Arial"/>
          <w:lang w:val="en-GB"/>
        </w:rPr>
        <w:t xml:space="preserve">k indices for the classification of patients as positive or negative with cut-offs ranging from 1.6 to 4.2 </w:t>
      </w:r>
      <w:proofErr w:type="spellStart"/>
      <w:r w:rsidR="00422DF2" w:rsidRPr="00422DF2">
        <w:rPr>
          <w:rFonts w:ascii="Arial" w:hAnsi="Arial" w:cs="Arial"/>
          <w:lang w:val="en-GB"/>
        </w:rPr>
        <w:t>pg</w:t>
      </w:r>
      <w:proofErr w:type="spellEnd"/>
      <w:r w:rsidR="00422DF2" w:rsidRPr="00422DF2">
        <w:rPr>
          <w:rFonts w:ascii="Arial" w:hAnsi="Arial" w:cs="Arial"/>
          <w:lang w:val="en-GB"/>
        </w:rPr>
        <w:t>/ml.</w:t>
      </w:r>
      <w:r w:rsidR="00D12AB9" w:rsidRPr="00D12AB9">
        <w:rPr>
          <w:rFonts w:ascii="Arial" w:hAnsi="Arial" w:cs="Arial"/>
          <w:lang w:val="en-GB"/>
        </w:rPr>
        <w:t xml:space="preserve"> </w:t>
      </w:r>
      <w:r w:rsidR="00422DF2" w:rsidRPr="00890584">
        <w:rPr>
          <w:rFonts w:ascii="Arial" w:hAnsi="Arial" w:cs="Arial"/>
          <w:lang w:val="en-GB"/>
        </w:rPr>
        <w:t>The highest k values (&gt;</w:t>
      </w:r>
      <w:r w:rsidR="00422DF2">
        <w:rPr>
          <w:rFonts w:ascii="Arial" w:hAnsi="Arial" w:cs="Arial"/>
          <w:lang w:val="en-GB"/>
        </w:rPr>
        <w:t>0.81</w:t>
      </w:r>
      <w:r w:rsidR="00422DF2" w:rsidRPr="00890584">
        <w:rPr>
          <w:rFonts w:ascii="Arial" w:hAnsi="Arial" w:cs="Arial"/>
          <w:lang w:val="en-GB"/>
        </w:rPr>
        <w:t xml:space="preserve">) when comparing reference condition C vs. A were observed for cut-offs 2.9 to 3.0, 3.4 to 3.8 and 4.2 </w:t>
      </w:r>
      <w:proofErr w:type="spellStart"/>
      <w:r w:rsidR="00422DF2" w:rsidRPr="00890584">
        <w:rPr>
          <w:rFonts w:ascii="Arial" w:hAnsi="Arial" w:cs="Arial"/>
          <w:lang w:val="en-GB"/>
        </w:rPr>
        <w:t>pg</w:t>
      </w:r>
      <w:proofErr w:type="spellEnd"/>
      <w:r w:rsidR="00422DF2" w:rsidRPr="00890584">
        <w:rPr>
          <w:rFonts w:ascii="Arial" w:hAnsi="Arial" w:cs="Arial"/>
          <w:lang w:val="en-GB"/>
        </w:rPr>
        <w:t>/mL</w:t>
      </w:r>
      <w:r w:rsidR="00422DF2">
        <w:rPr>
          <w:rFonts w:ascii="Arial" w:hAnsi="Arial" w:cs="Arial"/>
          <w:lang w:val="en-GB"/>
        </w:rPr>
        <w:t xml:space="preserve"> </w:t>
      </w:r>
      <w:r w:rsidR="00422DF2" w:rsidRPr="00890584">
        <w:rPr>
          <w:rFonts w:ascii="Arial" w:hAnsi="Arial" w:cs="Arial"/>
          <w:lang w:val="en-GB"/>
        </w:rPr>
        <w:t>(</w:t>
      </w:r>
      <w:r w:rsidR="00422DF2" w:rsidRPr="00890584">
        <w:rPr>
          <w:rFonts w:ascii="Arial" w:hAnsi="Arial" w:cs="Arial"/>
          <w:b/>
          <w:lang w:val="en-GB"/>
        </w:rPr>
        <w:t>Fig.</w:t>
      </w:r>
      <w:r w:rsidR="00422DF2">
        <w:rPr>
          <w:rFonts w:ascii="Arial" w:hAnsi="Arial" w:cs="Arial"/>
          <w:b/>
          <w:lang w:val="en-GB"/>
        </w:rPr>
        <w:t>5a</w:t>
      </w:r>
      <w:r w:rsidR="00422DF2" w:rsidRPr="00890584">
        <w:rPr>
          <w:rFonts w:ascii="Arial" w:hAnsi="Arial" w:cs="Arial"/>
          <w:lang w:val="en-GB"/>
        </w:rPr>
        <w:t>)</w:t>
      </w:r>
      <w:r w:rsidR="00422DF2">
        <w:rPr>
          <w:rFonts w:ascii="Arial" w:hAnsi="Arial" w:cs="Arial"/>
          <w:lang w:val="en-GB"/>
        </w:rPr>
        <w:t xml:space="preserve">, and </w:t>
      </w:r>
      <w:r w:rsidR="00422DF2" w:rsidRPr="00890584">
        <w:rPr>
          <w:rFonts w:ascii="Arial" w:hAnsi="Arial" w:cs="Arial"/>
          <w:lang w:val="en-GB"/>
        </w:rPr>
        <w:t xml:space="preserve">when comparing reference condition C vs. B were </w:t>
      </w:r>
      <w:r w:rsidR="00422DF2">
        <w:rPr>
          <w:rFonts w:ascii="Arial" w:hAnsi="Arial" w:cs="Arial"/>
          <w:lang w:val="en-GB"/>
        </w:rPr>
        <w:t xml:space="preserve">observed for cut-offs </w:t>
      </w:r>
      <w:r w:rsidR="00422DF2" w:rsidRPr="00890584">
        <w:rPr>
          <w:rFonts w:ascii="Arial" w:hAnsi="Arial" w:cs="Arial"/>
          <w:lang w:val="en-GB"/>
        </w:rPr>
        <w:t xml:space="preserve">1.7 to 1.9, 2.1, 2.4, 2.9 to 3.1, 3.5 to 4 and 4.2 </w:t>
      </w:r>
      <w:proofErr w:type="spellStart"/>
      <w:r w:rsidR="00422DF2" w:rsidRPr="00890584">
        <w:rPr>
          <w:rFonts w:ascii="Arial" w:hAnsi="Arial" w:cs="Arial"/>
          <w:lang w:val="en-GB"/>
        </w:rPr>
        <w:t>pg</w:t>
      </w:r>
      <w:proofErr w:type="spellEnd"/>
      <w:r w:rsidR="00422DF2" w:rsidRPr="00890584">
        <w:rPr>
          <w:rFonts w:ascii="Arial" w:hAnsi="Arial" w:cs="Arial"/>
          <w:lang w:val="en-GB"/>
        </w:rPr>
        <w:t>/mL (</w:t>
      </w:r>
      <w:r w:rsidR="00422DF2" w:rsidRPr="00890584">
        <w:rPr>
          <w:rFonts w:ascii="Arial" w:hAnsi="Arial" w:cs="Arial"/>
          <w:b/>
          <w:lang w:val="en-GB"/>
        </w:rPr>
        <w:t>Fig.</w:t>
      </w:r>
      <w:r w:rsidR="00422DF2">
        <w:rPr>
          <w:rFonts w:ascii="Arial" w:hAnsi="Arial" w:cs="Arial"/>
          <w:b/>
          <w:lang w:val="en-GB"/>
        </w:rPr>
        <w:t>5b</w:t>
      </w:r>
      <w:r w:rsidR="00422DF2" w:rsidRPr="00890584">
        <w:rPr>
          <w:rFonts w:ascii="Arial" w:hAnsi="Arial" w:cs="Arial"/>
          <w:lang w:val="en-GB"/>
        </w:rPr>
        <w:t>).</w:t>
      </w:r>
      <w:r w:rsidR="00422DF2">
        <w:rPr>
          <w:rFonts w:ascii="Arial" w:hAnsi="Arial" w:cs="Arial"/>
          <w:lang w:val="en-GB"/>
        </w:rPr>
        <w:t xml:space="preserve"> </w:t>
      </w:r>
      <w:r w:rsidR="00422DF2">
        <w:rPr>
          <w:rFonts w:ascii="Arial" w:hAnsi="Arial" w:cs="Arial"/>
          <w:lang w:val="en-GB"/>
        </w:rPr>
        <w:t>F</w:t>
      </w:r>
      <w:r w:rsidR="00455B39" w:rsidRPr="00890584">
        <w:rPr>
          <w:rFonts w:ascii="Arial" w:hAnsi="Arial" w:cs="Arial"/>
          <w:lang w:val="en-GB"/>
        </w:rPr>
        <w:t>or the plasma</w:t>
      </w:r>
      <w:r w:rsidR="00422DF2">
        <w:rPr>
          <w:rFonts w:ascii="Arial" w:hAnsi="Arial" w:cs="Arial"/>
          <w:lang w:val="en-GB"/>
        </w:rPr>
        <w:t xml:space="preserve"> vs. </w:t>
      </w:r>
      <w:r w:rsidR="00455B39" w:rsidRPr="00890584">
        <w:rPr>
          <w:rFonts w:ascii="Arial" w:hAnsi="Arial" w:cs="Arial"/>
          <w:lang w:val="en-GB"/>
        </w:rPr>
        <w:t>serum comparison analysis</w:t>
      </w:r>
      <w:r w:rsidR="00422DF2">
        <w:rPr>
          <w:rFonts w:ascii="Arial" w:hAnsi="Arial" w:cs="Arial"/>
          <w:lang w:val="en-GB"/>
        </w:rPr>
        <w:t>,</w:t>
      </w:r>
      <w:r w:rsidR="00455B39" w:rsidRPr="00890584">
        <w:rPr>
          <w:rFonts w:ascii="Arial" w:hAnsi="Arial" w:cs="Arial"/>
          <w:lang w:val="en-GB"/>
        </w:rPr>
        <w:t xml:space="preserve"> </w:t>
      </w:r>
      <w:r w:rsidR="00422DF2">
        <w:rPr>
          <w:rFonts w:ascii="Arial" w:hAnsi="Arial" w:cs="Arial"/>
          <w:lang w:val="en-GB"/>
        </w:rPr>
        <w:t>t</w:t>
      </w:r>
      <w:r w:rsidR="00422DF2" w:rsidRPr="00890584">
        <w:rPr>
          <w:rFonts w:ascii="Arial" w:hAnsi="Arial" w:cs="Arial"/>
          <w:lang w:val="en-GB"/>
        </w:rPr>
        <w:t xml:space="preserve">he highest k values </w:t>
      </w:r>
      <w:r w:rsidR="00455B39" w:rsidRPr="00890584">
        <w:rPr>
          <w:rFonts w:ascii="Arial" w:hAnsi="Arial" w:cs="Arial"/>
          <w:lang w:val="en-GB"/>
        </w:rPr>
        <w:t xml:space="preserve">were observed for cut-offs </w:t>
      </w:r>
      <w:r w:rsidR="0052600E" w:rsidRPr="00890584">
        <w:rPr>
          <w:rFonts w:ascii="Arial" w:hAnsi="Arial" w:cs="Arial"/>
          <w:lang w:val="en-GB"/>
        </w:rPr>
        <w:t>1.9, 2.</w:t>
      </w:r>
      <w:r w:rsidR="00371EB2">
        <w:rPr>
          <w:rFonts w:ascii="Arial" w:hAnsi="Arial" w:cs="Arial"/>
          <w:lang w:val="en-GB"/>
        </w:rPr>
        <w:t>5</w:t>
      </w:r>
      <w:r w:rsidR="0052600E" w:rsidRPr="00890584">
        <w:rPr>
          <w:rFonts w:ascii="Arial" w:hAnsi="Arial" w:cs="Arial"/>
          <w:lang w:val="en-GB"/>
        </w:rPr>
        <w:t xml:space="preserve"> to 3.4 and 4.1 to 4.2 </w:t>
      </w:r>
      <w:proofErr w:type="spellStart"/>
      <w:r w:rsidR="0052600E" w:rsidRPr="00890584">
        <w:rPr>
          <w:rFonts w:ascii="Arial" w:hAnsi="Arial" w:cs="Arial"/>
          <w:lang w:val="en-GB"/>
        </w:rPr>
        <w:t>pg</w:t>
      </w:r>
      <w:proofErr w:type="spellEnd"/>
      <w:r w:rsidR="0052600E" w:rsidRPr="00890584">
        <w:rPr>
          <w:rFonts w:ascii="Arial" w:hAnsi="Arial" w:cs="Arial"/>
          <w:lang w:val="en-GB"/>
        </w:rPr>
        <w:t>/m</w:t>
      </w:r>
      <w:r w:rsidR="00890584" w:rsidRPr="00890584">
        <w:rPr>
          <w:rFonts w:ascii="Arial" w:hAnsi="Arial" w:cs="Arial"/>
          <w:lang w:val="en-GB"/>
        </w:rPr>
        <w:t>L (</w:t>
      </w:r>
      <w:r w:rsidR="00890584" w:rsidRPr="00890584">
        <w:rPr>
          <w:rFonts w:ascii="Arial" w:hAnsi="Arial" w:cs="Arial"/>
          <w:b/>
          <w:lang w:val="en-GB"/>
        </w:rPr>
        <w:t>Fig.5</w:t>
      </w:r>
      <w:r w:rsidR="00422DF2">
        <w:rPr>
          <w:rFonts w:ascii="Arial" w:hAnsi="Arial" w:cs="Arial"/>
          <w:b/>
          <w:lang w:val="en-GB"/>
        </w:rPr>
        <w:t>c</w:t>
      </w:r>
      <w:r w:rsidR="00890584" w:rsidRPr="00890584">
        <w:rPr>
          <w:rFonts w:ascii="Arial" w:hAnsi="Arial" w:cs="Arial"/>
          <w:lang w:val="en-GB"/>
        </w:rPr>
        <w:t>)</w:t>
      </w:r>
      <w:r w:rsidR="0052600E" w:rsidRPr="00890584">
        <w:rPr>
          <w:rFonts w:ascii="Arial" w:hAnsi="Arial" w:cs="Arial"/>
          <w:lang w:val="en-GB"/>
        </w:rPr>
        <w:t xml:space="preserve">. </w:t>
      </w:r>
    </w:p>
    <w:p w14:paraId="67CAB703" w14:textId="4AD545AA" w:rsidR="008705FE" w:rsidRPr="00870E7F" w:rsidRDefault="008705FE" w:rsidP="00EE5CF9">
      <w:pPr>
        <w:pStyle w:val="Pargrafdellista"/>
        <w:numPr>
          <w:ilvl w:val="0"/>
          <w:numId w:val="1"/>
        </w:numPr>
        <w:spacing w:line="480" w:lineRule="auto"/>
        <w:jc w:val="both"/>
        <w:rPr>
          <w:rFonts w:ascii="Arial" w:hAnsi="Arial" w:cs="Arial"/>
          <w:b/>
          <w:lang w:val="en-GB"/>
        </w:rPr>
      </w:pPr>
      <w:r w:rsidRPr="00870E7F">
        <w:rPr>
          <w:rFonts w:ascii="Arial" w:hAnsi="Arial" w:cs="Arial"/>
          <w:b/>
          <w:lang w:val="en-GB"/>
        </w:rPr>
        <w:t>Discussion</w:t>
      </w:r>
    </w:p>
    <w:p w14:paraId="17F26268" w14:textId="63D6CCF5" w:rsidR="002F2D02" w:rsidRPr="00870E7F" w:rsidRDefault="008F7226" w:rsidP="005A4B85">
      <w:pPr>
        <w:spacing w:line="480" w:lineRule="auto"/>
        <w:jc w:val="both"/>
        <w:rPr>
          <w:rFonts w:ascii="Arial" w:hAnsi="Arial" w:cs="Arial"/>
          <w:lang w:val="en-GB"/>
        </w:rPr>
      </w:pPr>
      <w:r>
        <w:rPr>
          <w:rFonts w:ascii="Arial" w:hAnsi="Arial" w:cs="Arial"/>
          <w:lang w:val="en-GB"/>
        </w:rPr>
        <w:t>As a</w:t>
      </w:r>
      <w:r w:rsidR="00166738" w:rsidRPr="00870E7F">
        <w:rPr>
          <w:rFonts w:ascii="Arial" w:hAnsi="Arial" w:cs="Arial"/>
          <w:lang w:val="en-GB"/>
        </w:rPr>
        <w:t xml:space="preserve"> consequence of the </w:t>
      </w:r>
      <w:r w:rsidR="002C1881">
        <w:rPr>
          <w:rFonts w:ascii="Arial" w:hAnsi="Arial" w:cs="Arial"/>
          <w:lang w:val="en-GB"/>
        </w:rPr>
        <w:t>development</w:t>
      </w:r>
      <w:r w:rsidR="002C1881" w:rsidRPr="00870E7F">
        <w:rPr>
          <w:rFonts w:ascii="Arial" w:hAnsi="Arial" w:cs="Arial"/>
          <w:lang w:val="en-GB"/>
        </w:rPr>
        <w:t xml:space="preserve"> </w:t>
      </w:r>
      <w:r w:rsidR="00166738" w:rsidRPr="00870E7F">
        <w:rPr>
          <w:rFonts w:ascii="Arial" w:hAnsi="Arial" w:cs="Arial"/>
          <w:lang w:val="en-GB"/>
        </w:rPr>
        <w:t>of ultrasensitive immunoassays, a</w:t>
      </w:r>
      <w:r w:rsidR="00C056E1" w:rsidRPr="00870E7F">
        <w:rPr>
          <w:rFonts w:ascii="Arial" w:hAnsi="Arial" w:cs="Arial"/>
          <w:lang w:val="en-GB"/>
        </w:rPr>
        <w:t xml:space="preserve"> wide variety of easily measurable </w:t>
      </w:r>
      <w:r w:rsidR="00DA40F8">
        <w:rPr>
          <w:rFonts w:ascii="Arial" w:hAnsi="Arial" w:cs="Arial"/>
          <w:lang w:val="en-GB"/>
        </w:rPr>
        <w:t>BBM</w:t>
      </w:r>
      <w:r w:rsidR="00C056E1" w:rsidRPr="00870E7F">
        <w:rPr>
          <w:rFonts w:ascii="Arial" w:hAnsi="Arial" w:cs="Arial"/>
          <w:lang w:val="en-GB"/>
        </w:rPr>
        <w:t xml:space="preserve"> </w:t>
      </w:r>
      <w:r>
        <w:rPr>
          <w:rFonts w:ascii="Arial" w:hAnsi="Arial" w:cs="Arial"/>
          <w:lang w:val="en-GB"/>
        </w:rPr>
        <w:t xml:space="preserve">of AD </w:t>
      </w:r>
      <w:r w:rsidR="00166738" w:rsidRPr="00870E7F">
        <w:rPr>
          <w:rFonts w:ascii="Arial" w:hAnsi="Arial" w:cs="Arial"/>
          <w:lang w:val="en-GB"/>
        </w:rPr>
        <w:t>is</w:t>
      </w:r>
      <w:r w:rsidR="00C056E1" w:rsidRPr="00870E7F">
        <w:rPr>
          <w:rFonts w:ascii="Arial" w:hAnsi="Arial" w:cs="Arial"/>
          <w:lang w:val="en-GB"/>
        </w:rPr>
        <w:t xml:space="preserve"> now available. However, before these tests can be </w:t>
      </w:r>
      <w:r>
        <w:rPr>
          <w:rFonts w:ascii="Arial" w:hAnsi="Arial" w:cs="Arial"/>
          <w:lang w:val="en-GB"/>
        </w:rPr>
        <w:t>applied</w:t>
      </w:r>
      <w:r w:rsidRPr="00870E7F">
        <w:rPr>
          <w:rFonts w:ascii="Arial" w:hAnsi="Arial" w:cs="Arial"/>
          <w:lang w:val="en-GB"/>
        </w:rPr>
        <w:t xml:space="preserve"> </w:t>
      </w:r>
      <w:r w:rsidR="00C056E1" w:rsidRPr="00870E7F">
        <w:rPr>
          <w:rFonts w:ascii="Arial" w:hAnsi="Arial" w:cs="Arial"/>
          <w:lang w:val="en-GB"/>
        </w:rPr>
        <w:t>in clinic</w:t>
      </w:r>
      <w:r w:rsidR="007008B0" w:rsidRPr="00870E7F">
        <w:rPr>
          <w:rFonts w:ascii="Arial" w:hAnsi="Arial" w:cs="Arial"/>
          <w:lang w:val="en-GB"/>
        </w:rPr>
        <w:t>al practice</w:t>
      </w:r>
      <w:r w:rsidR="00C056E1" w:rsidRPr="00870E7F">
        <w:rPr>
          <w:rFonts w:ascii="Arial" w:hAnsi="Arial" w:cs="Arial"/>
          <w:lang w:val="en-GB"/>
        </w:rPr>
        <w:t>, a number of methodological and pre-analytical issues</w:t>
      </w:r>
      <w:r w:rsidR="00440011" w:rsidRPr="00870E7F">
        <w:rPr>
          <w:rFonts w:ascii="Arial" w:hAnsi="Arial" w:cs="Arial"/>
          <w:lang w:val="en-GB"/>
        </w:rPr>
        <w:t>,</w:t>
      </w:r>
      <w:r w:rsidR="00C056E1" w:rsidRPr="00870E7F">
        <w:rPr>
          <w:rFonts w:ascii="Arial" w:hAnsi="Arial" w:cs="Arial"/>
          <w:lang w:val="en-GB"/>
        </w:rPr>
        <w:t xml:space="preserve"> </w:t>
      </w:r>
      <w:r w:rsidR="001C48A1" w:rsidRPr="00870E7F">
        <w:rPr>
          <w:rFonts w:ascii="Arial" w:hAnsi="Arial" w:cs="Arial"/>
          <w:lang w:val="en-GB"/>
        </w:rPr>
        <w:t xml:space="preserve">as well as </w:t>
      </w:r>
      <w:r w:rsidR="00440011" w:rsidRPr="00870E7F">
        <w:rPr>
          <w:rFonts w:ascii="Arial" w:hAnsi="Arial" w:cs="Arial"/>
          <w:lang w:val="en-GB"/>
        </w:rPr>
        <w:t>extended</w:t>
      </w:r>
      <w:r w:rsidR="001C48A1" w:rsidRPr="00870E7F">
        <w:rPr>
          <w:rFonts w:ascii="Arial" w:hAnsi="Arial" w:cs="Arial"/>
          <w:lang w:val="en-GB"/>
        </w:rPr>
        <w:t xml:space="preserve"> validation in matrices other than </w:t>
      </w:r>
      <w:r w:rsidR="003E66D3">
        <w:rPr>
          <w:rFonts w:ascii="Arial" w:hAnsi="Arial" w:cs="Arial"/>
          <w:lang w:val="en-GB"/>
        </w:rPr>
        <w:t>EDTA-</w:t>
      </w:r>
      <w:r w:rsidR="001C48A1" w:rsidRPr="00870E7F">
        <w:rPr>
          <w:rFonts w:ascii="Arial" w:hAnsi="Arial" w:cs="Arial"/>
          <w:lang w:val="en-GB"/>
        </w:rPr>
        <w:t>plasma</w:t>
      </w:r>
      <w:r w:rsidR="00440011" w:rsidRPr="00870E7F">
        <w:rPr>
          <w:rFonts w:ascii="Arial" w:hAnsi="Arial" w:cs="Arial"/>
          <w:lang w:val="en-GB"/>
        </w:rPr>
        <w:t>,</w:t>
      </w:r>
      <w:r w:rsidR="001C48A1" w:rsidRPr="00870E7F">
        <w:rPr>
          <w:rFonts w:ascii="Arial" w:hAnsi="Arial" w:cs="Arial"/>
          <w:lang w:val="en-GB"/>
        </w:rPr>
        <w:t xml:space="preserve"> need to be resolved</w:t>
      </w:r>
      <w:r w:rsidR="00C056E1" w:rsidRPr="00870E7F">
        <w:rPr>
          <w:rFonts w:ascii="Arial" w:hAnsi="Arial" w:cs="Arial"/>
          <w:lang w:val="en-GB"/>
        </w:rPr>
        <w:t>.</w:t>
      </w:r>
      <w:r w:rsidR="007008B0" w:rsidRPr="00870E7F">
        <w:rPr>
          <w:rFonts w:ascii="Arial" w:hAnsi="Arial" w:cs="Arial"/>
          <w:lang w:val="en-GB"/>
        </w:rPr>
        <w:t xml:space="preserve"> </w:t>
      </w:r>
      <w:r w:rsidR="00DA40F8">
        <w:rPr>
          <w:rFonts w:ascii="Arial" w:hAnsi="Arial" w:cs="Arial"/>
          <w:lang w:val="en-GB"/>
        </w:rPr>
        <w:t>T</w:t>
      </w:r>
      <w:r w:rsidR="003A0CEE" w:rsidRPr="00870E7F">
        <w:rPr>
          <w:rFonts w:ascii="Arial" w:hAnsi="Arial" w:cs="Arial"/>
          <w:lang w:val="en-GB"/>
        </w:rPr>
        <w:t xml:space="preserve">he </w:t>
      </w:r>
      <w:r w:rsidR="003D20B8" w:rsidRPr="00870E7F">
        <w:rPr>
          <w:rFonts w:ascii="Arial" w:hAnsi="Arial" w:cs="Arial"/>
          <w:lang w:val="en-GB"/>
        </w:rPr>
        <w:t>current</w:t>
      </w:r>
      <w:r w:rsidR="003A0CEE" w:rsidRPr="00870E7F">
        <w:rPr>
          <w:rFonts w:ascii="Arial" w:hAnsi="Arial" w:cs="Arial"/>
          <w:lang w:val="en-GB"/>
        </w:rPr>
        <w:t xml:space="preserve"> </w:t>
      </w:r>
      <w:r w:rsidR="003D20B8" w:rsidRPr="00870E7F">
        <w:rPr>
          <w:rFonts w:ascii="Arial" w:hAnsi="Arial" w:cs="Arial"/>
          <w:lang w:val="en-GB"/>
        </w:rPr>
        <w:t>study</w:t>
      </w:r>
      <w:r w:rsidR="003A0CEE" w:rsidRPr="00870E7F">
        <w:rPr>
          <w:rFonts w:ascii="Arial" w:hAnsi="Arial" w:cs="Arial"/>
          <w:lang w:val="en-GB"/>
        </w:rPr>
        <w:t xml:space="preserve"> </w:t>
      </w:r>
      <w:r w:rsidR="003D20B8" w:rsidRPr="00870E7F">
        <w:rPr>
          <w:rFonts w:ascii="Arial" w:hAnsi="Arial" w:cs="Arial"/>
          <w:lang w:val="en-GB"/>
        </w:rPr>
        <w:t>explored</w:t>
      </w:r>
      <w:r w:rsidR="00C109FA" w:rsidRPr="00870E7F">
        <w:rPr>
          <w:rFonts w:ascii="Arial" w:hAnsi="Arial" w:cs="Arial"/>
          <w:lang w:val="en-GB"/>
        </w:rPr>
        <w:t xml:space="preserve"> the </w:t>
      </w:r>
      <w:r w:rsidR="003D20B8" w:rsidRPr="00870E7F">
        <w:rPr>
          <w:rFonts w:ascii="Arial" w:hAnsi="Arial" w:cs="Arial"/>
          <w:lang w:val="en-GB"/>
        </w:rPr>
        <w:t>effects</w:t>
      </w:r>
      <w:r w:rsidR="00C109FA" w:rsidRPr="00870E7F">
        <w:rPr>
          <w:rFonts w:ascii="Arial" w:hAnsi="Arial" w:cs="Arial"/>
          <w:lang w:val="en-GB"/>
        </w:rPr>
        <w:t xml:space="preserve"> </w:t>
      </w:r>
      <w:r w:rsidR="002F2D02" w:rsidRPr="00870E7F">
        <w:rPr>
          <w:rFonts w:ascii="Arial" w:hAnsi="Arial" w:cs="Arial"/>
          <w:lang w:val="en-GB"/>
        </w:rPr>
        <w:t xml:space="preserve">of </w:t>
      </w:r>
      <w:r w:rsidR="003D20B8" w:rsidRPr="00870E7F">
        <w:rPr>
          <w:rFonts w:ascii="Arial" w:hAnsi="Arial" w:cs="Arial"/>
          <w:lang w:val="en-GB"/>
        </w:rPr>
        <w:t>different</w:t>
      </w:r>
      <w:r w:rsidR="00C109FA" w:rsidRPr="00870E7F">
        <w:rPr>
          <w:rFonts w:ascii="Arial" w:hAnsi="Arial" w:cs="Arial"/>
          <w:lang w:val="en-GB"/>
        </w:rPr>
        <w:t xml:space="preserve"> </w:t>
      </w:r>
      <w:r w:rsidR="005A4B85" w:rsidRPr="00870E7F">
        <w:rPr>
          <w:rFonts w:ascii="Arial" w:hAnsi="Arial" w:cs="Arial"/>
          <w:lang w:val="en-GB"/>
        </w:rPr>
        <w:t>storage conditions</w:t>
      </w:r>
      <w:r w:rsidR="009330CB" w:rsidRPr="00870E7F">
        <w:rPr>
          <w:rFonts w:ascii="Arial" w:hAnsi="Arial" w:cs="Arial"/>
          <w:lang w:val="en-GB"/>
        </w:rPr>
        <w:t>,</w:t>
      </w:r>
      <w:r w:rsidR="005A4B85" w:rsidRPr="00870E7F">
        <w:rPr>
          <w:rFonts w:ascii="Arial" w:hAnsi="Arial" w:cs="Arial"/>
          <w:lang w:val="en-GB"/>
        </w:rPr>
        <w:t xml:space="preserve"> </w:t>
      </w:r>
      <w:r w:rsidR="00166738" w:rsidRPr="00870E7F">
        <w:rPr>
          <w:rFonts w:ascii="Arial" w:hAnsi="Arial" w:cs="Arial"/>
          <w:lang w:val="en-GB"/>
        </w:rPr>
        <w:t>as well as</w:t>
      </w:r>
      <w:r w:rsidR="007008B0" w:rsidRPr="00870E7F">
        <w:rPr>
          <w:rFonts w:ascii="Arial" w:hAnsi="Arial" w:cs="Arial"/>
          <w:lang w:val="en-GB"/>
        </w:rPr>
        <w:t xml:space="preserve"> the use of plasma or </w:t>
      </w:r>
      <w:r w:rsidR="00BB4F4C">
        <w:rPr>
          <w:rFonts w:ascii="Arial" w:hAnsi="Arial" w:cs="Arial"/>
          <w:lang w:val="en-GB"/>
        </w:rPr>
        <w:t>serum</w:t>
      </w:r>
      <w:r w:rsidR="007008B0" w:rsidRPr="00870E7F">
        <w:rPr>
          <w:rFonts w:ascii="Arial" w:hAnsi="Arial" w:cs="Arial"/>
          <w:lang w:val="en-GB"/>
        </w:rPr>
        <w:t xml:space="preserve"> matri</w:t>
      </w:r>
      <w:r w:rsidR="00113B26" w:rsidRPr="00870E7F">
        <w:rPr>
          <w:rFonts w:ascii="Arial" w:hAnsi="Arial" w:cs="Arial"/>
          <w:lang w:val="en-GB"/>
        </w:rPr>
        <w:t>c</w:t>
      </w:r>
      <w:r w:rsidR="007008B0" w:rsidRPr="00870E7F">
        <w:rPr>
          <w:rFonts w:ascii="Arial" w:hAnsi="Arial" w:cs="Arial"/>
          <w:lang w:val="en-GB"/>
        </w:rPr>
        <w:t>es</w:t>
      </w:r>
      <w:r w:rsidR="009330CB" w:rsidRPr="00870E7F">
        <w:rPr>
          <w:rFonts w:ascii="Arial" w:hAnsi="Arial" w:cs="Arial"/>
          <w:lang w:val="en-GB"/>
        </w:rPr>
        <w:t>,</w:t>
      </w:r>
      <w:r w:rsidR="007008B0" w:rsidRPr="00870E7F">
        <w:rPr>
          <w:rFonts w:ascii="Arial" w:hAnsi="Arial" w:cs="Arial"/>
          <w:lang w:val="en-GB"/>
        </w:rPr>
        <w:t xml:space="preserve"> </w:t>
      </w:r>
      <w:r w:rsidR="005A4B85" w:rsidRPr="00870E7F">
        <w:rPr>
          <w:rFonts w:ascii="Arial" w:hAnsi="Arial" w:cs="Arial"/>
          <w:lang w:val="en-GB"/>
        </w:rPr>
        <w:t xml:space="preserve">on the simultaneous quantification of the </w:t>
      </w:r>
      <w:r w:rsidR="007008B0" w:rsidRPr="00870E7F">
        <w:rPr>
          <w:rFonts w:ascii="Arial" w:hAnsi="Arial" w:cs="Arial"/>
          <w:lang w:val="en-GB"/>
        </w:rPr>
        <w:t>BBM</w:t>
      </w:r>
      <w:r w:rsidR="005A4B85" w:rsidRPr="00870E7F">
        <w:rPr>
          <w:rFonts w:ascii="Arial" w:hAnsi="Arial" w:cs="Arial"/>
          <w:lang w:val="en-GB"/>
        </w:rPr>
        <w:t xml:space="preserve"> Aβ1-42, Aβ1-40</w:t>
      </w:r>
      <w:r w:rsidR="00543F7B" w:rsidRPr="00870E7F">
        <w:rPr>
          <w:rFonts w:ascii="Arial" w:hAnsi="Arial" w:cs="Arial"/>
          <w:lang w:val="en-GB"/>
        </w:rPr>
        <w:t xml:space="preserve"> and</w:t>
      </w:r>
      <w:r w:rsidR="005A4B85" w:rsidRPr="00870E7F">
        <w:rPr>
          <w:rFonts w:ascii="Arial" w:hAnsi="Arial" w:cs="Arial"/>
          <w:lang w:val="en-GB"/>
        </w:rPr>
        <w:t xml:space="preserve"> </w:t>
      </w:r>
      <w:r w:rsidR="006E789E" w:rsidRPr="00870E7F">
        <w:rPr>
          <w:rFonts w:ascii="Arial" w:hAnsi="Arial" w:cs="Arial"/>
          <w:lang w:val="en-GB"/>
        </w:rPr>
        <w:t>p</w:t>
      </w:r>
      <w:r w:rsidR="005A4B85" w:rsidRPr="00870E7F">
        <w:rPr>
          <w:rFonts w:ascii="Arial" w:hAnsi="Arial" w:cs="Arial"/>
          <w:lang w:val="en-GB"/>
        </w:rPr>
        <w:t>-Tau</w:t>
      </w:r>
      <w:r w:rsidR="00C93B59" w:rsidRPr="00870E7F">
        <w:rPr>
          <w:rFonts w:ascii="Arial" w:hAnsi="Arial" w:cs="Arial"/>
          <w:lang w:val="en-GB"/>
        </w:rPr>
        <w:t>181</w:t>
      </w:r>
      <w:r w:rsidR="005A4B85" w:rsidRPr="00870E7F">
        <w:rPr>
          <w:rFonts w:ascii="Arial" w:hAnsi="Arial" w:cs="Arial"/>
          <w:lang w:val="en-GB"/>
        </w:rPr>
        <w:t xml:space="preserve"> </w:t>
      </w:r>
      <w:r w:rsidR="00E26DB7">
        <w:rPr>
          <w:rFonts w:ascii="Arial" w:hAnsi="Arial" w:cs="Arial"/>
          <w:lang w:val="en-GB"/>
        </w:rPr>
        <w:t>o</w:t>
      </w:r>
      <w:r w:rsidR="005A4B85" w:rsidRPr="00870E7F">
        <w:rPr>
          <w:rFonts w:ascii="Arial" w:hAnsi="Arial" w:cs="Arial"/>
          <w:lang w:val="en-GB"/>
        </w:rPr>
        <w:t>n the L</w:t>
      </w:r>
      <w:r w:rsidR="006F655C" w:rsidRPr="00870E7F">
        <w:rPr>
          <w:rFonts w:ascii="Arial" w:hAnsi="Arial" w:cs="Arial"/>
          <w:lang w:val="en-GB"/>
        </w:rPr>
        <w:t>UMIPULSE</w:t>
      </w:r>
      <w:r w:rsidR="005A4B85" w:rsidRPr="00870E7F">
        <w:rPr>
          <w:rFonts w:ascii="Arial" w:hAnsi="Arial" w:cs="Arial"/>
          <w:lang w:val="en-GB"/>
        </w:rPr>
        <w:t xml:space="preserve"> G600II automated platform for the diagnosis of AD.</w:t>
      </w:r>
    </w:p>
    <w:p w14:paraId="31A0CE3E" w14:textId="30071290" w:rsidR="007D6CC3" w:rsidRDefault="007D6CC3" w:rsidP="000320B7">
      <w:pPr>
        <w:spacing w:line="480" w:lineRule="auto"/>
        <w:jc w:val="both"/>
        <w:rPr>
          <w:rFonts w:ascii="Segoe UI" w:hAnsi="Segoe UI" w:cs="Segoe UI"/>
          <w:color w:val="212121"/>
          <w:shd w:val="clear" w:color="auto" w:fill="FFFFFF"/>
          <w:lang w:val="en-GB"/>
        </w:rPr>
      </w:pPr>
      <w:r>
        <w:rPr>
          <w:rFonts w:ascii="Arial" w:hAnsi="Arial" w:cs="Arial"/>
          <w:lang w:val="en-GB"/>
        </w:rPr>
        <w:t>Amyloid peptides are known to be very sensitive to preanalytical conditions in CSF (</w:t>
      </w:r>
      <w:r w:rsidR="006A78F1" w:rsidRPr="006A78F1">
        <w:rPr>
          <w:rFonts w:ascii="Arial" w:hAnsi="Arial" w:cs="Arial"/>
          <w:highlight w:val="lightGray"/>
          <w:lang w:val="en-GB"/>
        </w:rPr>
        <w:t>doi: 10.1002/alz.12545</w:t>
      </w:r>
      <w:r>
        <w:rPr>
          <w:rFonts w:ascii="Arial" w:hAnsi="Arial" w:cs="Arial"/>
          <w:lang w:val="en-GB"/>
        </w:rPr>
        <w:t xml:space="preserve">). </w:t>
      </w:r>
      <w:r w:rsidR="00C65E90">
        <w:rPr>
          <w:rFonts w:ascii="Arial" w:hAnsi="Arial" w:cs="Arial"/>
          <w:lang w:val="en-GB"/>
        </w:rPr>
        <w:t>In our study and</w:t>
      </w:r>
      <w:r w:rsidR="00C65E90" w:rsidRPr="00C65E90">
        <w:rPr>
          <w:rFonts w:ascii="Arial" w:hAnsi="Arial" w:cs="Arial"/>
          <w:lang w:val="en-GB"/>
        </w:rPr>
        <w:t xml:space="preserve"> </w:t>
      </w:r>
      <w:r w:rsidR="00C65E90">
        <w:rPr>
          <w:rFonts w:ascii="Arial" w:hAnsi="Arial" w:cs="Arial"/>
          <w:lang w:val="en-GB"/>
        </w:rPr>
        <w:t>when compared</w:t>
      </w:r>
      <w:r w:rsidR="00C65E90" w:rsidRPr="00870E7F">
        <w:rPr>
          <w:rFonts w:ascii="Arial" w:hAnsi="Arial" w:cs="Arial"/>
          <w:lang w:val="en-GB"/>
        </w:rPr>
        <w:t xml:space="preserve"> to our reference condition C (sample storage at -20ºC for 8-9 days)</w:t>
      </w:r>
      <w:r w:rsidR="001C1E7F" w:rsidRPr="00870E7F">
        <w:rPr>
          <w:rFonts w:ascii="Arial" w:hAnsi="Arial" w:cs="Arial"/>
          <w:lang w:val="en-GB"/>
        </w:rPr>
        <w:t xml:space="preserve">, </w:t>
      </w:r>
      <w:r>
        <w:rPr>
          <w:rFonts w:ascii="Arial" w:hAnsi="Arial" w:cs="Arial"/>
          <w:lang w:val="en-GB"/>
        </w:rPr>
        <w:t xml:space="preserve">we </w:t>
      </w:r>
      <w:r w:rsidR="00074652" w:rsidRPr="00870E7F">
        <w:rPr>
          <w:rFonts w:ascii="Arial" w:hAnsi="Arial" w:cs="Arial"/>
          <w:lang w:val="en-GB"/>
        </w:rPr>
        <w:t xml:space="preserve">found that </w:t>
      </w:r>
      <w:r w:rsidR="008F563C">
        <w:rPr>
          <w:rFonts w:ascii="Arial" w:hAnsi="Arial" w:cs="Arial"/>
          <w:lang w:val="en-GB"/>
        </w:rPr>
        <w:t>sample</w:t>
      </w:r>
      <w:r w:rsidR="0009514E">
        <w:rPr>
          <w:rFonts w:ascii="Arial" w:hAnsi="Arial" w:cs="Arial"/>
          <w:lang w:val="en-GB"/>
        </w:rPr>
        <w:t xml:space="preserve"> storage</w:t>
      </w:r>
      <w:r w:rsidR="001C1E7F" w:rsidRPr="00870E7F">
        <w:rPr>
          <w:rFonts w:ascii="Arial" w:hAnsi="Arial" w:cs="Arial"/>
          <w:lang w:val="en-GB"/>
        </w:rPr>
        <w:t xml:space="preserve"> at 4ºC for 8-9 days </w:t>
      </w:r>
      <w:r w:rsidR="008F563C">
        <w:rPr>
          <w:rFonts w:ascii="Arial" w:hAnsi="Arial" w:cs="Arial"/>
          <w:lang w:val="en-GB"/>
        </w:rPr>
        <w:t>was</w:t>
      </w:r>
      <w:r w:rsidR="008F563C" w:rsidRPr="00870E7F">
        <w:rPr>
          <w:rFonts w:ascii="Arial" w:hAnsi="Arial" w:cs="Arial"/>
          <w:lang w:val="en-GB"/>
        </w:rPr>
        <w:t xml:space="preserve"> </w:t>
      </w:r>
      <w:r w:rsidR="001C1E7F" w:rsidRPr="00870E7F">
        <w:rPr>
          <w:rFonts w:ascii="Arial" w:hAnsi="Arial" w:cs="Arial"/>
          <w:lang w:val="en-GB"/>
        </w:rPr>
        <w:t xml:space="preserve">associated with a decrease on </w:t>
      </w:r>
      <w:r w:rsidR="00E26DB7">
        <w:rPr>
          <w:rFonts w:ascii="Arial" w:hAnsi="Arial" w:cs="Arial"/>
          <w:lang w:val="en-GB"/>
        </w:rPr>
        <w:t xml:space="preserve">plasma </w:t>
      </w:r>
      <w:r w:rsidR="001C1E7F" w:rsidRPr="00870E7F">
        <w:rPr>
          <w:rFonts w:ascii="Arial" w:hAnsi="Arial" w:cs="Arial"/>
          <w:lang w:val="en-GB"/>
        </w:rPr>
        <w:t xml:space="preserve">Aβ fractions </w:t>
      </w:r>
      <w:r w:rsidR="008F563C">
        <w:rPr>
          <w:rFonts w:ascii="Arial" w:hAnsi="Arial" w:cs="Arial"/>
          <w:lang w:val="en-GB"/>
        </w:rPr>
        <w:t>(</w:t>
      </w:r>
      <w:r w:rsidR="005759EB" w:rsidRPr="00870E7F">
        <w:rPr>
          <w:rFonts w:ascii="Arial" w:hAnsi="Arial" w:cs="Arial"/>
          <w:lang w:val="en-GB"/>
        </w:rPr>
        <w:t>both</w:t>
      </w:r>
      <w:r w:rsidR="001C1E7F" w:rsidRPr="00870E7F">
        <w:rPr>
          <w:rFonts w:ascii="Arial" w:hAnsi="Arial" w:cs="Arial"/>
          <w:lang w:val="en-GB"/>
        </w:rPr>
        <w:t xml:space="preserve"> for Aβ1-42 and Aβ1-40</w:t>
      </w:r>
      <w:r w:rsidR="008F563C">
        <w:rPr>
          <w:rFonts w:ascii="Arial" w:hAnsi="Arial" w:cs="Arial"/>
          <w:lang w:val="en-GB"/>
        </w:rPr>
        <w:t>)</w:t>
      </w:r>
      <w:r w:rsidR="005759EB" w:rsidRPr="00870E7F">
        <w:rPr>
          <w:rFonts w:ascii="Arial" w:hAnsi="Arial" w:cs="Arial"/>
          <w:lang w:val="en-GB"/>
        </w:rPr>
        <w:t xml:space="preserve">, whereas </w:t>
      </w:r>
      <w:r w:rsidR="00E26DB7">
        <w:rPr>
          <w:rFonts w:ascii="Arial" w:hAnsi="Arial" w:cs="Arial"/>
          <w:lang w:val="en-GB"/>
        </w:rPr>
        <w:t>storage</w:t>
      </w:r>
      <w:r w:rsidR="00E71ED4">
        <w:rPr>
          <w:rFonts w:ascii="Arial" w:hAnsi="Arial" w:cs="Arial"/>
          <w:lang w:val="en-GB"/>
        </w:rPr>
        <w:t xml:space="preserve"> </w:t>
      </w:r>
      <w:r w:rsidR="00E71ED4" w:rsidRPr="0099194E">
        <w:rPr>
          <w:rFonts w:ascii="Arial" w:hAnsi="Arial" w:cs="Arial"/>
          <w:lang w:val="en-GB"/>
        </w:rPr>
        <w:t>at 4ºC for 1-2 days</w:t>
      </w:r>
      <w:r w:rsidR="00E71ED4" w:rsidRPr="00E71ED4">
        <w:rPr>
          <w:rFonts w:ascii="Arial" w:hAnsi="Arial" w:cs="Arial"/>
          <w:lang w:val="en-GB"/>
        </w:rPr>
        <w:t xml:space="preserve"> </w:t>
      </w:r>
      <w:r w:rsidR="00E71ED4">
        <w:rPr>
          <w:rFonts w:ascii="Arial" w:hAnsi="Arial" w:cs="Arial"/>
          <w:lang w:val="en-GB"/>
        </w:rPr>
        <w:t>had no significant impact on the results.</w:t>
      </w:r>
      <w:r w:rsidR="001C1E7F" w:rsidRPr="00870E7F">
        <w:rPr>
          <w:rFonts w:ascii="Arial" w:hAnsi="Arial" w:cs="Arial"/>
          <w:lang w:val="en-GB"/>
        </w:rPr>
        <w:t xml:space="preserve"> </w:t>
      </w:r>
      <w:r w:rsidR="00962A6D" w:rsidRPr="00870E7F">
        <w:rPr>
          <w:rFonts w:ascii="Arial" w:hAnsi="Arial" w:cs="Arial"/>
          <w:lang w:val="en-GB"/>
        </w:rPr>
        <w:t>Similar to our results, recent stud</w:t>
      </w:r>
      <w:r w:rsidR="000E67BD">
        <w:rPr>
          <w:rFonts w:ascii="Arial" w:hAnsi="Arial" w:cs="Arial"/>
          <w:lang w:val="en-GB"/>
        </w:rPr>
        <w:t>ies</w:t>
      </w:r>
      <w:r w:rsidR="00962A6D" w:rsidRPr="00870E7F">
        <w:rPr>
          <w:rFonts w:ascii="Arial" w:hAnsi="Arial" w:cs="Arial"/>
          <w:lang w:val="en-GB"/>
        </w:rPr>
        <w:t xml:space="preserve"> </w:t>
      </w:r>
      <w:r w:rsidR="000E67BD">
        <w:rPr>
          <w:rFonts w:ascii="Arial" w:hAnsi="Arial" w:cs="Arial"/>
          <w:lang w:val="en-GB"/>
        </w:rPr>
        <w:t>showed</w:t>
      </w:r>
      <w:r w:rsidR="00962A6D" w:rsidRPr="00870E7F">
        <w:rPr>
          <w:rFonts w:ascii="Arial" w:hAnsi="Arial" w:cs="Arial"/>
          <w:lang w:val="en-GB"/>
        </w:rPr>
        <w:t xml:space="preserve"> that storing </w:t>
      </w:r>
      <w:r w:rsidR="00E26DB7">
        <w:rPr>
          <w:rFonts w:ascii="Arial" w:hAnsi="Arial" w:cs="Arial"/>
          <w:lang w:val="en-GB"/>
        </w:rPr>
        <w:t>plasma</w:t>
      </w:r>
      <w:r w:rsidR="00962A6D" w:rsidRPr="00870E7F">
        <w:rPr>
          <w:rFonts w:ascii="Arial" w:hAnsi="Arial" w:cs="Arial"/>
          <w:lang w:val="en-GB"/>
        </w:rPr>
        <w:t xml:space="preserve"> samples at 4ºC lead</w:t>
      </w:r>
      <w:r w:rsidR="00E26DB7">
        <w:rPr>
          <w:rFonts w:ascii="Arial" w:hAnsi="Arial" w:cs="Arial"/>
          <w:lang w:val="en-GB"/>
        </w:rPr>
        <w:t>s</w:t>
      </w:r>
      <w:r w:rsidR="00962A6D" w:rsidRPr="00870E7F">
        <w:rPr>
          <w:rFonts w:ascii="Arial" w:hAnsi="Arial" w:cs="Arial"/>
          <w:lang w:val="en-GB"/>
        </w:rPr>
        <w:t xml:space="preserve"> to stable Aβ peptide concentrations up to 72 h (</w:t>
      </w:r>
      <w:r w:rsidR="00216B9E" w:rsidRPr="00216B9E">
        <w:rPr>
          <w:rFonts w:ascii="Arial" w:hAnsi="Arial" w:cs="Arial"/>
          <w:highlight w:val="lightGray"/>
          <w:lang w:val="en-GB"/>
        </w:rPr>
        <w:t>doi: 10.3233/JAD-200777</w:t>
      </w:r>
      <w:r w:rsidR="00962A6D" w:rsidRPr="00870E7F">
        <w:rPr>
          <w:rFonts w:ascii="Arial" w:hAnsi="Arial" w:cs="Arial"/>
          <w:lang w:val="en-GB"/>
        </w:rPr>
        <w:t>)</w:t>
      </w:r>
      <w:r w:rsidR="000E67BD">
        <w:rPr>
          <w:rFonts w:ascii="Arial" w:hAnsi="Arial" w:cs="Arial"/>
          <w:lang w:val="en-GB"/>
        </w:rPr>
        <w:t>, or</w:t>
      </w:r>
      <w:r w:rsidR="00962A6D" w:rsidRPr="00870E7F">
        <w:rPr>
          <w:rFonts w:ascii="Arial" w:hAnsi="Arial" w:cs="Arial"/>
          <w:lang w:val="en-GB"/>
        </w:rPr>
        <w:t xml:space="preserve"> that </w:t>
      </w:r>
      <w:r w:rsidR="000E67BD">
        <w:rPr>
          <w:rFonts w:ascii="Arial" w:hAnsi="Arial" w:cs="Arial"/>
          <w:lang w:val="en-GB"/>
        </w:rPr>
        <w:t>storage of</w:t>
      </w:r>
      <w:r w:rsidR="00962A6D" w:rsidRPr="00870E7F">
        <w:rPr>
          <w:rFonts w:ascii="Arial" w:hAnsi="Arial" w:cs="Arial"/>
          <w:lang w:val="en-GB"/>
        </w:rPr>
        <w:t xml:space="preserve"> plasma </w:t>
      </w:r>
      <w:r w:rsidR="00962A6D" w:rsidRPr="00870E7F">
        <w:rPr>
          <w:rFonts w:ascii="Arial" w:hAnsi="Arial" w:cs="Arial"/>
          <w:lang w:val="en-GB"/>
        </w:rPr>
        <w:lastRenderedPageBreak/>
        <w:t>samples in the refrigerator up to 24 hours does not affect Aβ42 and Aβ40 values</w:t>
      </w:r>
      <w:r w:rsidR="006D30D8">
        <w:rPr>
          <w:rFonts w:ascii="Arial" w:hAnsi="Arial" w:cs="Arial"/>
          <w:lang w:val="en-GB"/>
        </w:rPr>
        <w:t xml:space="preserve"> </w:t>
      </w:r>
      <w:r w:rsidR="006D30D8" w:rsidRPr="00870E7F">
        <w:rPr>
          <w:rFonts w:ascii="Arial" w:hAnsi="Arial" w:cs="Arial"/>
          <w:lang w:val="en-GB"/>
        </w:rPr>
        <w:t>(</w:t>
      </w:r>
      <w:proofErr w:type="spellStart"/>
      <w:r w:rsidR="00A02F35" w:rsidRPr="00A02F35">
        <w:rPr>
          <w:rFonts w:ascii="Arial" w:hAnsi="Arial" w:cs="Arial"/>
          <w:highlight w:val="lightGray"/>
          <w:lang w:val="en-GB"/>
        </w:rPr>
        <w:t>doi</w:t>
      </w:r>
      <w:proofErr w:type="spellEnd"/>
      <w:r w:rsidR="00A02F35" w:rsidRPr="00A02F35">
        <w:rPr>
          <w:rFonts w:ascii="Arial" w:hAnsi="Arial" w:cs="Arial"/>
          <w:highlight w:val="lightGray"/>
          <w:lang w:val="en-GB"/>
        </w:rPr>
        <w:t>: 10.1002/alz.12510</w:t>
      </w:r>
      <w:r w:rsidR="006D30D8" w:rsidRPr="00870E7F">
        <w:rPr>
          <w:rFonts w:ascii="Arial" w:hAnsi="Arial" w:cs="Arial"/>
          <w:lang w:val="en-GB"/>
        </w:rPr>
        <w:t>)</w:t>
      </w:r>
      <w:r w:rsidR="00E26DB7">
        <w:rPr>
          <w:rFonts w:ascii="Arial" w:hAnsi="Arial" w:cs="Arial"/>
          <w:lang w:val="en-GB"/>
        </w:rPr>
        <w:t xml:space="preserve">. </w:t>
      </w:r>
      <w:proofErr w:type="spellStart"/>
      <w:r w:rsidR="000E67BD">
        <w:rPr>
          <w:rFonts w:ascii="Arial" w:hAnsi="Arial" w:cs="Arial"/>
          <w:lang w:val="en-GB"/>
        </w:rPr>
        <w:t>Verberk</w:t>
      </w:r>
      <w:proofErr w:type="spellEnd"/>
      <w:r w:rsidR="000E67BD">
        <w:rPr>
          <w:rFonts w:ascii="Arial" w:hAnsi="Arial" w:cs="Arial"/>
          <w:lang w:val="en-GB"/>
        </w:rPr>
        <w:t xml:space="preserve"> et al.</w:t>
      </w:r>
      <w:r w:rsidR="00E26DB7">
        <w:rPr>
          <w:rFonts w:ascii="Arial" w:hAnsi="Arial" w:cs="Arial"/>
          <w:lang w:val="en-GB"/>
        </w:rPr>
        <w:t xml:space="preserve"> also reported that </w:t>
      </w:r>
      <w:r w:rsidR="00962A6D" w:rsidRPr="00870E7F">
        <w:rPr>
          <w:rFonts w:ascii="Arial" w:hAnsi="Arial" w:cs="Arial"/>
          <w:lang w:val="en-GB"/>
        </w:rPr>
        <w:t>two-week storage in the refrigerator prior to storage at −80</w:t>
      </w:r>
      <w:r w:rsidR="00E26DB7" w:rsidRPr="00870E7F">
        <w:rPr>
          <w:rFonts w:ascii="Arial" w:hAnsi="Arial" w:cs="Arial"/>
          <w:lang w:val="en-GB"/>
        </w:rPr>
        <w:t>º</w:t>
      </w:r>
      <w:r w:rsidR="00962A6D" w:rsidRPr="00870E7F">
        <w:rPr>
          <w:rFonts w:ascii="Arial" w:hAnsi="Arial" w:cs="Arial"/>
          <w:lang w:val="en-GB"/>
        </w:rPr>
        <w:t>C result</w:t>
      </w:r>
      <w:r w:rsidR="00203755">
        <w:rPr>
          <w:rFonts w:ascii="Arial" w:hAnsi="Arial" w:cs="Arial"/>
          <w:lang w:val="en-GB"/>
        </w:rPr>
        <w:t>s</w:t>
      </w:r>
      <w:r w:rsidR="00962A6D" w:rsidRPr="00870E7F">
        <w:rPr>
          <w:rFonts w:ascii="Arial" w:hAnsi="Arial" w:cs="Arial"/>
          <w:lang w:val="en-GB"/>
        </w:rPr>
        <w:t xml:space="preserve"> in decreased Aβ42 and Aβ40 values while two-week storage at −20</w:t>
      </w:r>
      <w:r w:rsidR="00E26DB7" w:rsidRPr="00870E7F">
        <w:rPr>
          <w:rFonts w:ascii="Arial" w:hAnsi="Arial" w:cs="Arial"/>
          <w:lang w:val="en-GB"/>
        </w:rPr>
        <w:t>º</w:t>
      </w:r>
      <w:r w:rsidR="00962A6D" w:rsidRPr="00870E7F">
        <w:rPr>
          <w:rFonts w:ascii="Arial" w:hAnsi="Arial" w:cs="Arial"/>
          <w:lang w:val="en-GB"/>
        </w:rPr>
        <w:t xml:space="preserve">C </w:t>
      </w:r>
      <w:r w:rsidR="00203755">
        <w:rPr>
          <w:rFonts w:ascii="Arial" w:hAnsi="Arial" w:cs="Arial"/>
          <w:lang w:val="en-GB"/>
        </w:rPr>
        <w:t>does</w:t>
      </w:r>
      <w:r w:rsidR="00962A6D" w:rsidRPr="00870E7F">
        <w:rPr>
          <w:rFonts w:ascii="Arial" w:hAnsi="Arial" w:cs="Arial"/>
          <w:lang w:val="en-GB"/>
        </w:rPr>
        <w:t xml:space="preserve"> not</w:t>
      </w:r>
      <w:r w:rsidR="00A874E3" w:rsidRPr="00870E7F">
        <w:rPr>
          <w:rFonts w:ascii="Arial" w:hAnsi="Arial" w:cs="Arial"/>
          <w:lang w:val="en-GB"/>
        </w:rPr>
        <w:t xml:space="preserve"> show effects</w:t>
      </w:r>
      <w:r w:rsidR="00962A6D" w:rsidRPr="00870E7F">
        <w:rPr>
          <w:rFonts w:ascii="Arial" w:hAnsi="Arial" w:cs="Arial"/>
          <w:lang w:val="en-GB"/>
        </w:rPr>
        <w:t xml:space="preserve"> (</w:t>
      </w:r>
      <w:proofErr w:type="spellStart"/>
      <w:r w:rsidR="00A02F35" w:rsidRPr="00A02F35">
        <w:rPr>
          <w:rFonts w:ascii="Arial" w:hAnsi="Arial" w:cs="Arial"/>
          <w:highlight w:val="lightGray"/>
          <w:lang w:val="en-GB"/>
        </w:rPr>
        <w:t>doi</w:t>
      </w:r>
      <w:proofErr w:type="spellEnd"/>
      <w:r w:rsidR="00A02F35" w:rsidRPr="00A02F35">
        <w:rPr>
          <w:rFonts w:ascii="Arial" w:hAnsi="Arial" w:cs="Arial"/>
          <w:highlight w:val="lightGray"/>
          <w:lang w:val="en-GB"/>
        </w:rPr>
        <w:t>: 10.1002/alz.12510</w:t>
      </w:r>
      <w:r w:rsidR="00962A6D" w:rsidRPr="00870E7F">
        <w:rPr>
          <w:rFonts w:ascii="Arial" w:hAnsi="Arial" w:cs="Arial"/>
          <w:lang w:val="en-GB"/>
        </w:rPr>
        <w:t xml:space="preserve">). </w:t>
      </w:r>
      <w:r w:rsidR="006D30D8">
        <w:rPr>
          <w:rFonts w:ascii="Arial" w:hAnsi="Arial" w:cs="Arial"/>
          <w:lang w:val="en-GB"/>
        </w:rPr>
        <w:t xml:space="preserve">On the contrary, a recent work found that </w:t>
      </w:r>
      <w:r w:rsidR="000E67BD">
        <w:rPr>
          <w:rFonts w:ascii="Arial" w:hAnsi="Arial" w:cs="Arial"/>
          <w:lang w:val="en-GB"/>
        </w:rPr>
        <w:t>after 24 hours</w:t>
      </w:r>
      <w:r w:rsidR="000E67BD">
        <w:rPr>
          <w:rFonts w:ascii="Arial" w:hAnsi="Arial" w:cs="Arial"/>
          <w:lang w:val="en-GB"/>
        </w:rPr>
        <w:t>,</w:t>
      </w:r>
      <w:r w:rsidR="000E67BD">
        <w:rPr>
          <w:rFonts w:ascii="Arial" w:hAnsi="Arial" w:cs="Arial"/>
          <w:lang w:val="en-GB"/>
        </w:rPr>
        <w:t xml:space="preserve"> </w:t>
      </w:r>
      <w:r w:rsidR="006D30D8">
        <w:rPr>
          <w:rFonts w:ascii="Arial" w:hAnsi="Arial" w:cs="Arial"/>
          <w:lang w:val="en-GB"/>
        </w:rPr>
        <w:t>fresh plasma kept at 4ºC present</w:t>
      </w:r>
      <w:r w:rsidR="000E67BD">
        <w:rPr>
          <w:rFonts w:ascii="Arial" w:hAnsi="Arial" w:cs="Arial"/>
          <w:lang w:val="en-GB"/>
        </w:rPr>
        <w:t>s</w:t>
      </w:r>
      <w:r w:rsidR="006D30D8">
        <w:rPr>
          <w:rFonts w:ascii="Arial" w:hAnsi="Arial" w:cs="Arial"/>
          <w:lang w:val="en-GB"/>
        </w:rPr>
        <w:t xml:space="preserve"> with a reduction of 10% of </w:t>
      </w:r>
      <w:r w:rsidR="006D30D8" w:rsidRPr="00870E7F">
        <w:rPr>
          <w:rFonts w:ascii="Arial" w:hAnsi="Arial" w:cs="Arial"/>
          <w:lang w:val="en-GB"/>
        </w:rPr>
        <w:t>Aβ</w:t>
      </w:r>
      <w:r w:rsidR="006D30D8">
        <w:rPr>
          <w:rFonts w:ascii="Arial" w:hAnsi="Arial" w:cs="Arial"/>
          <w:lang w:val="en-GB"/>
        </w:rPr>
        <w:t xml:space="preserve">1-40 but no effect on </w:t>
      </w:r>
      <w:r w:rsidR="006D30D8" w:rsidRPr="00870E7F">
        <w:rPr>
          <w:rFonts w:ascii="Arial" w:hAnsi="Arial" w:cs="Arial"/>
          <w:lang w:val="en-GB"/>
        </w:rPr>
        <w:t>Aβ</w:t>
      </w:r>
      <w:r w:rsidR="006D30D8">
        <w:rPr>
          <w:rFonts w:ascii="Arial" w:hAnsi="Arial" w:cs="Arial"/>
          <w:lang w:val="en-GB"/>
        </w:rPr>
        <w:t>1-42 levels</w:t>
      </w:r>
      <w:r w:rsidR="00203755">
        <w:rPr>
          <w:rFonts w:ascii="Arial" w:hAnsi="Arial" w:cs="Arial"/>
          <w:lang w:val="en-GB"/>
        </w:rPr>
        <w:t xml:space="preserve"> </w:t>
      </w:r>
      <w:r w:rsidR="006D30D8" w:rsidRPr="00870E7F">
        <w:rPr>
          <w:rFonts w:ascii="Arial" w:hAnsi="Arial" w:cs="Arial"/>
          <w:lang w:val="en-GB"/>
        </w:rPr>
        <w:t>(</w:t>
      </w:r>
      <w:r w:rsidR="00216B9E" w:rsidRPr="00216B9E">
        <w:rPr>
          <w:rFonts w:ascii="Arial" w:hAnsi="Arial" w:cs="Arial"/>
          <w:highlight w:val="lightGray"/>
          <w:lang w:val="en-GB"/>
        </w:rPr>
        <w:t>doi: 10.1016/j.dadm.2019.02.002</w:t>
      </w:r>
      <w:r w:rsidR="006D30D8">
        <w:rPr>
          <w:rFonts w:ascii="Arial" w:hAnsi="Arial" w:cs="Arial"/>
          <w:highlight w:val="lightGray"/>
          <w:lang w:val="en-GB"/>
        </w:rPr>
        <w:t>)</w:t>
      </w:r>
      <w:r w:rsidR="006D30D8">
        <w:rPr>
          <w:rFonts w:ascii="Arial" w:hAnsi="Arial" w:cs="Arial"/>
          <w:lang w:val="en-GB"/>
        </w:rPr>
        <w:t xml:space="preserve">. </w:t>
      </w:r>
      <w:r w:rsidR="00A874E3" w:rsidRPr="00870E7F">
        <w:rPr>
          <w:rFonts w:ascii="Arial" w:hAnsi="Arial" w:cs="Arial"/>
          <w:lang w:val="en-GB"/>
        </w:rPr>
        <w:t>In our study, a</w:t>
      </w:r>
      <w:r w:rsidR="001C1E7F" w:rsidRPr="00870E7F">
        <w:rPr>
          <w:rFonts w:ascii="Arial" w:hAnsi="Arial" w:cs="Arial"/>
          <w:lang w:val="en-GB"/>
        </w:rPr>
        <w:t xml:space="preserve">pplying the Aβ1-42/Aβ1-40 ratio </w:t>
      </w:r>
      <w:r w:rsidR="003A5EE9">
        <w:rPr>
          <w:rFonts w:ascii="Arial" w:hAnsi="Arial" w:cs="Arial"/>
          <w:lang w:val="en-GB"/>
        </w:rPr>
        <w:t>partially</w:t>
      </w:r>
      <w:r w:rsidR="003A5EE9" w:rsidRPr="00870E7F">
        <w:rPr>
          <w:rFonts w:ascii="Arial" w:hAnsi="Arial" w:cs="Arial"/>
          <w:lang w:val="en-GB"/>
        </w:rPr>
        <w:t xml:space="preserve"> </w:t>
      </w:r>
      <w:r w:rsidR="001C1E7F" w:rsidRPr="00870E7F">
        <w:rPr>
          <w:rFonts w:ascii="Arial" w:hAnsi="Arial" w:cs="Arial"/>
          <w:lang w:val="en-GB"/>
        </w:rPr>
        <w:t>compensate</w:t>
      </w:r>
      <w:r w:rsidR="003E66D3">
        <w:rPr>
          <w:rFonts w:ascii="Arial" w:hAnsi="Arial" w:cs="Arial"/>
          <w:lang w:val="en-GB"/>
        </w:rPr>
        <w:t>d</w:t>
      </w:r>
      <w:r w:rsidR="001C1E7F" w:rsidRPr="00870E7F">
        <w:rPr>
          <w:rFonts w:ascii="Arial" w:hAnsi="Arial" w:cs="Arial"/>
          <w:lang w:val="en-GB"/>
        </w:rPr>
        <w:t xml:space="preserve"> th</w:t>
      </w:r>
      <w:r w:rsidR="00B10507" w:rsidRPr="00870E7F">
        <w:rPr>
          <w:rFonts w:ascii="Arial" w:hAnsi="Arial" w:cs="Arial"/>
          <w:lang w:val="en-GB"/>
        </w:rPr>
        <w:t>e</w:t>
      </w:r>
      <w:r w:rsidR="001C1E7F" w:rsidRPr="00870E7F">
        <w:rPr>
          <w:rFonts w:ascii="Arial" w:hAnsi="Arial" w:cs="Arial"/>
          <w:lang w:val="en-GB"/>
        </w:rPr>
        <w:t xml:space="preserve"> decrease</w:t>
      </w:r>
      <w:r w:rsidR="00B10507" w:rsidRPr="00870E7F">
        <w:rPr>
          <w:rFonts w:ascii="Arial" w:hAnsi="Arial" w:cs="Arial"/>
          <w:lang w:val="en-GB"/>
        </w:rPr>
        <w:t xml:space="preserve"> </w:t>
      </w:r>
      <w:r w:rsidR="003E66D3">
        <w:rPr>
          <w:rFonts w:ascii="Arial" w:hAnsi="Arial" w:cs="Arial"/>
          <w:lang w:val="en-GB"/>
        </w:rPr>
        <w:t>for</w:t>
      </w:r>
      <w:r w:rsidR="00B10507" w:rsidRPr="00870E7F">
        <w:rPr>
          <w:rFonts w:ascii="Arial" w:hAnsi="Arial" w:cs="Arial"/>
          <w:lang w:val="en-GB"/>
        </w:rPr>
        <w:t xml:space="preserve"> </w:t>
      </w:r>
      <w:r w:rsidR="00E26DB7">
        <w:rPr>
          <w:rFonts w:ascii="Arial" w:hAnsi="Arial" w:cs="Arial"/>
          <w:lang w:val="en-GB"/>
        </w:rPr>
        <w:t xml:space="preserve">plasma samples </w:t>
      </w:r>
      <w:r w:rsidR="003E66D3">
        <w:rPr>
          <w:rFonts w:ascii="Arial" w:hAnsi="Arial" w:cs="Arial"/>
          <w:lang w:val="en-GB"/>
        </w:rPr>
        <w:t xml:space="preserve">stored </w:t>
      </w:r>
      <w:r w:rsidR="00B10507" w:rsidRPr="00870E7F">
        <w:rPr>
          <w:rFonts w:ascii="Arial" w:hAnsi="Arial" w:cs="Arial"/>
          <w:lang w:val="en-GB"/>
        </w:rPr>
        <w:t>at 4ºC for 8-9 days</w:t>
      </w:r>
      <w:r w:rsidR="003A5EE9">
        <w:rPr>
          <w:rFonts w:ascii="Arial" w:hAnsi="Arial" w:cs="Arial"/>
          <w:lang w:val="en-GB"/>
        </w:rPr>
        <w:t>, but</w:t>
      </w:r>
      <w:r w:rsidR="00B10507" w:rsidRPr="00870E7F">
        <w:rPr>
          <w:rFonts w:ascii="Arial" w:hAnsi="Arial" w:cs="Arial"/>
          <w:lang w:val="en-GB"/>
        </w:rPr>
        <w:t xml:space="preserve"> it aggravate</w:t>
      </w:r>
      <w:r w:rsidR="003E66D3">
        <w:rPr>
          <w:rFonts w:ascii="Arial" w:hAnsi="Arial" w:cs="Arial"/>
          <w:lang w:val="en-GB"/>
        </w:rPr>
        <w:t>d</w:t>
      </w:r>
      <w:r w:rsidR="00B10507" w:rsidRPr="00870E7F">
        <w:rPr>
          <w:rFonts w:ascii="Arial" w:hAnsi="Arial" w:cs="Arial"/>
          <w:lang w:val="en-GB"/>
        </w:rPr>
        <w:t xml:space="preserve"> the observed effect </w:t>
      </w:r>
      <w:r w:rsidR="00A874E3" w:rsidRPr="00870E7F">
        <w:rPr>
          <w:rFonts w:ascii="Arial" w:hAnsi="Arial" w:cs="Arial"/>
          <w:lang w:val="en-GB"/>
        </w:rPr>
        <w:t>when storing</w:t>
      </w:r>
      <w:r w:rsidR="00B10507" w:rsidRPr="00870E7F">
        <w:rPr>
          <w:rFonts w:ascii="Arial" w:hAnsi="Arial" w:cs="Arial"/>
          <w:lang w:val="en-GB"/>
        </w:rPr>
        <w:t xml:space="preserve"> at 4ºC for 1-2 days</w:t>
      </w:r>
      <w:r w:rsidR="00A874E3" w:rsidRPr="00870E7F">
        <w:rPr>
          <w:rFonts w:ascii="Arial" w:hAnsi="Arial" w:cs="Arial"/>
          <w:lang w:val="en-GB"/>
        </w:rPr>
        <w:t>. Thus</w:t>
      </w:r>
      <w:r w:rsidR="001A0CB4" w:rsidRPr="00870E7F">
        <w:rPr>
          <w:rFonts w:ascii="Arial" w:hAnsi="Arial" w:cs="Arial"/>
          <w:lang w:val="en-GB"/>
        </w:rPr>
        <w:t xml:space="preserve">, </w:t>
      </w:r>
      <w:r w:rsidR="00A874E3" w:rsidRPr="00870E7F">
        <w:rPr>
          <w:rFonts w:ascii="Arial" w:hAnsi="Arial" w:cs="Arial"/>
          <w:lang w:val="en-GB"/>
        </w:rPr>
        <w:t>unlike what has been described for CSF (</w:t>
      </w:r>
      <w:proofErr w:type="spellStart"/>
      <w:r w:rsidR="00A874E3" w:rsidRPr="00870E7F">
        <w:rPr>
          <w:rFonts w:ascii="Arial" w:hAnsi="Arial" w:cs="Arial"/>
          <w:highlight w:val="lightGray"/>
          <w:lang w:val="en-GB"/>
        </w:rPr>
        <w:t>doi</w:t>
      </w:r>
      <w:proofErr w:type="spellEnd"/>
      <w:r w:rsidR="00A874E3" w:rsidRPr="00870E7F">
        <w:rPr>
          <w:rFonts w:ascii="Arial" w:hAnsi="Arial" w:cs="Arial"/>
          <w:highlight w:val="lightGray"/>
          <w:lang w:val="en-GB"/>
        </w:rPr>
        <w:t>: 10.1515/cclm-2022-0134)</w:t>
      </w:r>
      <w:r w:rsidR="00A874E3" w:rsidRPr="00870E7F">
        <w:rPr>
          <w:rFonts w:ascii="Arial" w:hAnsi="Arial" w:cs="Arial"/>
          <w:lang w:val="en-GB"/>
        </w:rPr>
        <w:t xml:space="preserve">, </w:t>
      </w:r>
      <w:r w:rsidR="00822B6A" w:rsidRPr="00870E7F">
        <w:rPr>
          <w:rFonts w:ascii="Arial" w:hAnsi="Arial" w:cs="Arial"/>
          <w:shd w:val="clear" w:color="auto" w:fill="FFFFFF"/>
          <w:lang w:val="en-GB"/>
        </w:rPr>
        <w:t xml:space="preserve">using the </w:t>
      </w:r>
      <w:r w:rsidR="00D237B0" w:rsidRPr="00870E7F">
        <w:rPr>
          <w:rFonts w:ascii="Arial" w:hAnsi="Arial" w:cs="Arial"/>
          <w:lang w:val="en-GB"/>
        </w:rPr>
        <w:t>Aβ1-42/ Aβ1-4</w:t>
      </w:r>
      <w:r w:rsidR="00D237B0" w:rsidRPr="00870E7F">
        <w:rPr>
          <w:rFonts w:ascii="Arial" w:hAnsi="Arial" w:cs="Arial"/>
          <w:shd w:val="clear" w:color="auto" w:fill="FFFFFF"/>
          <w:lang w:val="en-GB"/>
        </w:rPr>
        <w:t>0</w:t>
      </w:r>
      <w:r w:rsidR="00822B6A" w:rsidRPr="00870E7F">
        <w:rPr>
          <w:rFonts w:ascii="Arial" w:hAnsi="Arial" w:cs="Arial"/>
          <w:shd w:val="clear" w:color="auto" w:fill="FFFFFF"/>
          <w:lang w:val="en-GB"/>
        </w:rPr>
        <w:t xml:space="preserve"> ratio </w:t>
      </w:r>
      <w:r w:rsidR="000E67BD">
        <w:rPr>
          <w:rFonts w:ascii="Arial" w:hAnsi="Arial" w:cs="Arial"/>
          <w:shd w:val="clear" w:color="auto" w:fill="FFFFFF"/>
          <w:lang w:val="en-GB"/>
        </w:rPr>
        <w:t>is</w:t>
      </w:r>
      <w:r w:rsidR="00822B6A" w:rsidRPr="00870E7F">
        <w:rPr>
          <w:rFonts w:ascii="Arial" w:hAnsi="Arial" w:cs="Arial"/>
          <w:shd w:val="clear" w:color="auto" w:fill="FFFFFF"/>
          <w:lang w:val="en-GB"/>
        </w:rPr>
        <w:t xml:space="preserve"> not</w:t>
      </w:r>
      <w:r w:rsidR="00E26DB7">
        <w:rPr>
          <w:rFonts w:ascii="Arial" w:hAnsi="Arial" w:cs="Arial"/>
          <w:shd w:val="clear" w:color="auto" w:fill="FFFFFF"/>
          <w:lang w:val="en-GB"/>
        </w:rPr>
        <w:t xml:space="preserve"> as</w:t>
      </w:r>
      <w:r w:rsidR="00822B6A" w:rsidRPr="00870E7F">
        <w:rPr>
          <w:rFonts w:ascii="Arial" w:hAnsi="Arial" w:cs="Arial"/>
          <w:shd w:val="clear" w:color="auto" w:fill="FFFFFF"/>
          <w:lang w:val="en-GB"/>
        </w:rPr>
        <w:t xml:space="preserve"> </w:t>
      </w:r>
      <w:r w:rsidR="00D237B0" w:rsidRPr="00870E7F">
        <w:rPr>
          <w:rFonts w:ascii="Arial" w:hAnsi="Arial" w:cs="Arial"/>
          <w:shd w:val="clear" w:color="auto" w:fill="FFFFFF"/>
          <w:lang w:val="en-GB"/>
        </w:rPr>
        <w:t>effective in</w:t>
      </w:r>
      <w:r w:rsidR="00822B6A" w:rsidRPr="00870E7F">
        <w:rPr>
          <w:rFonts w:ascii="Arial" w:hAnsi="Arial" w:cs="Arial"/>
          <w:shd w:val="clear" w:color="auto" w:fill="FFFFFF"/>
          <w:lang w:val="en-GB"/>
        </w:rPr>
        <w:t xml:space="preserve"> </w:t>
      </w:r>
      <w:r w:rsidR="003066B4">
        <w:rPr>
          <w:rFonts w:ascii="Arial" w:hAnsi="Arial" w:cs="Arial"/>
          <w:shd w:val="clear" w:color="auto" w:fill="FFFFFF"/>
          <w:lang w:val="en-GB"/>
        </w:rPr>
        <w:t>attenuating</w:t>
      </w:r>
      <w:r w:rsidR="003066B4" w:rsidRPr="00870E7F">
        <w:rPr>
          <w:rFonts w:ascii="Arial" w:hAnsi="Arial" w:cs="Arial"/>
          <w:shd w:val="clear" w:color="auto" w:fill="FFFFFF"/>
          <w:lang w:val="en-GB"/>
        </w:rPr>
        <w:t xml:space="preserve"> </w:t>
      </w:r>
      <w:r w:rsidR="00D237B0" w:rsidRPr="00870E7F">
        <w:rPr>
          <w:rFonts w:ascii="Arial" w:hAnsi="Arial" w:cs="Arial"/>
          <w:shd w:val="clear" w:color="auto" w:fill="FFFFFF"/>
          <w:lang w:val="en-GB"/>
        </w:rPr>
        <w:t>the</w:t>
      </w:r>
      <w:r w:rsidR="00822B6A" w:rsidRPr="00870E7F">
        <w:rPr>
          <w:rFonts w:ascii="Arial" w:hAnsi="Arial" w:cs="Arial"/>
          <w:shd w:val="clear" w:color="auto" w:fill="FFFFFF"/>
          <w:lang w:val="en-GB"/>
        </w:rPr>
        <w:t xml:space="preserve"> pre-analytical effects.</w:t>
      </w:r>
      <w:r w:rsidR="001A0CB4" w:rsidRPr="00870E7F">
        <w:rPr>
          <w:rFonts w:ascii="Arial" w:hAnsi="Arial" w:cs="Arial"/>
          <w:lang w:val="en-GB"/>
        </w:rPr>
        <w:t xml:space="preserve"> </w:t>
      </w:r>
      <w:r w:rsidR="006D30D8">
        <w:rPr>
          <w:rFonts w:ascii="Arial" w:hAnsi="Arial" w:cs="Arial"/>
          <w:lang w:val="en-GB"/>
        </w:rPr>
        <w:t>S</w:t>
      </w:r>
      <w:r w:rsidR="00A874E3" w:rsidRPr="00870E7F">
        <w:rPr>
          <w:rFonts w:ascii="Arial" w:hAnsi="Arial" w:cs="Arial"/>
          <w:lang w:val="en-GB"/>
        </w:rPr>
        <w:t>imilar</w:t>
      </w:r>
      <w:r w:rsidR="001A0CB4" w:rsidRPr="00870E7F">
        <w:rPr>
          <w:rFonts w:ascii="Arial" w:hAnsi="Arial" w:cs="Arial"/>
          <w:lang w:val="en-GB"/>
        </w:rPr>
        <w:t xml:space="preserve"> </w:t>
      </w:r>
      <w:r w:rsidR="003E66D3">
        <w:rPr>
          <w:rFonts w:ascii="Arial" w:hAnsi="Arial" w:cs="Arial"/>
          <w:lang w:val="en-GB"/>
        </w:rPr>
        <w:t>findings</w:t>
      </w:r>
      <w:r w:rsidR="001A0CB4" w:rsidRPr="00870E7F">
        <w:rPr>
          <w:rFonts w:ascii="Arial" w:hAnsi="Arial" w:cs="Arial"/>
          <w:lang w:val="en-GB"/>
        </w:rPr>
        <w:t xml:space="preserve"> </w:t>
      </w:r>
      <w:r w:rsidR="006D30D8">
        <w:rPr>
          <w:rFonts w:ascii="Arial" w:hAnsi="Arial" w:cs="Arial"/>
          <w:lang w:val="en-GB"/>
        </w:rPr>
        <w:t>have</w:t>
      </w:r>
      <w:r w:rsidR="001A0CB4" w:rsidRPr="00870E7F">
        <w:rPr>
          <w:rFonts w:ascii="Arial" w:hAnsi="Arial" w:cs="Arial"/>
          <w:lang w:val="en-GB"/>
        </w:rPr>
        <w:t xml:space="preserve"> been </w:t>
      </w:r>
      <w:r w:rsidR="003E66D3">
        <w:rPr>
          <w:rFonts w:ascii="Arial" w:hAnsi="Arial" w:cs="Arial"/>
          <w:lang w:val="en-GB"/>
        </w:rPr>
        <w:t>reported</w:t>
      </w:r>
      <w:r w:rsidR="006D30D8">
        <w:rPr>
          <w:rFonts w:ascii="Arial" w:hAnsi="Arial" w:cs="Arial"/>
          <w:lang w:val="en-GB"/>
        </w:rPr>
        <w:t xml:space="preserve">, as such, a recent work found that the </w:t>
      </w:r>
      <w:r w:rsidR="006D30D8" w:rsidRPr="00870E7F">
        <w:rPr>
          <w:rFonts w:ascii="Arial" w:hAnsi="Arial" w:cs="Arial"/>
          <w:lang w:val="en-GB"/>
        </w:rPr>
        <w:t>Aβ</w:t>
      </w:r>
      <w:r w:rsidR="006D30D8">
        <w:rPr>
          <w:rFonts w:ascii="Arial" w:hAnsi="Arial" w:cs="Arial"/>
          <w:lang w:val="en-GB"/>
        </w:rPr>
        <w:t xml:space="preserve"> ratio increases by 10% after 24 hours (</w:t>
      </w:r>
      <w:proofErr w:type="spellStart"/>
      <w:r w:rsidR="00216B9E" w:rsidRPr="00216B9E">
        <w:rPr>
          <w:rFonts w:ascii="Arial" w:hAnsi="Arial" w:cs="Arial"/>
          <w:highlight w:val="lightGray"/>
          <w:lang w:val="en-GB"/>
        </w:rPr>
        <w:t>doi</w:t>
      </w:r>
      <w:proofErr w:type="spellEnd"/>
      <w:r w:rsidR="00216B9E" w:rsidRPr="00216B9E">
        <w:rPr>
          <w:rFonts w:ascii="Arial" w:hAnsi="Arial" w:cs="Arial"/>
          <w:highlight w:val="lightGray"/>
          <w:lang w:val="en-GB"/>
        </w:rPr>
        <w:t>: 10.1016/j.dadm.2019.02.002</w:t>
      </w:r>
      <w:r w:rsidR="006D30D8">
        <w:rPr>
          <w:rFonts w:ascii="Arial" w:hAnsi="Arial" w:cs="Arial"/>
          <w:highlight w:val="lightGray"/>
          <w:lang w:val="en-GB"/>
        </w:rPr>
        <w:t>)</w:t>
      </w:r>
      <w:r w:rsidR="006D30D8" w:rsidRPr="00216B9E">
        <w:rPr>
          <w:rFonts w:ascii="Arial" w:hAnsi="Arial" w:cs="Arial"/>
          <w:lang w:val="en-GB"/>
        </w:rPr>
        <w:t xml:space="preserve">. </w:t>
      </w:r>
      <w:r w:rsidR="006D30D8" w:rsidRPr="006D30D8">
        <w:rPr>
          <w:rFonts w:ascii="Arial" w:hAnsi="Arial" w:cs="Arial"/>
          <w:lang w:val="en-GB"/>
        </w:rPr>
        <w:t>Other</w:t>
      </w:r>
      <w:r w:rsidR="00D237B0" w:rsidRPr="00870E7F">
        <w:rPr>
          <w:rFonts w:ascii="Arial" w:hAnsi="Arial" w:cs="Arial"/>
          <w:lang w:val="en-GB"/>
        </w:rPr>
        <w:t xml:space="preserve"> </w:t>
      </w:r>
      <w:r w:rsidR="00822B6A" w:rsidRPr="00870E7F">
        <w:rPr>
          <w:rFonts w:ascii="Arial" w:hAnsi="Arial" w:cs="Arial"/>
          <w:lang w:val="en-GB"/>
        </w:rPr>
        <w:t xml:space="preserve">authors </w:t>
      </w:r>
      <w:r w:rsidR="006D30D8">
        <w:rPr>
          <w:rFonts w:ascii="Arial" w:hAnsi="Arial" w:cs="Arial"/>
          <w:lang w:val="en-GB"/>
        </w:rPr>
        <w:t xml:space="preserve">with similar results </w:t>
      </w:r>
      <w:r w:rsidR="00D237B0" w:rsidRPr="00870E7F">
        <w:rPr>
          <w:rFonts w:ascii="Arial" w:hAnsi="Arial" w:cs="Arial"/>
          <w:lang w:val="en-GB"/>
        </w:rPr>
        <w:t>hypothesized</w:t>
      </w:r>
      <w:r w:rsidR="00822B6A" w:rsidRPr="00870E7F">
        <w:rPr>
          <w:rFonts w:ascii="Arial" w:hAnsi="Arial" w:cs="Arial"/>
          <w:lang w:val="en-GB"/>
        </w:rPr>
        <w:t xml:space="preserve"> </w:t>
      </w:r>
      <w:r w:rsidR="00822B6A" w:rsidRPr="00870E7F">
        <w:rPr>
          <w:rFonts w:ascii="Arial" w:hAnsi="Arial" w:cs="Arial"/>
          <w:i/>
          <w:lang w:val="en-GB"/>
        </w:rPr>
        <w:t>ex vivo</w:t>
      </w:r>
      <w:r w:rsidR="00822B6A" w:rsidRPr="00870E7F">
        <w:rPr>
          <w:rFonts w:ascii="Arial" w:hAnsi="Arial" w:cs="Arial"/>
          <w:lang w:val="en-GB"/>
        </w:rPr>
        <w:t xml:space="preserve"> aggregation or proteolytic cleavage </w:t>
      </w:r>
      <w:r w:rsidR="00D237B0" w:rsidRPr="00870E7F">
        <w:rPr>
          <w:rFonts w:ascii="Arial" w:hAnsi="Arial" w:cs="Arial"/>
          <w:lang w:val="en-GB"/>
        </w:rPr>
        <w:t>to</w:t>
      </w:r>
      <w:r w:rsidR="00822B6A" w:rsidRPr="00870E7F">
        <w:rPr>
          <w:rFonts w:ascii="Arial" w:hAnsi="Arial" w:cs="Arial"/>
          <w:lang w:val="en-GB"/>
        </w:rPr>
        <w:t xml:space="preserve"> be mechanisms at play (</w:t>
      </w:r>
      <w:proofErr w:type="spellStart"/>
      <w:r w:rsidR="00A02F35" w:rsidRPr="00A02F35">
        <w:rPr>
          <w:rFonts w:ascii="Arial" w:hAnsi="Arial" w:cs="Arial"/>
          <w:highlight w:val="lightGray"/>
          <w:lang w:val="en-GB"/>
        </w:rPr>
        <w:t>doi</w:t>
      </w:r>
      <w:proofErr w:type="spellEnd"/>
      <w:r w:rsidR="00A02F35" w:rsidRPr="00A02F35">
        <w:rPr>
          <w:rFonts w:ascii="Arial" w:hAnsi="Arial" w:cs="Arial"/>
          <w:highlight w:val="lightGray"/>
          <w:lang w:val="en-GB"/>
        </w:rPr>
        <w:t>: 10.1002/alz.12510</w:t>
      </w:r>
      <w:r w:rsidR="00822B6A" w:rsidRPr="00870E7F">
        <w:rPr>
          <w:rFonts w:ascii="Arial" w:hAnsi="Arial" w:cs="Arial"/>
          <w:highlight w:val="lightGray"/>
          <w:lang w:val="en-GB"/>
        </w:rPr>
        <w:t>).</w:t>
      </w:r>
      <w:r w:rsidR="00822B6A" w:rsidRPr="00870E7F">
        <w:rPr>
          <w:rFonts w:ascii="Arial" w:hAnsi="Arial" w:cs="Arial"/>
          <w:lang w:val="en-GB"/>
        </w:rPr>
        <w:t xml:space="preserve"> </w:t>
      </w:r>
      <w:r w:rsidR="00A874E3" w:rsidRPr="00870E7F">
        <w:rPr>
          <w:rFonts w:ascii="Arial" w:hAnsi="Arial" w:cs="Arial"/>
          <w:lang w:val="en-GB"/>
        </w:rPr>
        <w:t>Comparably</w:t>
      </w:r>
      <w:r w:rsidR="00E33DE5" w:rsidRPr="00870E7F">
        <w:rPr>
          <w:rFonts w:ascii="Arial" w:hAnsi="Arial" w:cs="Arial"/>
          <w:lang w:val="en-GB"/>
        </w:rPr>
        <w:t>,</w:t>
      </w:r>
      <w:r w:rsidR="0099013E" w:rsidRPr="00870E7F">
        <w:rPr>
          <w:rFonts w:ascii="Arial" w:hAnsi="Arial" w:cs="Arial"/>
          <w:lang w:val="en-GB"/>
        </w:rPr>
        <w:t xml:space="preserve"> but in another line of research, a</w:t>
      </w:r>
      <w:r w:rsidR="00A874E3" w:rsidRPr="00870E7F">
        <w:rPr>
          <w:rFonts w:ascii="Arial" w:hAnsi="Arial" w:cs="Arial"/>
          <w:lang w:val="en-GB"/>
        </w:rPr>
        <w:t xml:space="preserve"> work </w:t>
      </w:r>
      <w:r w:rsidR="0099013E" w:rsidRPr="00870E7F">
        <w:rPr>
          <w:rFonts w:ascii="Arial" w:hAnsi="Arial" w:cs="Arial"/>
          <w:lang w:val="en-GB"/>
        </w:rPr>
        <w:t>examining different blood-based assays to measure Aβ</w:t>
      </w:r>
      <w:r w:rsidR="00A874E3" w:rsidRPr="00870E7F">
        <w:rPr>
          <w:rFonts w:ascii="Arial" w:hAnsi="Arial" w:cs="Arial"/>
          <w:lang w:val="en-GB"/>
        </w:rPr>
        <w:t xml:space="preserve"> peptides</w:t>
      </w:r>
      <w:r w:rsidR="0099013E" w:rsidRPr="00870E7F">
        <w:rPr>
          <w:rFonts w:ascii="Arial" w:hAnsi="Arial" w:cs="Arial"/>
          <w:lang w:val="en-GB"/>
        </w:rPr>
        <w:t xml:space="preserve"> and how they compare </w:t>
      </w:r>
      <w:r w:rsidR="00D444BC">
        <w:rPr>
          <w:rFonts w:ascii="Arial" w:hAnsi="Arial" w:cs="Arial"/>
          <w:lang w:val="en-GB"/>
        </w:rPr>
        <w:t>to each other</w:t>
      </w:r>
      <w:r w:rsidR="00A874E3" w:rsidRPr="00870E7F">
        <w:rPr>
          <w:rFonts w:ascii="Arial" w:hAnsi="Arial" w:cs="Arial"/>
          <w:lang w:val="en-GB"/>
        </w:rPr>
        <w:t xml:space="preserve"> and </w:t>
      </w:r>
      <w:r w:rsidR="0099013E" w:rsidRPr="00870E7F">
        <w:rPr>
          <w:rFonts w:ascii="Arial" w:hAnsi="Arial" w:cs="Arial"/>
          <w:lang w:val="en-GB"/>
        </w:rPr>
        <w:t xml:space="preserve">between </w:t>
      </w:r>
      <w:proofErr w:type="spellStart"/>
      <w:r w:rsidR="0099013E" w:rsidRPr="00870E7F">
        <w:rPr>
          <w:rFonts w:ascii="Arial" w:hAnsi="Arial" w:cs="Arial"/>
          <w:lang w:val="en-GB"/>
        </w:rPr>
        <w:t>centers</w:t>
      </w:r>
      <w:proofErr w:type="spellEnd"/>
      <w:r w:rsidR="0099013E" w:rsidRPr="00870E7F">
        <w:rPr>
          <w:rFonts w:ascii="Arial" w:hAnsi="Arial" w:cs="Arial"/>
          <w:lang w:val="en-GB"/>
        </w:rPr>
        <w:t xml:space="preserve">, </w:t>
      </w:r>
      <w:r w:rsidR="00203755">
        <w:rPr>
          <w:rFonts w:ascii="Arial" w:hAnsi="Arial" w:cs="Arial"/>
          <w:lang w:val="en-GB"/>
        </w:rPr>
        <w:t xml:space="preserve">found no improvement in the correlations when </w:t>
      </w:r>
      <w:r w:rsidR="00C65E90">
        <w:rPr>
          <w:rFonts w:ascii="Arial" w:hAnsi="Arial" w:cs="Arial"/>
          <w:lang w:val="en-GB"/>
        </w:rPr>
        <w:t>using</w:t>
      </w:r>
      <w:r w:rsidR="0099013E" w:rsidRPr="00870E7F">
        <w:rPr>
          <w:rFonts w:ascii="Arial" w:hAnsi="Arial" w:cs="Arial"/>
          <w:lang w:val="en-GB"/>
        </w:rPr>
        <w:t xml:space="preserve"> the ratio (</w:t>
      </w:r>
      <w:proofErr w:type="spellStart"/>
      <w:r w:rsidR="0099013E" w:rsidRPr="00870E7F">
        <w:rPr>
          <w:rFonts w:ascii="Arial" w:hAnsi="Arial" w:cs="Arial"/>
          <w:highlight w:val="lightGray"/>
          <w:lang w:val="en-GB"/>
        </w:rPr>
        <w:t>doi</w:t>
      </w:r>
      <w:proofErr w:type="spellEnd"/>
      <w:r w:rsidR="0099013E" w:rsidRPr="00870E7F">
        <w:rPr>
          <w:rFonts w:ascii="Arial" w:hAnsi="Arial" w:cs="Arial"/>
          <w:highlight w:val="lightGray"/>
          <w:lang w:val="en-GB"/>
        </w:rPr>
        <w:t>: 10.1002/dad2.12242).</w:t>
      </w:r>
      <w:r w:rsidR="0099013E" w:rsidRPr="00870E7F">
        <w:rPr>
          <w:rFonts w:ascii="Segoe UI" w:hAnsi="Segoe UI" w:cs="Segoe UI"/>
          <w:color w:val="212121"/>
          <w:shd w:val="clear" w:color="auto" w:fill="FFFFFF"/>
          <w:lang w:val="en-GB"/>
        </w:rPr>
        <w:t xml:space="preserve"> </w:t>
      </w:r>
    </w:p>
    <w:p w14:paraId="1D53D71F" w14:textId="1F4C7945" w:rsidR="00F83454" w:rsidRDefault="00680257" w:rsidP="00B96FA1">
      <w:pPr>
        <w:spacing w:line="480" w:lineRule="auto"/>
        <w:jc w:val="both"/>
        <w:rPr>
          <w:rFonts w:ascii="Arial" w:hAnsi="Arial" w:cs="Arial"/>
          <w:lang w:val="en-GB"/>
        </w:rPr>
      </w:pPr>
      <w:r w:rsidRPr="00870E7F">
        <w:rPr>
          <w:rFonts w:ascii="Arial" w:hAnsi="Arial" w:cs="Arial"/>
          <w:lang w:val="en-GB"/>
        </w:rPr>
        <w:t>With respect to</w:t>
      </w:r>
      <w:r w:rsidR="001C1E7F" w:rsidRPr="00870E7F">
        <w:rPr>
          <w:rFonts w:ascii="Arial" w:hAnsi="Arial" w:cs="Arial"/>
          <w:lang w:val="en-GB"/>
        </w:rPr>
        <w:t xml:space="preserve"> p-Tau</w:t>
      </w:r>
      <w:r w:rsidR="007D6CC3">
        <w:rPr>
          <w:rFonts w:ascii="Arial" w:hAnsi="Arial" w:cs="Arial"/>
          <w:lang w:val="en-GB"/>
        </w:rPr>
        <w:t>181</w:t>
      </w:r>
      <w:r w:rsidR="00883DDA" w:rsidRPr="00870E7F">
        <w:rPr>
          <w:rFonts w:ascii="Arial" w:hAnsi="Arial" w:cs="Arial"/>
          <w:lang w:val="en-GB"/>
        </w:rPr>
        <w:t>,</w:t>
      </w:r>
      <w:r w:rsidR="001C1E7F" w:rsidRPr="00870E7F">
        <w:rPr>
          <w:rFonts w:ascii="Arial" w:hAnsi="Arial" w:cs="Arial"/>
          <w:lang w:val="en-GB"/>
        </w:rPr>
        <w:t xml:space="preserve"> </w:t>
      </w:r>
      <w:r w:rsidR="00883DDA" w:rsidRPr="00870E7F">
        <w:rPr>
          <w:rFonts w:ascii="Arial" w:hAnsi="Arial" w:cs="Arial"/>
          <w:lang w:val="en-GB"/>
        </w:rPr>
        <w:t xml:space="preserve">all the conditions involving storage at 4ºC for either 1-2 days or 8-9 days were associated with </w:t>
      </w:r>
      <w:r w:rsidRPr="00870E7F">
        <w:rPr>
          <w:rFonts w:ascii="Arial" w:hAnsi="Arial" w:cs="Arial"/>
          <w:lang w:val="en-GB"/>
        </w:rPr>
        <w:t>lower</w:t>
      </w:r>
      <w:r w:rsidR="00883DDA" w:rsidRPr="00870E7F">
        <w:rPr>
          <w:rFonts w:ascii="Arial" w:hAnsi="Arial" w:cs="Arial"/>
          <w:lang w:val="en-GB"/>
        </w:rPr>
        <w:t xml:space="preserve"> concentration</w:t>
      </w:r>
      <w:r w:rsidRPr="00870E7F">
        <w:rPr>
          <w:rFonts w:ascii="Arial" w:hAnsi="Arial" w:cs="Arial"/>
          <w:lang w:val="en-GB"/>
        </w:rPr>
        <w:t>s</w:t>
      </w:r>
      <w:r w:rsidR="000C4C53">
        <w:rPr>
          <w:rFonts w:ascii="Arial" w:hAnsi="Arial" w:cs="Arial"/>
          <w:lang w:val="en-GB"/>
        </w:rPr>
        <w:t xml:space="preserve"> </w:t>
      </w:r>
      <w:r w:rsidR="004509A0">
        <w:rPr>
          <w:rFonts w:ascii="Arial" w:hAnsi="Arial" w:cs="Arial"/>
          <w:lang w:val="en-GB"/>
        </w:rPr>
        <w:t>when</w:t>
      </w:r>
      <w:r w:rsidR="000C4C53">
        <w:rPr>
          <w:rFonts w:ascii="Arial" w:hAnsi="Arial" w:cs="Arial"/>
          <w:lang w:val="en-GB"/>
        </w:rPr>
        <w:t xml:space="preserve"> compared to </w:t>
      </w:r>
      <w:r w:rsidR="007D635C" w:rsidRPr="00870E7F">
        <w:rPr>
          <w:rFonts w:ascii="Arial" w:hAnsi="Arial" w:cs="Arial"/>
          <w:lang w:val="en-GB"/>
        </w:rPr>
        <w:t xml:space="preserve">frozen samples. </w:t>
      </w:r>
      <w:r w:rsidR="004509A0">
        <w:rPr>
          <w:rFonts w:ascii="Arial" w:hAnsi="Arial" w:cs="Arial"/>
          <w:lang w:val="en-GB"/>
        </w:rPr>
        <w:t xml:space="preserve">A recent study also </w:t>
      </w:r>
      <w:r w:rsidR="00180BA6">
        <w:rPr>
          <w:rFonts w:ascii="Arial" w:hAnsi="Arial" w:cs="Arial"/>
          <w:lang w:val="en-GB"/>
        </w:rPr>
        <w:t>reported</w:t>
      </w:r>
      <w:r w:rsidR="004509A0">
        <w:rPr>
          <w:rFonts w:ascii="Arial" w:hAnsi="Arial" w:cs="Arial"/>
          <w:lang w:val="en-GB"/>
        </w:rPr>
        <w:t xml:space="preserve"> lower concentrations of p-Tau181 </w:t>
      </w:r>
      <w:r w:rsidR="003D160A">
        <w:rPr>
          <w:rFonts w:ascii="Arial" w:hAnsi="Arial" w:cs="Arial"/>
          <w:lang w:val="en-US"/>
        </w:rPr>
        <w:t>in</w:t>
      </w:r>
      <w:r w:rsidR="004509A0" w:rsidRPr="004509A0">
        <w:rPr>
          <w:rFonts w:ascii="Arial" w:hAnsi="Arial" w:cs="Arial"/>
          <w:lang w:val="en-US"/>
        </w:rPr>
        <w:t xml:space="preserve"> samples stored at 4°C </w:t>
      </w:r>
      <w:r w:rsidR="003D160A">
        <w:rPr>
          <w:rFonts w:ascii="Arial" w:hAnsi="Arial" w:cs="Arial"/>
          <w:lang w:val="en-US"/>
        </w:rPr>
        <w:t>when compared to</w:t>
      </w:r>
      <w:r w:rsidR="004509A0" w:rsidRPr="004509A0">
        <w:rPr>
          <w:rFonts w:ascii="Arial" w:hAnsi="Arial" w:cs="Arial"/>
          <w:lang w:val="en-US"/>
        </w:rPr>
        <w:t xml:space="preserve"> frozen samples </w:t>
      </w:r>
      <w:r w:rsidR="000E67BD">
        <w:rPr>
          <w:rFonts w:ascii="Arial" w:hAnsi="Arial" w:cs="Arial"/>
          <w:lang w:val="en-US"/>
        </w:rPr>
        <w:t xml:space="preserve">kept </w:t>
      </w:r>
      <w:r w:rsidR="004509A0" w:rsidRPr="004509A0">
        <w:rPr>
          <w:rFonts w:ascii="Arial" w:hAnsi="Arial" w:cs="Arial"/>
          <w:lang w:val="en-US"/>
        </w:rPr>
        <w:t>at −20°C</w:t>
      </w:r>
      <w:r w:rsidR="004509A0">
        <w:rPr>
          <w:rFonts w:ascii="Arial" w:hAnsi="Arial" w:cs="Arial"/>
          <w:lang w:val="en-US"/>
        </w:rPr>
        <w:t xml:space="preserve"> (</w:t>
      </w:r>
      <w:r w:rsidR="004509A0" w:rsidRPr="004509A0">
        <w:rPr>
          <w:rFonts w:ascii="Arial" w:hAnsi="Arial" w:cs="Arial"/>
          <w:highlight w:val="lightGray"/>
          <w:lang w:val="en-GB"/>
        </w:rPr>
        <w:t>doi.org/10.1515/cclm-2022-0770</w:t>
      </w:r>
      <w:r w:rsidR="004509A0">
        <w:rPr>
          <w:rFonts w:ascii="Arial" w:hAnsi="Arial" w:cs="Arial"/>
          <w:highlight w:val="lightGray"/>
          <w:lang w:val="en-GB"/>
        </w:rPr>
        <w:t xml:space="preserve">). </w:t>
      </w:r>
      <w:r w:rsidR="00B8587C" w:rsidRPr="00B8587C">
        <w:rPr>
          <w:rFonts w:ascii="Arial" w:hAnsi="Arial" w:cs="Arial"/>
          <w:lang w:val="en-GB"/>
        </w:rPr>
        <w:t xml:space="preserve">However, other </w:t>
      </w:r>
      <w:r w:rsidR="00B8587C">
        <w:rPr>
          <w:rFonts w:ascii="Arial" w:hAnsi="Arial" w:cs="Arial"/>
          <w:lang w:val="en-GB"/>
        </w:rPr>
        <w:t>works</w:t>
      </w:r>
      <w:r w:rsidR="00B8587C" w:rsidRPr="00B8587C">
        <w:rPr>
          <w:rFonts w:ascii="Arial" w:hAnsi="Arial" w:cs="Arial"/>
          <w:lang w:val="en-GB"/>
        </w:rPr>
        <w:t xml:space="preserve"> have found that p-Tau181 remains stable after delayed centrifugation and storage (</w:t>
      </w:r>
      <w:proofErr w:type="spellStart"/>
      <w:r w:rsidR="00A02F35" w:rsidRPr="00A02F35">
        <w:rPr>
          <w:rFonts w:ascii="Arial" w:hAnsi="Arial" w:cs="Arial"/>
          <w:highlight w:val="lightGray"/>
          <w:lang w:val="en-GB"/>
        </w:rPr>
        <w:t>doi</w:t>
      </w:r>
      <w:proofErr w:type="spellEnd"/>
      <w:r w:rsidR="00A02F35" w:rsidRPr="00A02F35">
        <w:rPr>
          <w:rFonts w:ascii="Arial" w:hAnsi="Arial" w:cs="Arial"/>
          <w:highlight w:val="lightGray"/>
          <w:lang w:val="en-GB"/>
        </w:rPr>
        <w:t>: 10.1002/alz.12510</w:t>
      </w:r>
      <w:r w:rsidR="00B8587C" w:rsidRPr="00B8587C">
        <w:rPr>
          <w:rFonts w:ascii="Arial" w:hAnsi="Arial" w:cs="Arial"/>
          <w:lang w:val="en-GB"/>
        </w:rPr>
        <w:t xml:space="preserve">). </w:t>
      </w:r>
      <w:r w:rsidR="003D160A">
        <w:rPr>
          <w:rFonts w:ascii="Arial" w:hAnsi="Arial" w:cs="Arial"/>
          <w:lang w:val="en-GB"/>
        </w:rPr>
        <w:t>Plausible</w:t>
      </w:r>
      <w:r w:rsidR="003D160A" w:rsidRPr="00B8587C">
        <w:rPr>
          <w:rFonts w:ascii="Arial" w:hAnsi="Arial" w:cs="Arial"/>
          <w:lang w:val="en-GB"/>
        </w:rPr>
        <w:t xml:space="preserve"> explanation</w:t>
      </w:r>
      <w:r w:rsidR="003D160A">
        <w:rPr>
          <w:rFonts w:ascii="Arial" w:hAnsi="Arial" w:cs="Arial"/>
          <w:lang w:val="en-GB"/>
        </w:rPr>
        <w:t>s</w:t>
      </w:r>
      <w:r w:rsidR="003D160A" w:rsidRPr="00B8587C">
        <w:rPr>
          <w:rFonts w:ascii="Arial" w:hAnsi="Arial" w:cs="Arial"/>
          <w:lang w:val="en-GB"/>
        </w:rPr>
        <w:t xml:space="preserve"> to this </w:t>
      </w:r>
      <w:r w:rsidR="00180BA6">
        <w:rPr>
          <w:rFonts w:ascii="Arial" w:hAnsi="Arial" w:cs="Arial"/>
          <w:lang w:val="en-GB"/>
        </w:rPr>
        <w:t>observation</w:t>
      </w:r>
      <w:r w:rsidR="003D160A" w:rsidRPr="00B8587C">
        <w:rPr>
          <w:rFonts w:ascii="Arial" w:hAnsi="Arial" w:cs="Arial"/>
          <w:lang w:val="en-GB"/>
        </w:rPr>
        <w:t xml:space="preserve"> </w:t>
      </w:r>
      <w:r w:rsidR="003D160A">
        <w:rPr>
          <w:rFonts w:ascii="Arial" w:hAnsi="Arial" w:cs="Arial"/>
          <w:lang w:val="en-GB"/>
        </w:rPr>
        <w:t>could be</w:t>
      </w:r>
      <w:r w:rsidR="003D160A" w:rsidRPr="00B8587C">
        <w:rPr>
          <w:rFonts w:ascii="Arial" w:hAnsi="Arial" w:cs="Arial"/>
          <w:lang w:val="en-GB"/>
        </w:rPr>
        <w:t xml:space="preserve"> that pTau-181 is degraded </w:t>
      </w:r>
      <w:r w:rsidR="003D160A">
        <w:rPr>
          <w:rFonts w:ascii="Arial" w:hAnsi="Arial" w:cs="Arial"/>
          <w:lang w:val="en-GB"/>
        </w:rPr>
        <w:t>when stored at 4ºC</w:t>
      </w:r>
      <w:r w:rsidR="00F83454">
        <w:rPr>
          <w:rFonts w:ascii="Arial" w:hAnsi="Arial" w:cs="Arial"/>
          <w:lang w:val="en-GB"/>
        </w:rPr>
        <w:t xml:space="preserve">, or, based </w:t>
      </w:r>
      <w:r w:rsidR="003D160A" w:rsidRPr="003D160A">
        <w:rPr>
          <w:rFonts w:ascii="Arial" w:hAnsi="Arial" w:cs="Arial"/>
          <w:lang w:val="en-GB"/>
        </w:rPr>
        <w:t>on preliminary findings</w:t>
      </w:r>
      <w:r w:rsidR="00F83454">
        <w:rPr>
          <w:rFonts w:ascii="Arial" w:hAnsi="Arial" w:cs="Arial"/>
          <w:lang w:val="en-GB"/>
        </w:rPr>
        <w:t>,</w:t>
      </w:r>
      <w:r w:rsidR="003D160A" w:rsidRPr="003D160A">
        <w:rPr>
          <w:rFonts w:ascii="Arial" w:hAnsi="Arial" w:cs="Arial"/>
          <w:lang w:val="en-GB"/>
        </w:rPr>
        <w:t xml:space="preserve"> the detection of p-Tau181 increases after one freeze-thaw cycle. </w:t>
      </w:r>
      <w:r w:rsidR="00F83454" w:rsidRPr="00F83454">
        <w:rPr>
          <w:rFonts w:ascii="Arial" w:hAnsi="Arial" w:cs="Arial"/>
          <w:lang w:val="en-GB"/>
        </w:rPr>
        <w:t xml:space="preserve">This could be attributed to the fact that during the freeze-thaw process, plasma proteins </w:t>
      </w:r>
      <w:r w:rsidR="00F83454" w:rsidRPr="00F83454">
        <w:rPr>
          <w:rFonts w:ascii="Arial" w:hAnsi="Arial" w:cs="Arial"/>
          <w:lang w:val="en-GB"/>
        </w:rPr>
        <w:lastRenderedPageBreak/>
        <w:t>that might interfere with the analysis in fresh samples are degraded or fragmented, allowing the immunoassay to detect more p-Tau181.</w:t>
      </w:r>
    </w:p>
    <w:p w14:paraId="1B357005" w14:textId="3472E7D7" w:rsidR="00D565F2" w:rsidRPr="00A67C3E" w:rsidRDefault="00CC621D" w:rsidP="00B96FA1">
      <w:pPr>
        <w:spacing w:line="480" w:lineRule="auto"/>
        <w:jc w:val="both"/>
        <w:rPr>
          <w:rFonts w:ascii="Arial" w:hAnsi="Arial" w:cs="Arial"/>
          <w:lang w:val="en-GB"/>
        </w:rPr>
      </w:pPr>
      <w:r w:rsidRPr="00A67C3E">
        <w:rPr>
          <w:rFonts w:ascii="Arial" w:hAnsi="Arial" w:cs="Arial"/>
          <w:lang w:val="en-GB"/>
        </w:rPr>
        <w:t xml:space="preserve">Other </w:t>
      </w:r>
      <w:r w:rsidR="000C4C53">
        <w:rPr>
          <w:rFonts w:ascii="Arial" w:hAnsi="Arial" w:cs="Arial"/>
          <w:lang w:val="en-GB"/>
        </w:rPr>
        <w:t>studies</w:t>
      </w:r>
      <w:r w:rsidR="000C4C53" w:rsidRPr="00A67C3E">
        <w:rPr>
          <w:rFonts w:ascii="Arial" w:hAnsi="Arial" w:cs="Arial"/>
          <w:lang w:val="en-GB"/>
        </w:rPr>
        <w:t xml:space="preserve"> </w:t>
      </w:r>
      <w:r w:rsidR="002710C5">
        <w:rPr>
          <w:rFonts w:ascii="Arial" w:hAnsi="Arial" w:cs="Arial"/>
          <w:lang w:val="en-GB"/>
        </w:rPr>
        <w:t>have previously explored</w:t>
      </w:r>
      <w:r w:rsidR="002710C5" w:rsidRPr="00A67C3E">
        <w:rPr>
          <w:rFonts w:ascii="Arial" w:hAnsi="Arial" w:cs="Arial"/>
          <w:lang w:val="en-GB"/>
        </w:rPr>
        <w:t xml:space="preserve"> </w:t>
      </w:r>
      <w:r w:rsidRPr="00A67C3E">
        <w:rPr>
          <w:rFonts w:ascii="Arial" w:hAnsi="Arial" w:cs="Arial"/>
          <w:lang w:val="en-GB"/>
        </w:rPr>
        <w:t xml:space="preserve">different preanalytical conditions and their effect on the </w:t>
      </w:r>
      <w:r w:rsidR="00D565F2" w:rsidRPr="00A67C3E">
        <w:rPr>
          <w:rFonts w:ascii="Arial" w:hAnsi="Arial" w:cs="Arial"/>
          <w:lang w:val="en-GB"/>
        </w:rPr>
        <w:t>BBM levels</w:t>
      </w:r>
      <w:r w:rsidR="005A3023">
        <w:rPr>
          <w:rFonts w:ascii="Arial" w:hAnsi="Arial" w:cs="Arial"/>
          <w:lang w:val="en-GB"/>
        </w:rPr>
        <w:t>. H</w:t>
      </w:r>
      <w:r w:rsidRPr="00A67C3E">
        <w:rPr>
          <w:rFonts w:ascii="Arial" w:hAnsi="Arial" w:cs="Arial"/>
          <w:lang w:val="en-GB"/>
        </w:rPr>
        <w:t>owever, the</w:t>
      </w:r>
      <w:r w:rsidR="006356D5">
        <w:rPr>
          <w:rFonts w:ascii="Arial" w:hAnsi="Arial" w:cs="Arial"/>
          <w:lang w:val="en-GB"/>
        </w:rPr>
        <w:t xml:space="preserve">y </w:t>
      </w:r>
      <w:r w:rsidRPr="00A67C3E">
        <w:rPr>
          <w:rFonts w:ascii="Arial" w:hAnsi="Arial" w:cs="Arial"/>
          <w:lang w:val="en-GB"/>
        </w:rPr>
        <w:t>focus</w:t>
      </w:r>
      <w:r w:rsidR="006356D5">
        <w:rPr>
          <w:rFonts w:ascii="Arial" w:hAnsi="Arial" w:cs="Arial"/>
          <w:lang w:val="en-GB"/>
        </w:rPr>
        <w:t>ed</w:t>
      </w:r>
      <w:r w:rsidRPr="00A67C3E">
        <w:rPr>
          <w:rFonts w:ascii="Arial" w:hAnsi="Arial" w:cs="Arial"/>
          <w:lang w:val="en-GB"/>
        </w:rPr>
        <w:t xml:space="preserve"> on the </w:t>
      </w:r>
      <w:r w:rsidR="00F83454">
        <w:rPr>
          <w:rFonts w:ascii="Arial" w:hAnsi="Arial" w:cs="Arial"/>
          <w:lang w:val="en-GB"/>
        </w:rPr>
        <w:t>impact</w:t>
      </w:r>
      <w:r w:rsidRPr="00A67C3E">
        <w:rPr>
          <w:rFonts w:ascii="Arial" w:hAnsi="Arial" w:cs="Arial"/>
          <w:lang w:val="en-GB"/>
        </w:rPr>
        <w:t xml:space="preserve"> of fre</w:t>
      </w:r>
      <w:r w:rsidR="00D565F2" w:rsidRPr="00A67C3E">
        <w:rPr>
          <w:rFonts w:ascii="Arial" w:hAnsi="Arial" w:cs="Arial"/>
          <w:lang w:val="en-GB"/>
        </w:rPr>
        <w:t>eze-</w:t>
      </w:r>
      <w:r w:rsidRPr="00A67C3E">
        <w:rPr>
          <w:rFonts w:ascii="Arial" w:hAnsi="Arial" w:cs="Arial"/>
          <w:lang w:val="en-GB"/>
        </w:rPr>
        <w:t xml:space="preserve">thaw </w:t>
      </w:r>
      <w:r w:rsidR="00D565F2" w:rsidRPr="00A67C3E">
        <w:rPr>
          <w:rFonts w:ascii="Arial" w:hAnsi="Arial" w:cs="Arial"/>
          <w:lang w:val="en-GB"/>
        </w:rPr>
        <w:t>cycles</w:t>
      </w:r>
      <w:r w:rsidR="00E26DB7">
        <w:rPr>
          <w:rFonts w:ascii="Arial" w:hAnsi="Arial" w:cs="Arial"/>
          <w:lang w:val="en-GB"/>
        </w:rPr>
        <w:t xml:space="preserve"> (but not fresh vs. frozen)</w:t>
      </w:r>
      <w:r w:rsidRPr="00A67C3E">
        <w:rPr>
          <w:rFonts w:ascii="Arial" w:hAnsi="Arial" w:cs="Arial"/>
          <w:lang w:val="en-GB"/>
        </w:rPr>
        <w:t xml:space="preserve">, </w:t>
      </w:r>
      <w:r w:rsidR="00D565F2" w:rsidRPr="00A67C3E">
        <w:rPr>
          <w:rFonts w:ascii="Arial" w:hAnsi="Arial" w:cs="Arial"/>
          <w:lang w:val="en-GB"/>
        </w:rPr>
        <w:t>stor</w:t>
      </w:r>
      <w:r w:rsidR="00180BA6">
        <w:rPr>
          <w:rFonts w:ascii="Arial" w:hAnsi="Arial" w:cs="Arial"/>
          <w:lang w:val="en-GB"/>
        </w:rPr>
        <w:t>age</w:t>
      </w:r>
      <w:r w:rsidRPr="00A67C3E">
        <w:rPr>
          <w:rFonts w:ascii="Arial" w:hAnsi="Arial" w:cs="Arial"/>
          <w:lang w:val="en-GB"/>
        </w:rPr>
        <w:t xml:space="preserve"> at </w:t>
      </w:r>
      <w:r w:rsidR="00C65CB0">
        <w:rPr>
          <w:rFonts w:ascii="Arial" w:hAnsi="Arial" w:cs="Arial"/>
          <w:lang w:val="en-GB"/>
        </w:rPr>
        <w:t>RT</w:t>
      </w:r>
      <w:r w:rsidRPr="00A67C3E">
        <w:rPr>
          <w:rFonts w:ascii="Arial" w:hAnsi="Arial" w:cs="Arial"/>
          <w:lang w:val="en-GB"/>
        </w:rPr>
        <w:t xml:space="preserve">, </w:t>
      </w:r>
      <w:r w:rsidR="00D565F2" w:rsidRPr="00A67C3E">
        <w:rPr>
          <w:rFonts w:ascii="Arial" w:hAnsi="Arial" w:cs="Arial"/>
          <w:lang w:val="en-GB"/>
        </w:rPr>
        <w:t xml:space="preserve">type of </w:t>
      </w:r>
      <w:r w:rsidRPr="00A67C3E">
        <w:rPr>
          <w:rFonts w:ascii="Arial" w:hAnsi="Arial" w:cs="Arial"/>
          <w:lang w:val="en-GB"/>
        </w:rPr>
        <w:t>anticoagulant</w:t>
      </w:r>
      <w:r w:rsidR="00B96179" w:rsidRPr="00A67C3E">
        <w:rPr>
          <w:rFonts w:ascii="Arial" w:hAnsi="Arial" w:cs="Arial"/>
          <w:lang w:val="en-GB"/>
        </w:rPr>
        <w:t xml:space="preserve"> used</w:t>
      </w:r>
      <w:r w:rsidRPr="00A67C3E">
        <w:rPr>
          <w:rFonts w:ascii="Arial" w:hAnsi="Arial" w:cs="Arial"/>
          <w:lang w:val="en-GB"/>
        </w:rPr>
        <w:t xml:space="preserve">, </w:t>
      </w:r>
      <w:r w:rsidR="00F83454">
        <w:rPr>
          <w:rFonts w:ascii="Arial" w:hAnsi="Arial" w:cs="Arial"/>
          <w:lang w:val="en-GB"/>
        </w:rPr>
        <w:t>and</w:t>
      </w:r>
      <w:r w:rsidRPr="00A67C3E">
        <w:rPr>
          <w:rFonts w:ascii="Arial" w:hAnsi="Arial" w:cs="Arial"/>
          <w:lang w:val="en-GB"/>
        </w:rPr>
        <w:t xml:space="preserve"> time </w:t>
      </w:r>
      <w:r w:rsidR="00B96179" w:rsidRPr="00A67C3E">
        <w:rPr>
          <w:rFonts w:ascii="Arial" w:hAnsi="Arial" w:cs="Arial"/>
          <w:lang w:val="en-GB"/>
        </w:rPr>
        <w:t>until</w:t>
      </w:r>
      <w:r w:rsidRPr="00A67C3E">
        <w:rPr>
          <w:rFonts w:ascii="Arial" w:hAnsi="Arial" w:cs="Arial"/>
          <w:lang w:val="en-GB"/>
        </w:rPr>
        <w:t xml:space="preserve"> centrifug</w:t>
      </w:r>
      <w:r w:rsidR="00B96179" w:rsidRPr="00A67C3E">
        <w:rPr>
          <w:rFonts w:ascii="Arial" w:hAnsi="Arial" w:cs="Arial"/>
          <w:lang w:val="en-GB"/>
        </w:rPr>
        <w:t>ation</w:t>
      </w:r>
      <w:r w:rsidRPr="00A67C3E">
        <w:rPr>
          <w:rFonts w:ascii="Arial" w:hAnsi="Arial" w:cs="Arial"/>
          <w:lang w:val="en-GB"/>
        </w:rPr>
        <w:t xml:space="preserve"> </w:t>
      </w:r>
      <w:r w:rsidR="00D565F2" w:rsidRPr="00A67C3E">
        <w:rPr>
          <w:rFonts w:ascii="Arial" w:hAnsi="Arial" w:cs="Arial"/>
          <w:lang w:val="en-GB"/>
        </w:rPr>
        <w:t>(</w:t>
      </w:r>
      <w:r w:rsidR="00216B9E" w:rsidRPr="00216B9E">
        <w:rPr>
          <w:rFonts w:ascii="Arial" w:hAnsi="Arial" w:cs="Arial"/>
          <w:highlight w:val="lightGray"/>
          <w:lang w:val="en-GB"/>
        </w:rPr>
        <w:t>doi: 10.1159/000509358</w:t>
      </w:r>
      <w:r w:rsidR="00D565F2" w:rsidRPr="00A67C3E">
        <w:rPr>
          <w:rFonts w:ascii="Arial" w:hAnsi="Arial" w:cs="Arial"/>
          <w:highlight w:val="lightGray"/>
          <w:lang w:val="en-GB"/>
        </w:rPr>
        <w:t xml:space="preserve">; </w:t>
      </w:r>
      <w:r w:rsidR="00216B9E" w:rsidRPr="00216B9E">
        <w:rPr>
          <w:rFonts w:ascii="Arial" w:hAnsi="Arial" w:cs="Arial"/>
          <w:highlight w:val="lightGray"/>
          <w:lang w:val="en-GB"/>
        </w:rPr>
        <w:t>doi: 10.1016/j.dadm.2018.06.001</w:t>
      </w:r>
      <w:r w:rsidR="00D565F2" w:rsidRPr="00A67C3E">
        <w:rPr>
          <w:rFonts w:ascii="Arial" w:hAnsi="Arial" w:cs="Arial"/>
          <w:highlight w:val="lightGray"/>
          <w:lang w:val="en-GB"/>
        </w:rPr>
        <w:t xml:space="preserve">; </w:t>
      </w:r>
      <w:r w:rsidR="00216B9E" w:rsidRPr="00216B9E">
        <w:rPr>
          <w:rFonts w:ascii="Arial" w:hAnsi="Arial" w:cs="Arial"/>
          <w:highlight w:val="lightGray"/>
          <w:lang w:val="en-GB"/>
        </w:rPr>
        <w:t>doi: 10.1159/000506278</w:t>
      </w:r>
      <w:r w:rsidR="00DB5F4D" w:rsidRPr="00A67C3E">
        <w:rPr>
          <w:rFonts w:ascii="Arial" w:hAnsi="Arial" w:cs="Arial"/>
          <w:highlight w:val="lightGray"/>
          <w:lang w:val="en-GB"/>
        </w:rPr>
        <w:t xml:space="preserve">; </w:t>
      </w:r>
      <w:proofErr w:type="spellStart"/>
      <w:r w:rsidR="00A02F35" w:rsidRPr="00A02F35">
        <w:rPr>
          <w:rFonts w:ascii="Arial" w:hAnsi="Arial" w:cs="Arial"/>
          <w:highlight w:val="lightGray"/>
          <w:lang w:val="en-GB"/>
        </w:rPr>
        <w:t>doi</w:t>
      </w:r>
      <w:proofErr w:type="spellEnd"/>
      <w:r w:rsidR="00A02F35" w:rsidRPr="00A02F35">
        <w:rPr>
          <w:rFonts w:ascii="Arial" w:hAnsi="Arial" w:cs="Arial"/>
          <w:highlight w:val="lightGray"/>
          <w:lang w:val="en-GB"/>
        </w:rPr>
        <w:t>: 10.1002/alz.12510</w:t>
      </w:r>
      <w:r w:rsidR="00D565F2" w:rsidRPr="00A67C3E">
        <w:rPr>
          <w:rFonts w:ascii="Arial" w:hAnsi="Arial" w:cs="Arial"/>
          <w:lang w:val="en-GB"/>
        </w:rPr>
        <w:t xml:space="preserve">). </w:t>
      </w:r>
    </w:p>
    <w:p w14:paraId="3BB5AFE5" w14:textId="77F03BDF" w:rsidR="00313B40" w:rsidRDefault="00E20AD3" w:rsidP="00614777">
      <w:pPr>
        <w:spacing w:line="480" w:lineRule="auto"/>
        <w:jc w:val="both"/>
        <w:rPr>
          <w:rFonts w:ascii="Arial" w:hAnsi="Arial" w:cs="Arial"/>
          <w:lang w:val="en-GB"/>
        </w:rPr>
      </w:pPr>
      <w:r>
        <w:rPr>
          <w:rFonts w:ascii="Arial" w:hAnsi="Arial" w:cs="Arial"/>
          <w:lang w:val="en-GB"/>
        </w:rPr>
        <w:t xml:space="preserve">We found a strong correlation </w:t>
      </w:r>
      <w:r w:rsidR="00DD3505">
        <w:rPr>
          <w:rFonts w:ascii="Arial" w:hAnsi="Arial" w:cs="Arial"/>
          <w:lang w:val="en-GB"/>
        </w:rPr>
        <w:t xml:space="preserve">between </w:t>
      </w:r>
      <w:r w:rsidR="00035854">
        <w:rPr>
          <w:rFonts w:ascii="Arial" w:hAnsi="Arial" w:cs="Arial"/>
          <w:lang w:val="en-GB"/>
        </w:rPr>
        <w:t>plasma and serum</w:t>
      </w:r>
      <w:r w:rsidR="00DD3505">
        <w:rPr>
          <w:rFonts w:ascii="Arial" w:hAnsi="Arial" w:cs="Arial"/>
          <w:lang w:val="en-GB"/>
        </w:rPr>
        <w:t xml:space="preserve"> for p-Tau181 but moderate </w:t>
      </w:r>
      <w:r w:rsidR="00E26DB7">
        <w:rPr>
          <w:rFonts w:ascii="Arial" w:hAnsi="Arial" w:cs="Arial"/>
          <w:lang w:val="en-GB"/>
        </w:rPr>
        <w:t>to</w:t>
      </w:r>
      <w:r w:rsidR="005F4897">
        <w:rPr>
          <w:rFonts w:ascii="Arial" w:hAnsi="Arial" w:cs="Arial"/>
          <w:lang w:val="en-GB"/>
        </w:rPr>
        <w:t xml:space="preserve"> weak </w:t>
      </w:r>
      <w:r w:rsidR="00E26DB7">
        <w:rPr>
          <w:rFonts w:ascii="Arial" w:hAnsi="Arial" w:cs="Arial"/>
          <w:lang w:val="en-GB"/>
        </w:rPr>
        <w:t xml:space="preserve">correlations </w:t>
      </w:r>
      <w:r w:rsidR="00DD3505">
        <w:rPr>
          <w:rFonts w:ascii="Arial" w:hAnsi="Arial" w:cs="Arial"/>
          <w:lang w:val="en-GB"/>
        </w:rPr>
        <w:t xml:space="preserve">for </w:t>
      </w:r>
      <w:r w:rsidR="00E26DB7">
        <w:rPr>
          <w:rFonts w:ascii="Arial" w:hAnsi="Arial" w:cs="Arial"/>
          <w:lang w:val="en-GB"/>
        </w:rPr>
        <w:t xml:space="preserve">the </w:t>
      </w:r>
      <w:r w:rsidR="00DD3505">
        <w:rPr>
          <w:rFonts w:ascii="Arial" w:hAnsi="Arial" w:cs="Arial"/>
          <w:lang w:val="en-GB"/>
        </w:rPr>
        <w:t xml:space="preserve">amyloid peptides. </w:t>
      </w:r>
      <w:r w:rsidR="00706CAB" w:rsidRPr="00A67C3E">
        <w:rPr>
          <w:rFonts w:ascii="Arial" w:hAnsi="Arial" w:cs="Arial"/>
          <w:lang w:val="en-GB"/>
        </w:rPr>
        <w:t>In that sense</w:t>
      </w:r>
      <w:r w:rsidR="005F4897">
        <w:rPr>
          <w:rFonts w:ascii="Arial" w:hAnsi="Arial" w:cs="Arial"/>
          <w:lang w:val="en-GB"/>
        </w:rPr>
        <w:t xml:space="preserve">, </w:t>
      </w:r>
      <w:r w:rsidR="002F2CA2" w:rsidRPr="00A67C3E">
        <w:rPr>
          <w:rFonts w:ascii="Arial" w:hAnsi="Arial" w:cs="Arial"/>
          <w:lang w:val="en-GB"/>
        </w:rPr>
        <w:t xml:space="preserve">a recent </w:t>
      </w:r>
      <w:r w:rsidR="00C10911" w:rsidRPr="00A67C3E">
        <w:rPr>
          <w:rFonts w:ascii="Arial" w:hAnsi="Arial" w:cs="Arial"/>
          <w:lang w:val="en-GB"/>
        </w:rPr>
        <w:t>study</w:t>
      </w:r>
      <w:r w:rsidR="002F2CA2" w:rsidRPr="00A67C3E">
        <w:rPr>
          <w:rFonts w:ascii="Arial" w:hAnsi="Arial" w:cs="Arial"/>
          <w:lang w:val="en-GB"/>
        </w:rPr>
        <w:t xml:space="preserve"> exploring the results from the Standardization of Alzheimer’s Blood Biomarkers group </w:t>
      </w:r>
      <w:r w:rsidR="00180BA6">
        <w:rPr>
          <w:rFonts w:ascii="Arial" w:hAnsi="Arial" w:cs="Arial"/>
          <w:lang w:val="en-GB"/>
        </w:rPr>
        <w:t>described</w:t>
      </w:r>
      <w:r w:rsidR="002F2CA2" w:rsidRPr="00A67C3E">
        <w:rPr>
          <w:rFonts w:ascii="Arial" w:hAnsi="Arial" w:cs="Arial"/>
          <w:lang w:val="en-GB"/>
        </w:rPr>
        <w:t xml:space="preserve"> that</w:t>
      </w:r>
      <w:r w:rsidR="00180BA6">
        <w:rPr>
          <w:rFonts w:ascii="Arial" w:hAnsi="Arial" w:cs="Arial"/>
          <w:lang w:val="en-GB"/>
        </w:rPr>
        <w:t>,</w:t>
      </w:r>
      <w:r w:rsidR="002F2CA2" w:rsidRPr="00A67C3E">
        <w:rPr>
          <w:rFonts w:ascii="Arial" w:hAnsi="Arial" w:cs="Arial"/>
          <w:lang w:val="en-GB"/>
        </w:rPr>
        <w:t xml:space="preserve"> </w:t>
      </w:r>
      <w:r w:rsidR="007D057A">
        <w:rPr>
          <w:rFonts w:ascii="Arial" w:hAnsi="Arial" w:cs="Arial"/>
          <w:lang w:val="en-GB"/>
        </w:rPr>
        <w:t xml:space="preserve">compared to plasma measures, </w:t>
      </w:r>
      <w:r w:rsidR="008A4C87">
        <w:rPr>
          <w:rFonts w:ascii="Arial" w:hAnsi="Arial" w:cs="Arial"/>
          <w:lang w:val="en-GB"/>
        </w:rPr>
        <w:t>p</w:t>
      </w:r>
      <w:r w:rsidR="00BC3BF0">
        <w:rPr>
          <w:rFonts w:ascii="Arial" w:hAnsi="Arial" w:cs="Arial"/>
          <w:lang w:val="en-GB"/>
        </w:rPr>
        <w:t>-</w:t>
      </w:r>
      <w:r w:rsidR="008A4C87">
        <w:rPr>
          <w:rFonts w:ascii="Arial" w:hAnsi="Arial" w:cs="Arial"/>
          <w:lang w:val="en-GB"/>
        </w:rPr>
        <w:t>Tau181 con</w:t>
      </w:r>
      <w:r w:rsidR="00957991">
        <w:rPr>
          <w:rFonts w:ascii="Arial" w:hAnsi="Arial" w:cs="Arial"/>
          <w:lang w:val="en-GB"/>
        </w:rPr>
        <w:t>c</w:t>
      </w:r>
      <w:r w:rsidR="008A4C87">
        <w:rPr>
          <w:rFonts w:ascii="Arial" w:hAnsi="Arial" w:cs="Arial"/>
          <w:lang w:val="en-GB"/>
        </w:rPr>
        <w:t>entrations in serum w</w:t>
      </w:r>
      <w:r w:rsidR="00957991">
        <w:rPr>
          <w:rFonts w:ascii="Arial" w:hAnsi="Arial" w:cs="Arial"/>
          <w:lang w:val="en-GB"/>
        </w:rPr>
        <w:t>ere</w:t>
      </w:r>
      <w:r w:rsidR="008A4C87">
        <w:rPr>
          <w:rFonts w:ascii="Arial" w:hAnsi="Arial" w:cs="Arial"/>
          <w:lang w:val="en-GB"/>
        </w:rPr>
        <w:t xml:space="preserve"> lower</w:t>
      </w:r>
      <w:r w:rsidR="00957991">
        <w:rPr>
          <w:rFonts w:ascii="Arial" w:hAnsi="Arial" w:cs="Arial"/>
          <w:lang w:val="en-GB"/>
        </w:rPr>
        <w:t xml:space="preserve">, and </w:t>
      </w:r>
      <w:r w:rsidR="002F2CA2" w:rsidRPr="00A67C3E">
        <w:rPr>
          <w:rFonts w:ascii="Arial" w:hAnsi="Arial" w:cs="Arial"/>
          <w:lang w:val="en-GB"/>
        </w:rPr>
        <w:t xml:space="preserve">Aβ42 and Aβ40 </w:t>
      </w:r>
      <w:r w:rsidR="00957991">
        <w:rPr>
          <w:rFonts w:ascii="Arial" w:hAnsi="Arial" w:cs="Arial"/>
          <w:lang w:val="en-GB"/>
        </w:rPr>
        <w:t>concentrations</w:t>
      </w:r>
      <w:r w:rsidR="00957991" w:rsidRPr="00A67C3E">
        <w:rPr>
          <w:rFonts w:ascii="Arial" w:hAnsi="Arial" w:cs="Arial"/>
          <w:lang w:val="en-GB"/>
        </w:rPr>
        <w:t xml:space="preserve"> </w:t>
      </w:r>
      <w:r w:rsidR="002F2CA2" w:rsidRPr="00A67C3E">
        <w:rPr>
          <w:rFonts w:ascii="Arial" w:hAnsi="Arial" w:cs="Arial"/>
          <w:lang w:val="en-GB"/>
        </w:rPr>
        <w:t xml:space="preserve">in serum samples were either lower, the same, or higher depending on the assay used (mass spectrometry, SIMOA, </w:t>
      </w:r>
      <w:r w:rsidR="002C02C1" w:rsidRPr="00A67C3E">
        <w:rPr>
          <w:rFonts w:ascii="Arial" w:hAnsi="Arial" w:cs="Arial"/>
          <w:lang w:val="en-GB"/>
        </w:rPr>
        <w:t xml:space="preserve">and </w:t>
      </w:r>
      <w:r w:rsidR="002F2CA2" w:rsidRPr="00A67C3E">
        <w:rPr>
          <w:rFonts w:ascii="Arial" w:hAnsi="Arial" w:cs="Arial"/>
          <w:lang w:val="en-GB"/>
        </w:rPr>
        <w:t>ELISA)</w:t>
      </w:r>
      <w:r w:rsidR="00BD1708">
        <w:rPr>
          <w:rFonts w:ascii="Arial" w:hAnsi="Arial" w:cs="Arial"/>
          <w:lang w:val="en-GB"/>
        </w:rPr>
        <w:t xml:space="preserve"> </w:t>
      </w:r>
      <w:r w:rsidR="002F2CA2" w:rsidRPr="00A67C3E">
        <w:rPr>
          <w:rFonts w:ascii="Arial" w:hAnsi="Arial" w:cs="Arial"/>
          <w:highlight w:val="lightGray"/>
          <w:lang w:val="en-GB"/>
        </w:rPr>
        <w:t>(</w:t>
      </w:r>
      <w:proofErr w:type="spellStart"/>
      <w:r w:rsidR="00A02F35" w:rsidRPr="00A02F35">
        <w:rPr>
          <w:rFonts w:ascii="Arial" w:hAnsi="Arial" w:cs="Arial"/>
          <w:highlight w:val="lightGray"/>
          <w:lang w:val="en-GB"/>
        </w:rPr>
        <w:t>doi</w:t>
      </w:r>
      <w:proofErr w:type="spellEnd"/>
      <w:r w:rsidR="00A02F35" w:rsidRPr="00A02F35">
        <w:rPr>
          <w:rFonts w:ascii="Arial" w:hAnsi="Arial" w:cs="Arial"/>
          <w:highlight w:val="lightGray"/>
          <w:lang w:val="en-GB"/>
        </w:rPr>
        <w:t>: 10.1002/alz.12510</w:t>
      </w:r>
      <w:r w:rsidR="002F2CA2" w:rsidRPr="00A67C3E">
        <w:rPr>
          <w:rFonts w:ascii="Arial" w:hAnsi="Arial" w:cs="Arial"/>
          <w:highlight w:val="lightGray"/>
          <w:lang w:val="en-GB"/>
        </w:rPr>
        <w:t>)</w:t>
      </w:r>
      <w:r w:rsidR="002F2CA2" w:rsidRPr="00A67C3E">
        <w:rPr>
          <w:rFonts w:ascii="Arial" w:hAnsi="Arial" w:cs="Arial"/>
          <w:lang w:val="en-GB"/>
        </w:rPr>
        <w:t xml:space="preserve">. </w:t>
      </w:r>
      <w:r w:rsidR="00C10911" w:rsidRPr="00A67C3E">
        <w:rPr>
          <w:rFonts w:ascii="Arial" w:hAnsi="Arial" w:cs="Arial"/>
          <w:lang w:val="en-GB"/>
        </w:rPr>
        <w:t xml:space="preserve">A recent </w:t>
      </w:r>
      <w:r w:rsidR="00366E01" w:rsidRPr="00A67C3E">
        <w:rPr>
          <w:rFonts w:ascii="Arial" w:hAnsi="Arial" w:cs="Arial"/>
          <w:lang w:val="en-GB"/>
        </w:rPr>
        <w:t>work</w:t>
      </w:r>
      <w:r w:rsidR="00C10911" w:rsidRPr="00A67C3E">
        <w:rPr>
          <w:rFonts w:ascii="Arial" w:hAnsi="Arial" w:cs="Arial"/>
          <w:lang w:val="en-GB"/>
        </w:rPr>
        <w:t xml:space="preserve"> found strong correlations between serum and plasma p-Tau</w:t>
      </w:r>
      <w:r w:rsidR="00BC3BF0">
        <w:rPr>
          <w:rFonts w:ascii="Arial" w:hAnsi="Arial" w:cs="Arial"/>
          <w:lang w:val="en-GB"/>
        </w:rPr>
        <w:t>181</w:t>
      </w:r>
      <w:r w:rsidR="00C10911" w:rsidRPr="00A67C3E">
        <w:rPr>
          <w:rFonts w:ascii="Arial" w:hAnsi="Arial" w:cs="Arial"/>
          <w:lang w:val="en-GB"/>
        </w:rPr>
        <w:t xml:space="preserve">, </w:t>
      </w:r>
      <w:r w:rsidR="00366E01" w:rsidRPr="00A67C3E">
        <w:rPr>
          <w:rFonts w:ascii="Arial" w:hAnsi="Arial" w:cs="Arial"/>
          <w:lang w:val="en-GB"/>
        </w:rPr>
        <w:t>supporting</w:t>
      </w:r>
      <w:r w:rsidR="00C10911" w:rsidRPr="00A67C3E">
        <w:rPr>
          <w:rFonts w:ascii="Arial" w:hAnsi="Arial" w:cs="Arial"/>
          <w:lang w:val="en-GB"/>
        </w:rPr>
        <w:t xml:space="preserve"> the use of serum in research cohorts and hospital systems. However</w:t>
      </w:r>
      <w:r w:rsidR="001C48A1" w:rsidRPr="00A67C3E">
        <w:rPr>
          <w:rFonts w:ascii="Arial" w:hAnsi="Arial" w:cs="Arial"/>
          <w:lang w:val="en-GB"/>
        </w:rPr>
        <w:t>,</w:t>
      </w:r>
      <w:r w:rsidR="00366E01" w:rsidRPr="00A67C3E">
        <w:rPr>
          <w:rFonts w:ascii="Arial" w:hAnsi="Arial" w:cs="Arial"/>
          <w:lang w:val="en-GB"/>
        </w:rPr>
        <w:t xml:space="preserve"> and similar to what we found</w:t>
      </w:r>
      <w:r w:rsidR="00C10911" w:rsidRPr="00A67C3E">
        <w:rPr>
          <w:rFonts w:ascii="Arial" w:hAnsi="Arial" w:cs="Arial"/>
          <w:lang w:val="en-GB"/>
        </w:rPr>
        <w:t xml:space="preserve">, the authors </w:t>
      </w:r>
      <w:r w:rsidR="00366E01" w:rsidRPr="00A67C3E">
        <w:rPr>
          <w:rFonts w:ascii="Arial" w:hAnsi="Arial" w:cs="Arial"/>
          <w:lang w:val="en-GB"/>
        </w:rPr>
        <w:t>described</w:t>
      </w:r>
      <w:r w:rsidR="00C10911" w:rsidRPr="00A67C3E">
        <w:rPr>
          <w:rFonts w:ascii="Arial" w:hAnsi="Arial" w:cs="Arial"/>
          <w:lang w:val="en-GB"/>
        </w:rPr>
        <w:t xml:space="preserve"> that absolute biomarker concentrations </w:t>
      </w:r>
      <w:r w:rsidR="00B30C79">
        <w:rPr>
          <w:rFonts w:ascii="Arial" w:hAnsi="Arial" w:cs="Arial"/>
          <w:lang w:val="en-GB"/>
        </w:rPr>
        <w:t>might</w:t>
      </w:r>
      <w:r w:rsidR="00B30C79" w:rsidRPr="00A67C3E">
        <w:rPr>
          <w:rFonts w:ascii="Arial" w:hAnsi="Arial" w:cs="Arial"/>
          <w:lang w:val="en-GB"/>
        </w:rPr>
        <w:t xml:space="preserve"> </w:t>
      </w:r>
      <w:r w:rsidR="00C10911" w:rsidRPr="00A67C3E">
        <w:rPr>
          <w:rFonts w:ascii="Arial" w:hAnsi="Arial" w:cs="Arial"/>
          <w:lang w:val="en-GB"/>
        </w:rPr>
        <w:t xml:space="preserve">not </w:t>
      </w:r>
      <w:r w:rsidR="00B30C79">
        <w:rPr>
          <w:rFonts w:ascii="Arial" w:hAnsi="Arial" w:cs="Arial"/>
          <w:lang w:val="en-GB"/>
        </w:rPr>
        <w:t xml:space="preserve">be </w:t>
      </w:r>
      <w:r w:rsidR="00C10911" w:rsidRPr="00A67C3E">
        <w:rPr>
          <w:rFonts w:ascii="Arial" w:hAnsi="Arial" w:cs="Arial"/>
          <w:lang w:val="en-GB"/>
        </w:rPr>
        <w:t xml:space="preserve">interchangeable, </w:t>
      </w:r>
      <w:r w:rsidR="00B30C79">
        <w:rPr>
          <w:rFonts w:ascii="Arial" w:hAnsi="Arial" w:cs="Arial"/>
          <w:lang w:val="en-GB"/>
        </w:rPr>
        <w:t xml:space="preserve">and </w:t>
      </w:r>
      <w:r w:rsidR="00545F5C">
        <w:rPr>
          <w:rFonts w:ascii="Arial" w:hAnsi="Arial" w:cs="Arial"/>
          <w:lang w:val="en-GB"/>
        </w:rPr>
        <w:t>suggest that they</w:t>
      </w:r>
      <w:r w:rsidR="00C10911" w:rsidRPr="00A67C3E">
        <w:rPr>
          <w:rFonts w:ascii="Arial" w:hAnsi="Arial" w:cs="Arial"/>
          <w:lang w:val="en-GB"/>
        </w:rPr>
        <w:t xml:space="preserve"> should be used separately </w:t>
      </w:r>
      <w:r w:rsidR="00313B40" w:rsidRPr="00A67C3E">
        <w:rPr>
          <w:rFonts w:ascii="Arial" w:hAnsi="Arial" w:cs="Arial"/>
          <w:lang w:val="en-GB"/>
        </w:rPr>
        <w:t>(</w:t>
      </w:r>
      <w:r w:rsidR="00313B40" w:rsidRPr="00A67C3E">
        <w:rPr>
          <w:rFonts w:ascii="Arial" w:hAnsi="Arial" w:cs="Arial"/>
          <w:highlight w:val="lightGray"/>
          <w:lang w:val="en-GB"/>
        </w:rPr>
        <w:t>DOI:10.1186/s13195-022-01011-w</w:t>
      </w:r>
      <w:r w:rsidR="00313B40" w:rsidRPr="00A67C3E">
        <w:rPr>
          <w:rFonts w:ascii="Arial" w:hAnsi="Arial" w:cs="Arial"/>
          <w:lang w:val="en-GB"/>
        </w:rPr>
        <w:t>). A</w:t>
      </w:r>
      <w:r w:rsidR="002F2CA2" w:rsidRPr="00A67C3E">
        <w:rPr>
          <w:rFonts w:ascii="Arial" w:hAnsi="Arial" w:cs="Arial"/>
          <w:lang w:val="en-GB"/>
        </w:rPr>
        <w:t xml:space="preserve">nother recent work </w:t>
      </w:r>
      <w:r w:rsidR="00313B40" w:rsidRPr="00A67C3E">
        <w:rPr>
          <w:rFonts w:ascii="Arial" w:hAnsi="Arial" w:cs="Arial"/>
          <w:lang w:val="en-GB"/>
        </w:rPr>
        <w:t xml:space="preserve">directly </w:t>
      </w:r>
      <w:r w:rsidR="00B96179" w:rsidRPr="00A67C3E">
        <w:rPr>
          <w:rFonts w:ascii="Arial" w:hAnsi="Arial" w:cs="Arial"/>
          <w:lang w:val="en-GB"/>
        </w:rPr>
        <w:t>recommended avoiding serum for Aβ42, Aβ40, and t-tau measures due to poor correlation</w:t>
      </w:r>
      <w:r w:rsidR="00706CAB" w:rsidRPr="00A67C3E">
        <w:rPr>
          <w:rFonts w:ascii="Arial" w:hAnsi="Arial" w:cs="Arial"/>
          <w:lang w:val="en-GB"/>
        </w:rPr>
        <w:t xml:space="preserve"> (</w:t>
      </w:r>
      <w:r w:rsidR="00216B9E" w:rsidRPr="00216B9E">
        <w:rPr>
          <w:rFonts w:ascii="Arial" w:hAnsi="Arial" w:cs="Arial"/>
          <w:highlight w:val="lightGray"/>
          <w:lang w:val="en-GB"/>
        </w:rPr>
        <w:t>doi: 10.1002/dad2.12168</w:t>
      </w:r>
      <w:r w:rsidR="00706CAB" w:rsidRPr="00A67C3E">
        <w:rPr>
          <w:rFonts w:ascii="Arial" w:hAnsi="Arial" w:cs="Arial"/>
          <w:lang w:val="en-GB"/>
        </w:rPr>
        <w:t xml:space="preserve">). </w:t>
      </w:r>
    </w:p>
    <w:p w14:paraId="0B3DE7B7" w14:textId="4150CC5D" w:rsidR="00893F57" w:rsidRDefault="00793912" w:rsidP="00614777">
      <w:pPr>
        <w:spacing w:line="480" w:lineRule="auto"/>
        <w:jc w:val="both"/>
        <w:rPr>
          <w:rFonts w:ascii="Arial" w:hAnsi="Arial" w:cs="Arial"/>
          <w:lang w:val="en-GB"/>
        </w:rPr>
      </w:pPr>
      <w:r w:rsidRPr="00793912">
        <w:rPr>
          <w:rFonts w:ascii="Arial" w:hAnsi="Arial" w:cs="Arial"/>
          <w:lang w:val="en-GB"/>
        </w:rPr>
        <w:t>Concerning clinical agreement studies in comparisons that revealed strong correlations</w:t>
      </w:r>
      <w:r w:rsidR="00371EB2">
        <w:rPr>
          <w:rFonts w:ascii="Arial" w:hAnsi="Arial" w:cs="Arial"/>
          <w:lang w:val="en-GB"/>
        </w:rPr>
        <w:t xml:space="preserve">, </w:t>
      </w:r>
      <w:r w:rsidR="00893F57">
        <w:rPr>
          <w:rFonts w:ascii="Arial" w:hAnsi="Arial" w:cs="Arial"/>
          <w:lang w:val="en-GB"/>
        </w:rPr>
        <w:t>t</w:t>
      </w:r>
      <w:r w:rsidR="00893F57" w:rsidRPr="00893F57">
        <w:rPr>
          <w:rFonts w:ascii="Arial" w:hAnsi="Arial" w:cs="Arial"/>
          <w:lang w:val="en-GB"/>
        </w:rPr>
        <w:t xml:space="preserve">he k index was greater than 0.81 in a large number of the tested cut-offs, confirming the assay's robustness. </w:t>
      </w:r>
      <w:r w:rsidRPr="00893F57">
        <w:rPr>
          <w:rFonts w:ascii="Arial" w:hAnsi="Arial" w:cs="Arial"/>
          <w:lang w:val="en-GB"/>
        </w:rPr>
        <w:t xml:space="preserve">Nevertheless, </w:t>
      </w:r>
      <w:r w:rsidR="00F83454">
        <w:rPr>
          <w:rFonts w:ascii="Arial" w:hAnsi="Arial" w:cs="Arial"/>
          <w:lang w:val="en-GB"/>
        </w:rPr>
        <w:t xml:space="preserve">and </w:t>
      </w:r>
      <w:r w:rsidRPr="00EA3C70">
        <w:rPr>
          <w:rFonts w:ascii="Arial" w:hAnsi="Arial" w:cs="Arial"/>
          <w:lang w:val="en-GB"/>
        </w:rPr>
        <w:t>despite being highly correlated</w:t>
      </w:r>
      <w:r>
        <w:rPr>
          <w:rFonts w:ascii="Arial" w:hAnsi="Arial" w:cs="Arial"/>
          <w:lang w:val="en-GB"/>
        </w:rPr>
        <w:t>,</w:t>
      </w:r>
      <w:r w:rsidRPr="00893F57">
        <w:rPr>
          <w:rFonts w:ascii="Arial" w:hAnsi="Arial" w:cs="Arial"/>
          <w:lang w:val="en-GB"/>
        </w:rPr>
        <w:t xml:space="preserve"> serum and </w:t>
      </w:r>
      <w:r w:rsidR="00F83454">
        <w:rPr>
          <w:rFonts w:ascii="Arial" w:hAnsi="Arial" w:cs="Arial"/>
          <w:lang w:val="en-GB"/>
        </w:rPr>
        <w:t>EDTA-</w:t>
      </w:r>
      <w:r w:rsidRPr="00893F57">
        <w:rPr>
          <w:rFonts w:ascii="Arial" w:hAnsi="Arial" w:cs="Arial"/>
          <w:lang w:val="en-GB"/>
        </w:rPr>
        <w:t>plasma samples</w:t>
      </w:r>
      <w:r w:rsidR="00F83454">
        <w:rPr>
          <w:rFonts w:ascii="Arial" w:hAnsi="Arial" w:cs="Arial"/>
          <w:lang w:val="en-GB"/>
        </w:rPr>
        <w:t>,</w:t>
      </w:r>
      <w:r w:rsidRPr="00893F57">
        <w:rPr>
          <w:rFonts w:ascii="Arial" w:hAnsi="Arial" w:cs="Arial"/>
          <w:lang w:val="en-GB"/>
        </w:rPr>
        <w:t xml:space="preserve"> </w:t>
      </w:r>
      <w:r w:rsidR="00F83454">
        <w:rPr>
          <w:rFonts w:ascii="Arial" w:hAnsi="Arial" w:cs="Arial"/>
          <w:lang w:val="en-GB"/>
        </w:rPr>
        <w:t xml:space="preserve">as well as plasma samples </w:t>
      </w:r>
      <w:r w:rsidRPr="00893F57">
        <w:rPr>
          <w:rFonts w:ascii="Arial" w:hAnsi="Arial" w:cs="Arial"/>
          <w:lang w:val="en-GB"/>
        </w:rPr>
        <w:t xml:space="preserve">stored under conditions different from the reference </w:t>
      </w:r>
      <w:r w:rsidR="00F83454">
        <w:rPr>
          <w:rFonts w:ascii="Arial" w:hAnsi="Arial" w:cs="Arial"/>
          <w:lang w:val="en-GB"/>
        </w:rPr>
        <w:t>condition,</w:t>
      </w:r>
      <w:r w:rsidRPr="00893F57">
        <w:rPr>
          <w:rFonts w:ascii="Arial" w:hAnsi="Arial" w:cs="Arial"/>
          <w:lang w:val="en-GB"/>
        </w:rPr>
        <w:t xml:space="preserve"> should not be used interchangeably</w:t>
      </w:r>
      <w:r>
        <w:rPr>
          <w:rFonts w:ascii="Arial" w:hAnsi="Arial" w:cs="Arial"/>
          <w:lang w:val="en-GB"/>
        </w:rPr>
        <w:t xml:space="preserve"> </w:t>
      </w:r>
      <w:r w:rsidR="00893F57" w:rsidRPr="00EA3C70">
        <w:rPr>
          <w:rFonts w:ascii="Arial" w:hAnsi="Arial" w:cs="Arial"/>
          <w:lang w:val="en-GB"/>
        </w:rPr>
        <w:t>because they yield significantly different absolute concentrations</w:t>
      </w:r>
      <w:r>
        <w:rPr>
          <w:rFonts w:ascii="Arial" w:hAnsi="Arial" w:cs="Arial"/>
          <w:lang w:val="en-GB"/>
        </w:rPr>
        <w:t>.</w:t>
      </w:r>
    </w:p>
    <w:p w14:paraId="5B169A03" w14:textId="38532B01" w:rsidR="00456F29" w:rsidRPr="00595AFA" w:rsidRDefault="00614777" w:rsidP="00080C26">
      <w:pPr>
        <w:spacing w:line="480" w:lineRule="auto"/>
        <w:jc w:val="both"/>
        <w:rPr>
          <w:rFonts w:ascii="Arial" w:hAnsi="Arial" w:cs="Arial"/>
          <w:color w:val="0070C0"/>
          <w:lang w:val="en-GB"/>
        </w:rPr>
      </w:pPr>
      <w:r w:rsidRPr="00A67C3E">
        <w:rPr>
          <w:rFonts w:ascii="Arial" w:hAnsi="Arial" w:cs="Arial"/>
          <w:lang w:val="en-GB"/>
        </w:rPr>
        <w:lastRenderedPageBreak/>
        <w:t xml:space="preserve">A </w:t>
      </w:r>
      <w:r w:rsidR="00C34973" w:rsidRPr="00A67C3E">
        <w:rPr>
          <w:rFonts w:ascii="Arial" w:hAnsi="Arial" w:cs="Arial"/>
          <w:lang w:val="en-GB"/>
        </w:rPr>
        <w:t>significant</w:t>
      </w:r>
      <w:r w:rsidRPr="00A67C3E">
        <w:rPr>
          <w:rFonts w:ascii="Arial" w:hAnsi="Arial" w:cs="Arial"/>
          <w:lang w:val="en-GB"/>
        </w:rPr>
        <w:t xml:space="preserve"> strength of our study is </w:t>
      </w:r>
      <w:r w:rsidR="00794390" w:rsidRPr="00A67C3E">
        <w:rPr>
          <w:rFonts w:ascii="Arial" w:hAnsi="Arial" w:cs="Arial"/>
          <w:lang w:val="en-GB"/>
        </w:rPr>
        <w:t xml:space="preserve">the standardization of the pre-analytical </w:t>
      </w:r>
      <w:r w:rsidR="00C34973" w:rsidRPr="00A67C3E">
        <w:rPr>
          <w:rFonts w:ascii="Arial" w:hAnsi="Arial" w:cs="Arial"/>
          <w:lang w:val="en-GB"/>
        </w:rPr>
        <w:t>methodology</w:t>
      </w:r>
      <w:r w:rsidR="00794390" w:rsidRPr="00A67C3E">
        <w:rPr>
          <w:rFonts w:ascii="Arial" w:hAnsi="Arial" w:cs="Arial"/>
          <w:lang w:val="en-GB"/>
        </w:rPr>
        <w:t xml:space="preserve"> </w:t>
      </w:r>
      <w:r w:rsidRPr="00A67C3E">
        <w:rPr>
          <w:rFonts w:ascii="Arial" w:hAnsi="Arial" w:cs="Arial"/>
          <w:lang w:val="en-GB"/>
        </w:rPr>
        <w:t>except for the variable of interest</w:t>
      </w:r>
      <w:r w:rsidR="00794390" w:rsidRPr="00A67C3E">
        <w:rPr>
          <w:rFonts w:ascii="Arial" w:hAnsi="Arial" w:cs="Arial"/>
          <w:lang w:val="en-GB"/>
        </w:rPr>
        <w:t xml:space="preserve">. This included using a completely automated platform and the same batch of </w:t>
      </w:r>
      <w:proofErr w:type="spellStart"/>
      <w:r w:rsidR="00794390" w:rsidRPr="00A67C3E">
        <w:rPr>
          <w:rFonts w:ascii="Arial" w:hAnsi="Arial" w:cs="Arial"/>
          <w:lang w:val="en-GB"/>
        </w:rPr>
        <w:t>Lumipulse</w:t>
      </w:r>
      <w:proofErr w:type="spellEnd"/>
      <w:r w:rsidR="00794390" w:rsidRPr="00A67C3E">
        <w:rPr>
          <w:rFonts w:ascii="Arial" w:hAnsi="Arial" w:cs="Arial"/>
          <w:lang w:val="en-GB"/>
        </w:rPr>
        <w:t xml:space="preserve"> reagents throughout the study. </w:t>
      </w:r>
      <w:r w:rsidR="00672D9C">
        <w:rPr>
          <w:rFonts w:ascii="Arial" w:hAnsi="Arial" w:cs="Arial"/>
          <w:lang w:val="en-GB"/>
        </w:rPr>
        <w:t xml:space="preserve">To our knowledge this is the </w:t>
      </w:r>
      <w:r w:rsidR="00B431FF">
        <w:rPr>
          <w:rFonts w:ascii="Arial" w:hAnsi="Arial" w:cs="Arial"/>
          <w:lang w:val="en-GB"/>
        </w:rPr>
        <w:t>largest</w:t>
      </w:r>
      <w:r w:rsidR="00672D9C">
        <w:rPr>
          <w:rFonts w:ascii="Arial" w:hAnsi="Arial" w:cs="Arial"/>
          <w:lang w:val="en-GB"/>
        </w:rPr>
        <w:t xml:space="preserve"> study to assess </w:t>
      </w:r>
      <w:r w:rsidR="00752B04">
        <w:rPr>
          <w:rFonts w:ascii="Arial" w:hAnsi="Arial" w:cs="Arial"/>
          <w:lang w:val="en-GB"/>
        </w:rPr>
        <w:t>the effect of storage conditions</w:t>
      </w:r>
      <w:r w:rsidR="00590425">
        <w:rPr>
          <w:rFonts w:ascii="Arial" w:hAnsi="Arial" w:cs="Arial"/>
          <w:lang w:val="en-GB"/>
        </w:rPr>
        <w:t xml:space="preserve"> in plasma measures on this automated analytical platform. </w:t>
      </w:r>
      <w:r w:rsidR="00794390" w:rsidRPr="00595AFA">
        <w:rPr>
          <w:rFonts w:ascii="Arial" w:hAnsi="Arial" w:cs="Arial"/>
          <w:lang w:val="en-GB"/>
        </w:rPr>
        <w:t xml:space="preserve">The stability evaluation was also carried out on samples obtained </w:t>
      </w:r>
      <w:r w:rsidR="0042321A">
        <w:rPr>
          <w:rFonts w:ascii="Arial" w:hAnsi="Arial" w:cs="Arial"/>
          <w:lang w:val="en-GB"/>
        </w:rPr>
        <w:t xml:space="preserve">from </w:t>
      </w:r>
      <w:r w:rsidR="00D73185" w:rsidRPr="001E155A">
        <w:rPr>
          <w:rFonts w:ascii="Arial" w:hAnsi="Arial" w:cs="Arial"/>
          <w:lang w:val="en-GB"/>
        </w:rPr>
        <w:t xml:space="preserve">consecutive </w:t>
      </w:r>
      <w:r w:rsidR="0042321A">
        <w:rPr>
          <w:rFonts w:ascii="Arial" w:hAnsi="Arial" w:cs="Arial"/>
          <w:lang w:val="en-GB"/>
        </w:rPr>
        <w:t>patients</w:t>
      </w:r>
      <w:r w:rsidR="00CB4F03">
        <w:rPr>
          <w:rFonts w:ascii="Arial" w:hAnsi="Arial" w:cs="Arial"/>
          <w:lang w:val="en-GB"/>
        </w:rPr>
        <w:t xml:space="preserve"> in their</w:t>
      </w:r>
      <w:r w:rsidR="0042321A" w:rsidRPr="00595AFA">
        <w:rPr>
          <w:rFonts w:ascii="Arial" w:hAnsi="Arial" w:cs="Arial"/>
          <w:lang w:val="en-GB"/>
        </w:rPr>
        <w:t xml:space="preserve"> </w:t>
      </w:r>
      <w:r w:rsidR="00794390" w:rsidRPr="00595AFA">
        <w:rPr>
          <w:rFonts w:ascii="Arial" w:hAnsi="Arial" w:cs="Arial"/>
          <w:lang w:val="en-GB"/>
        </w:rPr>
        <w:t>diagnostic evaluation</w:t>
      </w:r>
      <w:r w:rsidR="00CB4F03">
        <w:rPr>
          <w:rFonts w:ascii="Arial" w:hAnsi="Arial" w:cs="Arial"/>
          <w:lang w:val="en-GB"/>
        </w:rPr>
        <w:t xml:space="preserve"> in a memory clinic</w:t>
      </w:r>
      <w:r w:rsidR="00794390" w:rsidRPr="00595AFA">
        <w:rPr>
          <w:rFonts w:ascii="Arial" w:hAnsi="Arial" w:cs="Arial"/>
          <w:lang w:val="en-GB"/>
        </w:rPr>
        <w:t>, thereby avoiding potential selection biases and covering the range of measurements commonly found in clinical settings.</w:t>
      </w:r>
      <w:r w:rsidR="0031452A" w:rsidRPr="00595AFA">
        <w:rPr>
          <w:rFonts w:ascii="Arial" w:hAnsi="Arial" w:cs="Arial"/>
          <w:lang w:val="en-GB"/>
        </w:rPr>
        <w:t xml:space="preserve"> </w:t>
      </w:r>
      <w:r w:rsidR="001D5F0B" w:rsidRPr="00595AFA">
        <w:rPr>
          <w:rFonts w:ascii="Arial" w:hAnsi="Arial" w:cs="Arial"/>
          <w:lang w:val="en-GB"/>
        </w:rPr>
        <w:t xml:space="preserve">For the </w:t>
      </w:r>
      <w:r w:rsidR="009A5ECF">
        <w:rPr>
          <w:rFonts w:ascii="Arial" w:hAnsi="Arial" w:cs="Arial"/>
          <w:lang w:val="en-GB"/>
        </w:rPr>
        <w:t>EDTA-</w:t>
      </w:r>
      <w:r w:rsidR="001D5F0B" w:rsidRPr="00595AFA">
        <w:rPr>
          <w:rFonts w:ascii="Arial" w:hAnsi="Arial" w:cs="Arial"/>
          <w:lang w:val="en-GB"/>
        </w:rPr>
        <w:t>plasma</w:t>
      </w:r>
      <w:r w:rsidR="009A5ECF">
        <w:rPr>
          <w:rFonts w:ascii="Arial" w:hAnsi="Arial" w:cs="Arial"/>
          <w:lang w:val="en-GB"/>
        </w:rPr>
        <w:t xml:space="preserve"> vs. </w:t>
      </w:r>
      <w:r w:rsidR="001D5F0B" w:rsidRPr="00595AFA">
        <w:rPr>
          <w:rFonts w:ascii="Arial" w:hAnsi="Arial" w:cs="Arial"/>
          <w:lang w:val="en-GB"/>
        </w:rPr>
        <w:t xml:space="preserve">serum comparison, patient selection was performed based on gender equity. Also, and to our knowledge, the </w:t>
      </w:r>
      <w:r w:rsidR="007317EB">
        <w:rPr>
          <w:rFonts w:ascii="Arial" w:hAnsi="Arial" w:cs="Arial"/>
          <w:lang w:val="en-GB"/>
        </w:rPr>
        <w:t>EDTA-</w:t>
      </w:r>
      <w:r w:rsidR="001D5F0B" w:rsidRPr="00595AFA">
        <w:rPr>
          <w:rFonts w:ascii="Arial" w:hAnsi="Arial" w:cs="Arial"/>
          <w:lang w:val="en-GB"/>
        </w:rPr>
        <w:t>plasma</w:t>
      </w:r>
      <w:r w:rsidR="007317EB">
        <w:rPr>
          <w:rFonts w:ascii="Arial" w:hAnsi="Arial" w:cs="Arial"/>
          <w:lang w:val="en-GB"/>
        </w:rPr>
        <w:t xml:space="preserve"> vs. </w:t>
      </w:r>
      <w:r w:rsidR="001D5F0B" w:rsidRPr="00595AFA">
        <w:rPr>
          <w:rFonts w:ascii="Arial" w:hAnsi="Arial" w:cs="Arial"/>
          <w:lang w:val="en-GB"/>
        </w:rPr>
        <w:t xml:space="preserve">serum comparison represents the largest work addressing this issue. Some limitations should also be acknowledged, </w:t>
      </w:r>
      <w:r w:rsidR="0031452A" w:rsidRPr="00595AFA">
        <w:rPr>
          <w:rFonts w:ascii="Arial" w:hAnsi="Arial" w:cs="Arial"/>
          <w:lang w:val="en-GB"/>
        </w:rPr>
        <w:t>the most important of which is that the impact of the conditions tested may be dependent on brain pathology, and our study was not large enough to perform stratified analysis.</w:t>
      </w:r>
      <w:r w:rsidR="000F7D2A">
        <w:rPr>
          <w:rFonts w:ascii="Arial" w:hAnsi="Arial" w:cs="Arial"/>
          <w:lang w:val="en-GB"/>
        </w:rPr>
        <w:t xml:space="preserve"> Also, </w:t>
      </w:r>
      <w:r w:rsidR="00482A61">
        <w:rPr>
          <w:rFonts w:ascii="Arial" w:hAnsi="Arial" w:cs="Arial"/>
          <w:lang w:val="en-GB"/>
        </w:rPr>
        <w:t xml:space="preserve">and </w:t>
      </w:r>
      <w:r w:rsidR="003568EA">
        <w:rPr>
          <w:rFonts w:ascii="Arial" w:hAnsi="Arial" w:cs="Arial"/>
          <w:lang w:val="en-GB"/>
        </w:rPr>
        <w:t xml:space="preserve">due to the design of the study, samples obtained from the same patient had to be </w:t>
      </w:r>
      <w:r w:rsidR="00595AFA">
        <w:rPr>
          <w:rFonts w:ascii="Arial" w:hAnsi="Arial" w:cs="Arial"/>
          <w:lang w:val="en-GB"/>
        </w:rPr>
        <w:t>analysed</w:t>
      </w:r>
      <w:r w:rsidR="003568EA">
        <w:rPr>
          <w:rFonts w:ascii="Arial" w:hAnsi="Arial" w:cs="Arial"/>
          <w:lang w:val="en-GB"/>
        </w:rPr>
        <w:t xml:space="preserve"> in different days</w:t>
      </w:r>
      <w:r w:rsidR="00324525">
        <w:rPr>
          <w:rFonts w:ascii="Arial" w:hAnsi="Arial" w:cs="Arial"/>
          <w:lang w:val="en-GB"/>
        </w:rPr>
        <w:t>,</w:t>
      </w:r>
      <w:r w:rsidR="00324525" w:rsidRPr="00324525">
        <w:rPr>
          <w:rFonts w:ascii="Arial" w:hAnsi="Arial" w:cs="Arial"/>
          <w:lang w:val="en-GB"/>
        </w:rPr>
        <w:t xml:space="preserve"> </w:t>
      </w:r>
      <w:r w:rsidR="00324525">
        <w:rPr>
          <w:rFonts w:ascii="Arial" w:hAnsi="Arial" w:cs="Arial"/>
          <w:lang w:val="en-GB"/>
        </w:rPr>
        <w:t>however inter-assay CV was calculated to understand the impact on the current results.</w:t>
      </w:r>
    </w:p>
    <w:p w14:paraId="595B3496" w14:textId="0551D75F" w:rsidR="00C63277" w:rsidRPr="00595AFA" w:rsidRDefault="00033947" w:rsidP="00E423DC">
      <w:pPr>
        <w:pStyle w:val="Pargrafdellista"/>
        <w:numPr>
          <w:ilvl w:val="0"/>
          <w:numId w:val="1"/>
        </w:numPr>
        <w:spacing w:line="480" w:lineRule="auto"/>
        <w:jc w:val="both"/>
        <w:rPr>
          <w:rFonts w:ascii="Arial" w:hAnsi="Arial" w:cs="Arial"/>
          <w:b/>
          <w:lang w:val="en-GB"/>
        </w:rPr>
      </w:pPr>
      <w:r w:rsidRPr="00595AFA">
        <w:rPr>
          <w:rFonts w:ascii="Arial" w:hAnsi="Arial" w:cs="Arial"/>
          <w:b/>
          <w:lang w:val="en-GB"/>
        </w:rPr>
        <w:t>Conclusion</w:t>
      </w:r>
    </w:p>
    <w:p w14:paraId="59D7DFF9" w14:textId="3A213800" w:rsidR="00080C26" w:rsidRDefault="00080C26" w:rsidP="00080C26">
      <w:pPr>
        <w:spacing w:after="160" w:line="480" w:lineRule="auto"/>
        <w:jc w:val="both"/>
        <w:rPr>
          <w:rFonts w:ascii="Arial" w:hAnsi="Arial" w:cs="Arial"/>
          <w:shd w:val="clear" w:color="auto" w:fill="FFFFFF"/>
          <w:lang w:val="en-GB"/>
        </w:rPr>
      </w:pPr>
      <w:r w:rsidRPr="00595AFA">
        <w:rPr>
          <w:rFonts w:ascii="Arial" w:hAnsi="Arial" w:cs="Arial"/>
          <w:shd w:val="clear" w:color="auto" w:fill="FFFFFF"/>
          <w:lang w:val="en-GB"/>
        </w:rPr>
        <w:t xml:space="preserve">The importance of early detection and treatment in limiting </w:t>
      </w:r>
      <w:r w:rsidR="00324525">
        <w:rPr>
          <w:rFonts w:ascii="Arial" w:hAnsi="Arial" w:cs="Arial"/>
          <w:shd w:val="clear" w:color="auto" w:fill="FFFFFF"/>
          <w:lang w:val="en-GB"/>
        </w:rPr>
        <w:t xml:space="preserve">the </w:t>
      </w:r>
      <w:r w:rsidRPr="00595AFA">
        <w:rPr>
          <w:rFonts w:ascii="Arial" w:hAnsi="Arial" w:cs="Arial"/>
          <w:shd w:val="clear" w:color="auto" w:fill="FFFFFF"/>
          <w:lang w:val="en-GB"/>
        </w:rPr>
        <w:t xml:space="preserve">impact </w:t>
      </w:r>
      <w:r w:rsidR="00324525">
        <w:rPr>
          <w:rFonts w:ascii="Arial" w:hAnsi="Arial" w:cs="Arial"/>
          <w:shd w:val="clear" w:color="auto" w:fill="FFFFFF"/>
          <w:lang w:val="en-GB"/>
        </w:rPr>
        <w:t xml:space="preserve">of AD </w:t>
      </w:r>
      <w:r w:rsidRPr="00595AFA">
        <w:rPr>
          <w:rFonts w:ascii="Arial" w:hAnsi="Arial" w:cs="Arial"/>
          <w:shd w:val="clear" w:color="auto" w:fill="FFFFFF"/>
          <w:lang w:val="en-GB"/>
        </w:rPr>
        <w:t xml:space="preserve">is critical. Our findings provide </w:t>
      </w:r>
      <w:r w:rsidR="00636343">
        <w:rPr>
          <w:rFonts w:ascii="Arial" w:hAnsi="Arial" w:cs="Arial"/>
          <w:shd w:val="clear" w:color="auto" w:fill="FFFFFF"/>
          <w:lang w:val="en-GB"/>
        </w:rPr>
        <w:t xml:space="preserve">relevant information </w:t>
      </w:r>
      <w:r w:rsidR="002515CD">
        <w:rPr>
          <w:rFonts w:ascii="Arial" w:hAnsi="Arial" w:cs="Arial"/>
          <w:shd w:val="clear" w:color="auto" w:fill="FFFFFF"/>
          <w:lang w:val="en-GB"/>
        </w:rPr>
        <w:t xml:space="preserve">for </w:t>
      </w:r>
      <w:r w:rsidR="009577A0">
        <w:rPr>
          <w:rFonts w:ascii="Arial" w:hAnsi="Arial" w:cs="Arial"/>
          <w:shd w:val="clear" w:color="auto" w:fill="FFFFFF"/>
          <w:lang w:val="en-GB"/>
        </w:rPr>
        <w:t xml:space="preserve">the </w:t>
      </w:r>
      <w:r w:rsidRPr="00595AFA">
        <w:rPr>
          <w:rFonts w:ascii="Arial" w:hAnsi="Arial" w:cs="Arial"/>
          <w:shd w:val="clear" w:color="auto" w:fill="FFFFFF"/>
          <w:lang w:val="en-GB"/>
        </w:rPr>
        <w:t>standardiz</w:t>
      </w:r>
      <w:r w:rsidR="009577A0">
        <w:rPr>
          <w:rFonts w:ascii="Arial" w:hAnsi="Arial" w:cs="Arial"/>
          <w:shd w:val="clear" w:color="auto" w:fill="FFFFFF"/>
          <w:lang w:val="en-GB"/>
        </w:rPr>
        <w:t>ation of</w:t>
      </w:r>
      <w:r w:rsidRPr="00595AFA">
        <w:rPr>
          <w:rFonts w:ascii="Arial" w:hAnsi="Arial" w:cs="Arial"/>
          <w:shd w:val="clear" w:color="auto" w:fill="FFFFFF"/>
          <w:lang w:val="en-GB"/>
        </w:rPr>
        <w:t xml:space="preserve"> sample collection</w:t>
      </w:r>
      <w:r w:rsidR="0036700B" w:rsidRPr="00595AFA">
        <w:rPr>
          <w:rFonts w:ascii="Arial" w:hAnsi="Arial" w:cs="Arial"/>
          <w:shd w:val="clear" w:color="auto" w:fill="FFFFFF"/>
          <w:lang w:val="en-GB"/>
        </w:rPr>
        <w:t xml:space="preserve"> </w:t>
      </w:r>
      <w:r w:rsidRPr="00595AFA">
        <w:rPr>
          <w:rFonts w:ascii="Arial" w:hAnsi="Arial" w:cs="Arial"/>
          <w:shd w:val="clear" w:color="auto" w:fill="FFFFFF"/>
          <w:lang w:val="en-GB"/>
        </w:rPr>
        <w:t>and storage</w:t>
      </w:r>
      <w:r w:rsidR="001A6030">
        <w:rPr>
          <w:rFonts w:ascii="Arial" w:hAnsi="Arial" w:cs="Arial"/>
          <w:shd w:val="clear" w:color="auto" w:fill="FFFFFF"/>
          <w:lang w:val="en-GB"/>
        </w:rPr>
        <w:t xml:space="preserve"> </w:t>
      </w:r>
      <w:r w:rsidR="001365E7">
        <w:rPr>
          <w:rFonts w:ascii="Arial" w:hAnsi="Arial" w:cs="Arial"/>
          <w:shd w:val="clear" w:color="auto" w:fill="FFFFFF"/>
          <w:lang w:val="en-GB"/>
        </w:rPr>
        <w:t>in</w:t>
      </w:r>
      <w:r w:rsidR="001A6030">
        <w:rPr>
          <w:rFonts w:ascii="Arial" w:hAnsi="Arial" w:cs="Arial"/>
          <w:shd w:val="clear" w:color="auto" w:fill="FFFFFF"/>
          <w:lang w:val="en-GB"/>
        </w:rPr>
        <w:t xml:space="preserve"> the analysis of AD blood</w:t>
      </w:r>
      <w:r w:rsidR="00324525">
        <w:rPr>
          <w:rFonts w:ascii="Arial" w:hAnsi="Arial" w:cs="Arial"/>
          <w:shd w:val="clear" w:color="auto" w:fill="FFFFFF"/>
          <w:lang w:val="en-GB"/>
        </w:rPr>
        <w:t>-based</w:t>
      </w:r>
      <w:r w:rsidR="001A6030">
        <w:rPr>
          <w:rFonts w:ascii="Arial" w:hAnsi="Arial" w:cs="Arial"/>
          <w:shd w:val="clear" w:color="auto" w:fill="FFFFFF"/>
          <w:lang w:val="en-GB"/>
        </w:rPr>
        <w:t xml:space="preserve"> markers</w:t>
      </w:r>
      <w:r w:rsidR="00926FC6">
        <w:rPr>
          <w:rFonts w:ascii="Arial" w:hAnsi="Arial" w:cs="Arial"/>
          <w:shd w:val="clear" w:color="auto" w:fill="FFFFFF"/>
          <w:lang w:val="en-GB"/>
        </w:rPr>
        <w:t xml:space="preserve"> in an automated platform</w:t>
      </w:r>
      <w:r w:rsidR="001365E7">
        <w:rPr>
          <w:rFonts w:ascii="Arial" w:hAnsi="Arial" w:cs="Arial"/>
          <w:shd w:val="clear" w:color="auto" w:fill="FFFFFF"/>
          <w:lang w:val="en-GB"/>
        </w:rPr>
        <w:t>. This knowledge is</w:t>
      </w:r>
      <w:r w:rsidR="002515CD">
        <w:rPr>
          <w:rFonts w:ascii="Arial" w:hAnsi="Arial" w:cs="Arial"/>
          <w:shd w:val="clear" w:color="auto" w:fill="FFFFFF"/>
          <w:lang w:val="en-GB"/>
        </w:rPr>
        <w:t xml:space="preserve"> crucial </w:t>
      </w:r>
      <w:r w:rsidR="001365E7">
        <w:rPr>
          <w:rFonts w:ascii="Arial" w:hAnsi="Arial" w:cs="Arial"/>
          <w:shd w:val="clear" w:color="auto" w:fill="FFFFFF"/>
          <w:lang w:val="en-GB"/>
        </w:rPr>
        <w:t xml:space="preserve">to </w:t>
      </w:r>
      <w:r w:rsidR="00A317ED">
        <w:rPr>
          <w:rFonts w:ascii="Arial" w:hAnsi="Arial" w:cs="Arial"/>
          <w:shd w:val="clear" w:color="auto" w:fill="FFFFFF"/>
          <w:lang w:val="en-GB"/>
        </w:rPr>
        <w:t>ensure</w:t>
      </w:r>
      <w:r w:rsidR="001E7AE8">
        <w:rPr>
          <w:rFonts w:ascii="Arial" w:hAnsi="Arial" w:cs="Arial"/>
          <w:shd w:val="clear" w:color="auto" w:fill="FFFFFF"/>
          <w:lang w:val="en-GB"/>
        </w:rPr>
        <w:t xml:space="preserve"> their </w:t>
      </w:r>
      <w:r w:rsidR="0036700B" w:rsidRPr="00595AFA">
        <w:rPr>
          <w:rFonts w:ascii="Arial" w:hAnsi="Arial" w:cs="Arial"/>
          <w:shd w:val="clear" w:color="auto" w:fill="FFFFFF"/>
          <w:lang w:val="en-GB"/>
        </w:rPr>
        <w:t>introduction into clinical settings.</w:t>
      </w:r>
    </w:p>
    <w:p w14:paraId="0F8917E9" w14:textId="77777777" w:rsidR="002A1C88" w:rsidRDefault="002A1C88">
      <w:pPr>
        <w:spacing w:after="160" w:line="259" w:lineRule="auto"/>
        <w:rPr>
          <w:rFonts w:ascii="Arial" w:hAnsi="Arial" w:cs="Arial"/>
          <w:b/>
          <w:lang w:val="en-US"/>
        </w:rPr>
      </w:pPr>
      <w:r>
        <w:rPr>
          <w:rFonts w:ascii="Arial" w:hAnsi="Arial" w:cs="Arial"/>
          <w:b/>
          <w:lang w:val="en-US"/>
        </w:rPr>
        <w:br w:type="page"/>
      </w:r>
    </w:p>
    <w:p w14:paraId="0345E7CC" w14:textId="6E24A98A" w:rsidR="002A1C88" w:rsidRPr="00E93C66" w:rsidRDefault="002A1C88" w:rsidP="002A1C88">
      <w:pPr>
        <w:spacing w:line="480" w:lineRule="auto"/>
        <w:rPr>
          <w:rFonts w:ascii="Arial" w:hAnsi="Arial" w:cs="Arial"/>
          <w:b/>
          <w:lang w:val="en-US"/>
        </w:rPr>
      </w:pPr>
      <w:commentRangeStart w:id="3"/>
      <w:r w:rsidRPr="00E93C66">
        <w:rPr>
          <w:rFonts w:ascii="Arial" w:hAnsi="Arial" w:cs="Arial"/>
          <w:b/>
          <w:lang w:val="en-US"/>
        </w:rPr>
        <w:lastRenderedPageBreak/>
        <w:t>Acknowledgements</w:t>
      </w:r>
      <w:commentRangeEnd w:id="3"/>
      <w:r w:rsidR="00B13F5F">
        <w:rPr>
          <w:rStyle w:val="Refernciadecomentari"/>
        </w:rPr>
        <w:commentReference w:id="3"/>
      </w:r>
    </w:p>
    <w:p w14:paraId="2BDA3B60" w14:textId="77777777" w:rsidR="002A1C88" w:rsidRPr="00E93C66" w:rsidRDefault="002A1C88" w:rsidP="002A1C88">
      <w:pPr>
        <w:spacing w:line="480" w:lineRule="auto"/>
        <w:jc w:val="both"/>
        <w:rPr>
          <w:rFonts w:ascii="Arial" w:hAnsi="Arial" w:cs="Arial"/>
          <w:lang w:val="en-US"/>
        </w:rPr>
      </w:pPr>
      <w:r w:rsidRPr="00E93C66">
        <w:rPr>
          <w:rFonts w:ascii="Arial" w:hAnsi="Arial" w:cs="Arial"/>
          <w:lang w:val="en-US"/>
        </w:rPr>
        <w:t xml:space="preserve">We thank all the participants of this study and all the members of the clinical and biochemical teams involved in the study. This work was supported by CIBERDEM and CIBERNED and Instituto de </w:t>
      </w:r>
      <w:proofErr w:type="spellStart"/>
      <w:r w:rsidRPr="00E93C66">
        <w:rPr>
          <w:rFonts w:ascii="Arial" w:hAnsi="Arial" w:cs="Arial"/>
          <w:lang w:val="en-US"/>
        </w:rPr>
        <w:t>Salud</w:t>
      </w:r>
      <w:proofErr w:type="spellEnd"/>
      <w:r w:rsidRPr="00E93C66">
        <w:rPr>
          <w:rFonts w:ascii="Arial" w:hAnsi="Arial" w:cs="Arial"/>
          <w:lang w:val="en-US"/>
        </w:rPr>
        <w:t xml:space="preserve"> Carlos III (PI21/00140 to FB-V and MT, </w:t>
      </w:r>
      <w:r w:rsidRPr="00E93C66">
        <w:rPr>
          <w:rFonts w:ascii="Arial" w:hAnsi="Arial" w:cs="Arial"/>
          <w:lang w:val="en-GB"/>
        </w:rPr>
        <w:t xml:space="preserve">PI18/00435 and INT19/00016 to DA, PI17/01896 and </w:t>
      </w:r>
      <w:r w:rsidRPr="00E93C66">
        <w:rPr>
          <w:rFonts w:ascii="Arial" w:hAnsi="Arial" w:cs="Arial"/>
        </w:rPr>
        <w:t xml:space="preserve">AC19/00103 </w:t>
      </w:r>
      <w:r w:rsidRPr="00E93C66">
        <w:rPr>
          <w:rFonts w:ascii="Arial" w:hAnsi="Arial" w:cs="Arial"/>
          <w:lang w:val="en-GB"/>
        </w:rPr>
        <w:t xml:space="preserve">to AL), </w:t>
      </w:r>
      <w:r w:rsidRPr="00E93C66">
        <w:rPr>
          <w:rFonts w:ascii="Arial" w:hAnsi="Arial" w:cs="Arial"/>
          <w:lang w:val="en-US"/>
        </w:rPr>
        <w:t xml:space="preserve">funded by </w:t>
      </w:r>
      <w:proofErr w:type="spellStart"/>
      <w:r w:rsidRPr="00E93C66">
        <w:rPr>
          <w:rFonts w:ascii="Arial" w:hAnsi="Arial" w:cs="Arial"/>
          <w:lang w:val="en-US"/>
        </w:rPr>
        <w:t>Fondo</w:t>
      </w:r>
      <w:proofErr w:type="spellEnd"/>
      <w:r w:rsidRPr="00E93C66">
        <w:rPr>
          <w:rFonts w:ascii="Arial" w:hAnsi="Arial" w:cs="Arial"/>
          <w:lang w:val="en-US"/>
        </w:rPr>
        <w:t xml:space="preserve"> </w:t>
      </w:r>
      <w:proofErr w:type="spellStart"/>
      <w:r w:rsidRPr="00E93C66">
        <w:rPr>
          <w:rFonts w:ascii="Arial" w:hAnsi="Arial" w:cs="Arial"/>
          <w:lang w:val="en-US"/>
        </w:rPr>
        <w:t>Europeo</w:t>
      </w:r>
      <w:proofErr w:type="spellEnd"/>
      <w:r w:rsidRPr="00E93C66">
        <w:rPr>
          <w:rFonts w:ascii="Arial" w:hAnsi="Arial" w:cs="Arial"/>
          <w:lang w:val="en-US"/>
        </w:rPr>
        <w:t xml:space="preserve"> de Desarrollo Regional (FEDER), Unión </w:t>
      </w:r>
      <w:proofErr w:type="spellStart"/>
      <w:r w:rsidRPr="00E93C66">
        <w:rPr>
          <w:rFonts w:ascii="Arial" w:hAnsi="Arial" w:cs="Arial"/>
          <w:lang w:val="en-US"/>
        </w:rPr>
        <w:t>Europea</w:t>
      </w:r>
      <w:proofErr w:type="spellEnd"/>
      <w:r w:rsidRPr="00E93C66">
        <w:rPr>
          <w:rFonts w:ascii="Arial" w:hAnsi="Arial" w:cs="Arial"/>
          <w:lang w:val="en-US"/>
        </w:rPr>
        <w:t xml:space="preserve">, “Una </w:t>
      </w:r>
      <w:proofErr w:type="spellStart"/>
      <w:r w:rsidRPr="00E93C66">
        <w:rPr>
          <w:rFonts w:ascii="Arial" w:hAnsi="Arial" w:cs="Arial"/>
          <w:lang w:val="en-US"/>
        </w:rPr>
        <w:t>manera</w:t>
      </w:r>
      <w:proofErr w:type="spellEnd"/>
      <w:r w:rsidRPr="00E93C66">
        <w:rPr>
          <w:rFonts w:ascii="Arial" w:hAnsi="Arial" w:cs="Arial"/>
          <w:lang w:val="en-US"/>
        </w:rPr>
        <w:t xml:space="preserve"> de </w:t>
      </w:r>
      <w:proofErr w:type="spellStart"/>
      <w:r w:rsidRPr="00E93C66">
        <w:rPr>
          <w:rFonts w:ascii="Arial" w:hAnsi="Arial" w:cs="Arial"/>
          <w:lang w:val="en-US"/>
        </w:rPr>
        <w:t>hacer</w:t>
      </w:r>
      <w:proofErr w:type="spellEnd"/>
      <w:r w:rsidRPr="00E93C66">
        <w:rPr>
          <w:rFonts w:ascii="Arial" w:hAnsi="Arial" w:cs="Arial"/>
          <w:lang w:val="en-US"/>
        </w:rPr>
        <w:t xml:space="preserve"> Europa”. </w:t>
      </w:r>
      <w:proofErr w:type="spellStart"/>
      <w:r w:rsidRPr="00E93C66">
        <w:rPr>
          <w:rFonts w:ascii="Arial" w:hAnsi="Arial" w:cs="Arial"/>
        </w:rPr>
        <w:t>This</w:t>
      </w:r>
      <w:proofErr w:type="spellEnd"/>
      <w:r w:rsidRPr="00E93C66">
        <w:rPr>
          <w:rFonts w:ascii="Arial" w:hAnsi="Arial" w:cs="Arial"/>
        </w:rPr>
        <w:t xml:space="preserve"> </w:t>
      </w:r>
      <w:proofErr w:type="spellStart"/>
      <w:r w:rsidRPr="00E93C66">
        <w:rPr>
          <w:rFonts w:ascii="Arial" w:hAnsi="Arial" w:cs="Arial"/>
        </w:rPr>
        <w:t>work</w:t>
      </w:r>
      <w:proofErr w:type="spellEnd"/>
      <w:r w:rsidRPr="00E93C66">
        <w:rPr>
          <w:rFonts w:ascii="Arial" w:hAnsi="Arial" w:cs="Arial"/>
        </w:rPr>
        <w:t xml:space="preserve"> </w:t>
      </w:r>
      <w:proofErr w:type="spellStart"/>
      <w:r w:rsidRPr="00E93C66">
        <w:rPr>
          <w:rFonts w:ascii="Arial" w:hAnsi="Arial" w:cs="Arial"/>
        </w:rPr>
        <w:t>was</w:t>
      </w:r>
      <w:proofErr w:type="spellEnd"/>
      <w:r w:rsidRPr="00E93C66">
        <w:rPr>
          <w:rFonts w:ascii="Arial" w:hAnsi="Arial" w:cs="Arial"/>
        </w:rPr>
        <w:t xml:space="preserve"> </w:t>
      </w:r>
      <w:proofErr w:type="spellStart"/>
      <w:r w:rsidRPr="00E93C66">
        <w:rPr>
          <w:rFonts w:ascii="Arial" w:hAnsi="Arial" w:cs="Arial"/>
        </w:rPr>
        <w:t>also</w:t>
      </w:r>
      <w:proofErr w:type="spellEnd"/>
      <w:r w:rsidRPr="00E93C66">
        <w:rPr>
          <w:rFonts w:ascii="Arial" w:hAnsi="Arial" w:cs="Arial"/>
        </w:rPr>
        <w:t xml:space="preserve"> </w:t>
      </w:r>
      <w:proofErr w:type="spellStart"/>
      <w:r w:rsidRPr="00E93C66">
        <w:rPr>
          <w:rFonts w:ascii="Arial" w:hAnsi="Arial" w:cs="Arial"/>
        </w:rPr>
        <w:t>supported</w:t>
      </w:r>
      <w:proofErr w:type="spellEnd"/>
      <w:r w:rsidRPr="00E93C66">
        <w:rPr>
          <w:rFonts w:ascii="Arial" w:hAnsi="Arial" w:cs="Arial"/>
        </w:rPr>
        <w:t xml:space="preserve"> </w:t>
      </w:r>
      <w:proofErr w:type="spellStart"/>
      <w:r w:rsidRPr="00E93C66">
        <w:rPr>
          <w:rFonts w:ascii="Arial" w:hAnsi="Arial" w:cs="Arial"/>
        </w:rPr>
        <w:t>by</w:t>
      </w:r>
      <w:proofErr w:type="spellEnd"/>
      <w:r w:rsidRPr="00E93C66">
        <w:rPr>
          <w:rFonts w:ascii="Arial" w:hAnsi="Arial" w:cs="Arial"/>
        </w:rPr>
        <w:t xml:space="preserve"> Generalitat de Catalunya (2017-SGR-547, SLT006/17/125 to DA, SLT002/16/408 to AL) </w:t>
      </w:r>
      <w:proofErr w:type="spellStart"/>
      <w:r w:rsidRPr="00E93C66">
        <w:rPr>
          <w:rFonts w:ascii="Arial" w:hAnsi="Arial" w:cs="Arial"/>
        </w:rPr>
        <w:t>and</w:t>
      </w:r>
      <w:proofErr w:type="spellEnd"/>
      <w:r w:rsidRPr="00E93C66">
        <w:rPr>
          <w:rFonts w:ascii="Arial" w:hAnsi="Arial" w:cs="Arial"/>
        </w:rPr>
        <w:t xml:space="preserve"> “Marató TV3” </w:t>
      </w:r>
      <w:proofErr w:type="spellStart"/>
      <w:r w:rsidRPr="00E93C66">
        <w:rPr>
          <w:rFonts w:ascii="Arial" w:hAnsi="Arial" w:cs="Arial"/>
        </w:rPr>
        <w:t>foundation</w:t>
      </w:r>
      <w:proofErr w:type="spellEnd"/>
      <w:r w:rsidRPr="00E93C66">
        <w:rPr>
          <w:rFonts w:ascii="Arial" w:hAnsi="Arial" w:cs="Arial"/>
        </w:rPr>
        <w:t xml:space="preserve"> </w:t>
      </w:r>
      <w:proofErr w:type="spellStart"/>
      <w:r w:rsidRPr="00E93C66">
        <w:rPr>
          <w:rFonts w:ascii="Arial" w:hAnsi="Arial" w:cs="Arial"/>
        </w:rPr>
        <w:t>grants</w:t>
      </w:r>
      <w:proofErr w:type="spellEnd"/>
      <w:r w:rsidRPr="00E93C66">
        <w:rPr>
          <w:rFonts w:ascii="Arial" w:hAnsi="Arial" w:cs="Arial"/>
        </w:rPr>
        <w:t xml:space="preserve"> 20142610 to AL.</w:t>
      </w:r>
      <w:r w:rsidRPr="00E93C66">
        <w:rPr>
          <w:rFonts w:ascii="Arial" w:hAnsi="Arial" w:cs="Arial"/>
          <w:lang w:val="en-GB"/>
        </w:rPr>
        <w:t xml:space="preserve"> </w:t>
      </w:r>
      <w:r w:rsidRPr="00E93C66">
        <w:rPr>
          <w:rFonts w:ascii="Arial" w:hAnsi="Arial" w:cs="Arial"/>
          <w:lang w:val="en-US"/>
        </w:rPr>
        <w:t xml:space="preserve">We thank </w:t>
      </w:r>
      <w:proofErr w:type="spellStart"/>
      <w:r w:rsidRPr="00E93C66">
        <w:rPr>
          <w:rFonts w:ascii="Arial" w:hAnsi="Arial" w:cs="Arial"/>
          <w:lang w:val="en-US"/>
        </w:rPr>
        <w:t>Fujirebio</w:t>
      </w:r>
      <w:proofErr w:type="spellEnd"/>
      <w:r w:rsidRPr="00E93C66">
        <w:rPr>
          <w:rFonts w:ascii="Arial" w:hAnsi="Arial" w:cs="Arial"/>
          <w:lang w:val="en-US"/>
        </w:rPr>
        <w:t xml:space="preserve"> Europe NV for kindly providing the necessary reagents to perform the study. </w:t>
      </w:r>
    </w:p>
    <w:p w14:paraId="1F8D1AB2" w14:textId="77777777" w:rsidR="002A1C88" w:rsidRPr="002A1C88" w:rsidRDefault="002A1C88" w:rsidP="00080C26">
      <w:pPr>
        <w:spacing w:after="160" w:line="480" w:lineRule="auto"/>
        <w:jc w:val="both"/>
        <w:rPr>
          <w:rFonts w:ascii="Arial" w:hAnsi="Arial" w:cs="Arial"/>
          <w:shd w:val="clear" w:color="auto" w:fill="FFFFFF"/>
          <w:lang w:val="en-US"/>
        </w:rPr>
      </w:pPr>
    </w:p>
    <w:p w14:paraId="2B8AC26F" w14:textId="5964B9ED" w:rsidR="00033947" w:rsidRPr="00595AFA" w:rsidRDefault="00C63277" w:rsidP="00080C26">
      <w:pPr>
        <w:spacing w:line="480" w:lineRule="auto"/>
        <w:jc w:val="both"/>
        <w:rPr>
          <w:rFonts w:ascii="Arial" w:hAnsi="Arial" w:cs="Arial"/>
          <w:lang w:val="en-GB"/>
        </w:rPr>
      </w:pPr>
      <w:r w:rsidRPr="00595AFA">
        <w:rPr>
          <w:rFonts w:ascii="Arial" w:hAnsi="Arial" w:cs="Arial"/>
          <w:b/>
          <w:lang w:val="en-GB"/>
        </w:rPr>
        <w:br w:type="page"/>
      </w:r>
    </w:p>
    <w:tbl>
      <w:tblPr>
        <w:tblStyle w:val="Taulaambquadrcula"/>
        <w:tblW w:w="0" w:type="auto"/>
        <w:tblLook w:val="04A0" w:firstRow="1" w:lastRow="0" w:firstColumn="1" w:lastColumn="0" w:noHBand="0" w:noVBand="1"/>
      </w:tblPr>
      <w:tblGrid>
        <w:gridCol w:w="2689"/>
        <w:gridCol w:w="1701"/>
        <w:gridCol w:w="1701"/>
      </w:tblGrid>
      <w:tr w:rsidR="00596026" w:rsidRPr="00C50A69" w14:paraId="309ED91E" w14:textId="77777777" w:rsidTr="00282DDC">
        <w:trPr>
          <w:trHeight w:val="300"/>
        </w:trPr>
        <w:tc>
          <w:tcPr>
            <w:tcW w:w="2689" w:type="dxa"/>
            <w:noWrap/>
            <w:hideMark/>
          </w:tcPr>
          <w:p w14:paraId="23B1567A" w14:textId="77777777" w:rsidR="00596026" w:rsidRPr="00595AFA" w:rsidRDefault="00596026" w:rsidP="00282DDC">
            <w:pPr>
              <w:spacing w:after="160" w:line="259" w:lineRule="auto"/>
              <w:jc w:val="right"/>
              <w:rPr>
                <w:rFonts w:ascii="Arial" w:hAnsi="Arial" w:cs="Arial"/>
                <w:lang w:val="en-GB"/>
              </w:rPr>
            </w:pPr>
            <w:r w:rsidRPr="00595AFA">
              <w:rPr>
                <w:rFonts w:ascii="Arial" w:hAnsi="Arial" w:cs="Arial"/>
                <w:b/>
                <w:lang w:val="en-GB"/>
              </w:rPr>
              <w:lastRenderedPageBreak/>
              <w:br w:type="page"/>
            </w:r>
          </w:p>
        </w:tc>
        <w:tc>
          <w:tcPr>
            <w:tcW w:w="1701" w:type="dxa"/>
            <w:noWrap/>
            <w:hideMark/>
          </w:tcPr>
          <w:p w14:paraId="654F4AE1" w14:textId="6757CE3B" w:rsidR="00596026" w:rsidRPr="00595AFA" w:rsidRDefault="00596026" w:rsidP="00282DDC">
            <w:pPr>
              <w:spacing w:after="160" w:line="259" w:lineRule="auto"/>
              <w:jc w:val="center"/>
              <w:rPr>
                <w:rFonts w:ascii="Arial" w:hAnsi="Arial" w:cs="Arial"/>
                <w:b/>
                <w:lang w:val="en-GB"/>
              </w:rPr>
            </w:pPr>
            <w:r w:rsidRPr="00595AFA">
              <w:rPr>
                <w:rFonts w:ascii="Arial" w:hAnsi="Arial" w:cs="Arial"/>
                <w:b/>
                <w:lang w:val="en-GB"/>
              </w:rPr>
              <w:t>Mean (SD)</w:t>
            </w:r>
          </w:p>
        </w:tc>
        <w:tc>
          <w:tcPr>
            <w:tcW w:w="1701" w:type="dxa"/>
            <w:noWrap/>
            <w:hideMark/>
          </w:tcPr>
          <w:p w14:paraId="2DF87B4C" w14:textId="77777777" w:rsidR="00596026" w:rsidRPr="00595AFA" w:rsidRDefault="00596026" w:rsidP="00282DDC">
            <w:pPr>
              <w:spacing w:after="160" w:line="259" w:lineRule="auto"/>
              <w:jc w:val="center"/>
              <w:rPr>
                <w:rFonts w:ascii="Arial" w:hAnsi="Arial" w:cs="Arial"/>
                <w:b/>
                <w:lang w:val="en-GB"/>
              </w:rPr>
            </w:pPr>
            <w:r w:rsidRPr="00595AFA">
              <w:rPr>
                <w:rFonts w:ascii="Arial" w:hAnsi="Arial" w:cs="Arial"/>
                <w:b/>
                <w:lang w:val="en-GB"/>
              </w:rPr>
              <w:t>Range</w:t>
            </w:r>
          </w:p>
        </w:tc>
      </w:tr>
      <w:tr w:rsidR="00596026" w:rsidRPr="00C50A69" w14:paraId="24FC9063" w14:textId="77777777" w:rsidTr="00282DDC">
        <w:trPr>
          <w:trHeight w:val="300"/>
        </w:trPr>
        <w:tc>
          <w:tcPr>
            <w:tcW w:w="2689" w:type="dxa"/>
            <w:noWrap/>
            <w:hideMark/>
          </w:tcPr>
          <w:p w14:paraId="58FC2AD0" w14:textId="77777777" w:rsidR="00596026" w:rsidRPr="00595AFA" w:rsidRDefault="00596026" w:rsidP="00282DDC">
            <w:pPr>
              <w:spacing w:after="160" w:line="259" w:lineRule="auto"/>
              <w:jc w:val="center"/>
              <w:rPr>
                <w:rFonts w:ascii="Arial" w:hAnsi="Arial" w:cs="Arial"/>
                <w:b/>
                <w:lang w:val="en-GB"/>
              </w:rPr>
            </w:pPr>
            <w:r w:rsidRPr="00595AFA">
              <w:rPr>
                <w:rFonts w:ascii="Arial" w:hAnsi="Arial" w:cs="Arial"/>
                <w:b/>
                <w:lang w:val="en-GB"/>
              </w:rPr>
              <w:t>Age, years</w:t>
            </w:r>
          </w:p>
        </w:tc>
        <w:tc>
          <w:tcPr>
            <w:tcW w:w="1701" w:type="dxa"/>
            <w:noWrap/>
            <w:hideMark/>
          </w:tcPr>
          <w:p w14:paraId="5D036260" w14:textId="4EEE63B1" w:rsidR="00596026" w:rsidRPr="00595AFA" w:rsidRDefault="00596026" w:rsidP="00282DDC">
            <w:pPr>
              <w:spacing w:after="160" w:line="259" w:lineRule="auto"/>
              <w:jc w:val="center"/>
              <w:rPr>
                <w:rFonts w:ascii="Arial" w:hAnsi="Arial" w:cs="Arial"/>
                <w:lang w:val="en-GB"/>
              </w:rPr>
            </w:pPr>
            <w:r w:rsidRPr="00595AFA">
              <w:rPr>
                <w:rFonts w:ascii="Arial" w:hAnsi="Arial" w:cs="Arial"/>
                <w:lang w:val="en-GB"/>
              </w:rPr>
              <w:t>7</w:t>
            </w:r>
            <w:r w:rsidR="008107C7" w:rsidRPr="00595AFA">
              <w:rPr>
                <w:rFonts w:ascii="Arial" w:hAnsi="Arial" w:cs="Arial"/>
                <w:lang w:val="en-GB"/>
              </w:rPr>
              <w:t>3</w:t>
            </w:r>
            <w:r w:rsidRPr="00595AFA">
              <w:rPr>
                <w:rFonts w:ascii="Arial" w:hAnsi="Arial" w:cs="Arial"/>
                <w:lang w:val="en-GB"/>
              </w:rPr>
              <w:t>.</w:t>
            </w:r>
            <w:r w:rsidR="008107C7" w:rsidRPr="00595AFA">
              <w:rPr>
                <w:rFonts w:ascii="Arial" w:hAnsi="Arial" w:cs="Arial"/>
                <w:lang w:val="en-GB"/>
              </w:rPr>
              <w:t>4</w:t>
            </w:r>
            <w:r w:rsidRPr="00595AFA">
              <w:rPr>
                <w:rFonts w:ascii="Arial" w:hAnsi="Arial" w:cs="Arial"/>
                <w:lang w:val="en-GB"/>
              </w:rPr>
              <w:t xml:space="preserve"> (</w:t>
            </w:r>
            <w:r w:rsidR="008107C7" w:rsidRPr="00595AFA">
              <w:rPr>
                <w:rFonts w:ascii="Arial" w:hAnsi="Arial" w:cs="Arial"/>
                <w:lang w:val="en-GB"/>
              </w:rPr>
              <w:t>6.1</w:t>
            </w:r>
            <w:r w:rsidRPr="00595AFA">
              <w:rPr>
                <w:rFonts w:ascii="Arial" w:hAnsi="Arial" w:cs="Arial"/>
                <w:lang w:val="en-GB"/>
              </w:rPr>
              <w:t>)</w:t>
            </w:r>
          </w:p>
        </w:tc>
        <w:tc>
          <w:tcPr>
            <w:tcW w:w="1701" w:type="dxa"/>
            <w:noWrap/>
            <w:hideMark/>
          </w:tcPr>
          <w:p w14:paraId="65E1DD88" w14:textId="42FE3FE9" w:rsidR="00596026" w:rsidRPr="00595AFA" w:rsidRDefault="008107C7" w:rsidP="00282DDC">
            <w:pPr>
              <w:spacing w:after="160" w:line="259" w:lineRule="auto"/>
              <w:jc w:val="center"/>
              <w:rPr>
                <w:rFonts w:ascii="Arial" w:hAnsi="Arial" w:cs="Arial"/>
                <w:lang w:val="en-GB"/>
              </w:rPr>
            </w:pPr>
            <w:r w:rsidRPr="00595AFA">
              <w:rPr>
                <w:rFonts w:ascii="Arial" w:hAnsi="Arial" w:cs="Arial"/>
                <w:lang w:val="en-GB"/>
              </w:rPr>
              <w:t>62</w:t>
            </w:r>
            <w:r w:rsidR="00596026" w:rsidRPr="00595AFA">
              <w:rPr>
                <w:rFonts w:ascii="Arial" w:hAnsi="Arial" w:cs="Arial"/>
                <w:lang w:val="en-GB"/>
              </w:rPr>
              <w:t xml:space="preserve"> - 8</w:t>
            </w:r>
            <w:r w:rsidRPr="00595AFA">
              <w:rPr>
                <w:rFonts w:ascii="Arial" w:hAnsi="Arial" w:cs="Arial"/>
                <w:lang w:val="en-GB"/>
              </w:rPr>
              <w:t>4</w:t>
            </w:r>
          </w:p>
        </w:tc>
      </w:tr>
      <w:tr w:rsidR="00596026" w:rsidRPr="00C50A69" w14:paraId="2CD9E90F" w14:textId="77777777" w:rsidTr="00282DDC">
        <w:trPr>
          <w:trHeight w:val="300"/>
        </w:trPr>
        <w:tc>
          <w:tcPr>
            <w:tcW w:w="2689" w:type="dxa"/>
            <w:noWrap/>
            <w:hideMark/>
          </w:tcPr>
          <w:p w14:paraId="083BE19D" w14:textId="77777777" w:rsidR="00596026" w:rsidRPr="00595AFA" w:rsidRDefault="00596026" w:rsidP="00282DDC">
            <w:pPr>
              <w:spacing w:after="160" w:line="259" w:lineRule="auto"/>
              <w:jc w:val="center"/>
              <w:rPr>
                <w:rFonts w:ascii="Arial" w:hAnsi="Arial" w:cs="Arial"/>
                <w:b/>
                <w:lang w:val="en-GB"/>
              </w:rPr>
            </w:pPr>
            <w:r w:rsidRPr="00595AFA">
              <w:rPr>
                <w:rFonts w:ascii="Arial" w:hAnsi="Arial" w:cs="Arial"/>
                <w:b/>
                <w:lang w:val="en-GB"/>
              </w:rPr>
              <w:t>Female/Male (%Female)</w:t>
            </w:r>
          </w:p>
        </w:tc>
        <w:tc>
          <w:tcPr>
            <w:tcW w:w="1701" w:type="dxa"/>
            <w:noWrap/>
            <w:hideMark/>
          </w:tcPr>
          <w:p w14:paraId="7C4AE79F" w14:textId="0DA37AA7" w:rsidR="00596026" w:rsidRPr="00595AFA" w:rsidRDefault="008107C7" w:rsidP="00282DDC">
            <w:pPr>
              <w:spacing w:after="160" w:line="259" w:lineRule="auto"/>
              <w:jc w:val="center"/>
              <w:rPr>
                <w:rFonts w:ascii="Arial" w:hAnsi="Arial" w:cs="Arial"/>
                <w:lang w:val="en-GB"/>
              </w:rPr>
            </w:pPr>
            <w:r w:rsidRPr="00595AFA">
              <w:rPr>
                <w:rFonts w:ascii="Arial" w:hAnsi="Arial" w:cs="Arial"/>
                <w:lang w:val="en-GB"/>
              </w:rPr>
              <w:t>19</w:t>
            </w:r>
            <w:r w:rsidR="00596026" w:rsidRPr="00595AFA">
              <w:rPr>
                <w:rFonts w:ascii="Arial" w:hAnsi="Arial" w:cs="Arial"/>
                <w:lang w:val="en-GB"/>
              </w:rPr>
              <w:t>/</w:t>
            </w:r>
            <w:r w:rsidRPr="00595AFA">
              <w:rPr>
                <w:rFonts w:ascii="Arial" w:hAnsi="Arial" w:cs="Arial"/>
                <w:lang w:val="en-GB"/>
              </w:rPr>
              <w:t>13</w:t>
            </w:r>
            <w:r w:rsidR="00596026" w:rsidRPr="00595AFA">
              <w:rPr>
                <w:rFonts w:ascii="Arial" w:hAnsi="Arial" w:cs="Arial"/>
                <w:lang w:val="en-GB"/>
              </w:rPr>
              <w:t xml:space="preserve"> (5</w:t>
            </w:r>
            <w:r w:rsidRPr="00595AFA">
              <w:rPr>
                <w:rFonts w:ascii="Arial" w:hAnsi="Arial" w:cs="Arial"/>
                <w:lang w:val="en-GB"/>
              </w:rPr>
              <w:t>9</w:t>
            </w:r>
            <w:r w:rsidR="00596026" w:rsidRPr="00595AFA">
              <w:rPr>
                <w:rFonts w:ascii="Arial" w:hAnsi="Arial" w:cs="Arial"/>
                <w:lang w:val="en-GB"/>
              </w:rPr>
              <w:t>.</w:t>
            </w:r>
            <w:r w:rsidRPr="00595AFA">
              <w:rPr>
                <w:rFonts w:ascii="Arial" w:hAnsi="Arial" w:cs="Arial"/>
                <w:lang w:val="en-GB"/>
              </w:rPr>
              <w:t>4</w:t>
            </w:r>
            <w:r w:rsidR="00596026" w:rsidRPr="00595AFA">
              <w:rPr>
                <w:rFonts w:ascii="Arial" w:hAnsi="Arial" w:cs="Arial"/>
                <w:lang w:val="en-GB"/>
              </w:rPr>
              <w:t>%)</w:t>
            </w:r>
          </w:p>
        </w:tc>
        <w:tc>
          <w:tcPr>
            <w:tcW w:w="1701" w:type="dxa"/>
            <w:noWrap/>
            <w:hideMark/>
          </w:tcPr>
          <w:p w14:paraId="60A4C9AD" w14:textId="77777777" w:rsidR="00596026" w:rsidRPr="00595AFA" w:rsidRDefault="00596026" w:rsidP="00282DDC">
            <w:pPr>
              <w:spacing w:after="160" w:line="259" w:lineRule="auto"/>
              <w:jc w:val="center"/>
              <w:rPr>
                <w:rFonts w:ascii="Arial" w:hAnsi="Arial" w:cs="Arial"/>
                <w:lang w:val="en-GB"/>
              </w:rPr>
            </w:pPr>
            <w:r w:rsidRPr="00595AFA">
              <w:rPr>
                <w:rFonts w:ascii="Arial" w:hAnsi="Arial" w:cs="Arial"/>
                <w:lang w:val="en-GB"/>
              </w:rPr>
              <w:t>-</w:t>
            </w:r>
          </w:p>
        </w:tc>
      </w:tr>
      <w:tr w:rsidR="00596026" w:rsidRPr="00C50A69" w14:paraId="53613208" w14:textId="77777777" w:rsidTr="00282DDC">
        <w:trPr>
          <w:trHeight w:val="300"/>
        </w:trPr>
        <w:tc>
          <w:tcPr>
            <w:tcW w:w="2689" w:type="dxa"/>
            <w:noWrap/>
            <w:hideMark/>
          </w:tcPr>
          <w:p w14:paraId="3ECEBDEA" w14:textId="77777777" w:rsidR="00596026" w:rsidRPr="00595AFA" w:rsidRDefault="00596026" w:rsidP="00282DDC">
            <w:pPr>
              <w:spacing w:after="160" w:line="259" w:lineRule="auto"/>
              <w:jc w:val="center"/>
              <w:rPr>
                <w:rFonts w:ascii="Arial" w:hAnsi="Arial" w:cs="Arial"/>
                <w:b/>
                <w:lang w:val="en-GB"/>
              </w:rPr>
            </w:pPr>
            <w:r w:rsidRPr="00595AFA">
              <w:rPr>
                <w:rFonts w:ascii="Arial" w:hAnsi="Arial" w:cs="Arial"/>
                <w:b/>
                <w:lang w:val="en-GB"/>
              </w:rPr>
              <w:t>MMSE score</w:t>
            </w:r>
          </w:p>
        </w:tc>
        <w:tc>
          <w:tcPr>
            <w:tcW w:w="1701" w:type="dxa"/>
            <w:noWrap/>
            <w:hideMark/>
          </w:tcPr>
          <w:p w14:paraId="1C588F34" w14:textId="3CE0597B" w:rsidR="00596026" w:rsidRPr="00595AFA" w:rsidRDefault="00596026" w:rsidP="00282DDC">
            <w:pPr>
              <w:spacing w:after="160" w:line="259" w:lineRule="auto"/>
              <w:jc w:val="center"/>
              <w:rPr>
                <w:rFonts w:ascii="Arial" w:hAnsi="Arial" w:cs="Arial"/>
                <w:lang w:val="en-GB"/>
              </w:rPr>
            </w:pPr>
            <w:r w:rsidRPr="00595AFA">
              <w:rPr>
                <w:rFonts w:ascii="Arial" w:hAnsi="Arial" w:cs="Arial"/>
                <w:lang w:val="en-GB"/>
              </w:rPr>
              <w:t>2</w:t>
            </w:r>
            <w:r w:rsidR="008107C7" w:rsidRPr="00595AFA">
              <w:rPr>
                <w:rFonts w:ascii="Arial" w:hAnsi="Arial" w:cs="Arial"/>
                <w:lang w:val="en-GB"/>
              </w:rPr>
              <w:t>3</w:t>
            </w:r>
            <w:r w:rsidRPr="00595AFA">
              <w:rPr>
                <w:rFonts w:ascii="Arial" w:hAnsi="Arial" w:cs="Arial"/>
                <w:lang w:val="en-GB"/>
              </w:rPr>
              <w:t>.7 (</w:t>
            </w:r>
            <w:r w:rsidR="008107C7" w:rsidRPr="00595AFA">
              <w:rPr>
                <w:rFonts w:ascii="Arial" w:hAnsi="Arial" w:cs="Arial"/>
                <w:lang w:val="en-GB"/>
              </w:rPr>
              <w:t>3.9</w:t>
            </w:r>
            <w:r w:rsidRPr="00595AFA">
              <w:rPr>
                <w:rFonts w:ascii="Arial" w:hAnsi="Arial" w:cs="Arial"/>
                <w:lang w:val="en-GB"/>
              </w:rPr>
              <w:t>)</w:t>
            </w:r>
          </w:p>
        </w:tc>
        <w:tc>
          <w:tcPr>
            <w:tcW w:w="1701" w:type="dxa"/>
            <w:noWrap/>
            <w:hideMark/>
          </w:tcPr>
          <w:p w14:paraId="0C7A8587" w14:textId="214BA847" w:rsidR="00596026" w:rsidRPr="00595AFA" w:rsidRDefault="00596026" w:rsidP="00282DDC">
            <w:pPr>
              <w:spacing w:after="160" w:line="259" w:lineRule="auto"/>
              <w:jc w:val="center"/>
              <w:rPr>
                <w:rFonts w:ascii="Arial" w:hAnsi="Arial" w:cs="Arial"/>
                <w:lang w:val="en-GB"/>
              </w:rPr>
            </w:pPr>
            <w:r w:rsidRPr="00595AFA">
              <w:rPr>
                <w:rFonts w:ascii="Arial" w:hAnsi="Arial" w:cs="Arial"/>
                <w:lang w:val="en-GB"/>
              </w:rPr>
              <w:t>1</w:t>
            </w:r>
            <w:r w:rsidR="008107C7" w:rsidRPr="00595AFA">
              <w:rPr>
                <w:rFonts w:ascii="Arial" w:hAnsi="Arial" w:cs="Arial"/>
                <w:lang w:val="en-GB"/>
              </w:rPr>
              <w:t>7</w:t>
            </w:r>
            <w:r w:rsidRPr="00595AFA">
              <w:rPr>
                <w:rFonts w:ascii="Arial" w:hAnsi="Arial" w:cs="Arial"/>
                <w:lang w:val="en-GB"/>
              </w:rPr>
              <w:t xml:space="preserve"> - </w:t>
            </w:r>
            <w:r w:rsidR="008107C7" w:rsidRPr="00595AFA">
              <w:rPr>
                <w:rFonts w:ascii="Arial" w:hAnsi="Arial" w:cs="Arial"/>
                <w:lang w:val="en-GB"/>
              </w:rPr>
              <w:t>30</w:t>
            </w:r>
          </w:p>
        </w:tc>
      </w:tr>
      <w:tr w:rsidR="00596026" w:rsidRPr="00C50A69" w14:paraId="55503EDC" w14:textId="77777777" w:rsidTr="008107C7">
        <w:trPr>
          <w:trHeight w:val="300"/>
        </w:trPr>
        <w:tc>
          <w:tcPr>
            <w:tcW w:w="2689" w:type="dxa"/>
            <w:noWrap/>
            <w:hideMark/>
          </w:tcPr>
          <w:p w14:paraId="52C93A44" w14:textId="77777777" w:rsidR="00596026" w:rsidRPr="00595AFA" w:rsidRDefault="00596026" w:rsidP="00282DDC">
            <w:pPr>
              <w:spacing w:after="160" w:line="259" w:lineRule="auto"/>
              <w:jc w:val="center"/>
              <w:rPr>
                <w:rFonts w:ascii="Arial" w:hAnsi="Arial" w:cs="Arial"/>
                <w:b/>
                <w:bCs/>
                <w:lang w:val="en-GB"/>
              </w:rPr>
            </w:pPr>
            <w:r w:rsidRPr="00595AFA">
              <w:rPr>
                <w:rFonts w:ascii="Arial" w:hAnsi="Arial" w:cs="Arial"/>
                <w:b/>
                <w:bCs/>
                <w:lang w:val="en-GB"/>
              </w:rPr>
              <w:t xml:space="preserve">Aβ1-40, </w:t>
            </w:r>
            <w:proofErr w:type="spellStart"/>
            <w:r w:rsidRPr="00595AFA">
              <w:rPr>
                <w:rFonts w:ascii="Arial" w:hAnsi="Arial" w:cs="Arial"/>
                <w:b/>
                <w:bCs/>
                <w:lang w:val="en-GB"/>
              </w:rPr>
              <w:t>pg</w:t>
            </w:r>
            <w:proofErr w:type="spellEnd"/>
            <w:r w:rsidRPr="00595AFA">
              <w:rPr>
                <w:rFonts w:ascii="Arial" w:hAnsi="Arial" w:cs="Arial"/>
                <w:b/>
                <w:bCs/>
                <w:lang w:val="en-GB"/>
              </w:rPr>
              <w:t>/mL</w:t>
            </w:r>
          </w:p>
        </w:tc>
        <w:tc>
          <w:tcPr>
            <w:tcW w:w="1701" w:type="dxa"/>
            <w:noWrap/>
          </w:tcPr>
          <w:p w14:paraId="0CCD28FC" w14:textId="5D318C54" w:rsidR="00596026" w:rsidRPr="00595AFA" w:rsidRDefault="00145569" w:rsidP="00282DDC">
            <w:pPr>
              <w:spacing w:after="160" w:line="259" w:lineRule="auto"/>
              <w:jc w:val="center"/>
              <w:rPr>
                <w:rFonts w:ascii="Arial" w:hAnsi="Arial" w:cs="Arial"/>
                <w:bCs/>
                <w:lang w:val="en-GB"/>
              </w:rPr>
            </w:pPr>
            <w:r w:rsidRPr="00595AFA">
              <w:rPr>
                <w:rFonts w:ascii="Arial" w:hAnsi="Arial" w:cs="Arial"/>
                <w:bCs/>
                <w:lang w:val="en-GB"/>
              </w:rPr>
              <w:t>21.9 (</w:t>
            </w:r>
            <w:r w:rsidR="004D2924" w:rsidRPr="00595AFA">
              <w:rPr>
                <w:rFonts w:ascii="Arial" w:hAnsi="Arial" w:cs="Arial"/>
                <w:bCs/>
                <w:lang w:val="en-GB"/>
              </w:rPr>
              <w:t>5.3)</w:t>
            </w:r>
          </w:p>
        </w:tc>
        <w:tc>
          <w:tcPr>
            <w:tcW w:w="1701" w:type="dxa"/>
            <w:noWrap/>
          </w:tcPr>
          <w:p w14:paraId="35A9FCB3" w14:textId="00711565" w:rsidR="00596026" w:rsidRPr="00595AFA" w:rsidRDefault="004D2924" w:rsidP="00282DDC">
            <w:pPr>
              <w:spacing w:after="160" w:line="259" w:lineRule="auto"/>
              <w:jc w:val="center"/>
              <w:rPr>
                <w:rFonts w:ascii="Arial" w:hAnsi="Arial" w:cs="Arial"/>
                <w:bCs/>
                <w:lang w:val="en-GB"/>
              </w:rPr>
            </w:pPr>
            <w:r w:rsidRPr="00595AFA">
              <w:rPr>
                <w:rFonts w:ascii="Arial" w:hAnsi="Arial" w:cs="Arial"/>
                <w:bCs/>
                <w:lang w:val="en-GB"/>
              </w:rPr>
              <w:t>11.7 – 31.0</w:t>
            </w:r>
          </w:p>
        </w:tc>
      </w:tr>
      <w:tr w:rsidR="00596026" w:rsidRPr="00C50A69" w14:paraId="7AB77276" w14:textId="77777777" w:rsidTr="008107C7">
        <w:trPr>
          <w:trHeight w:val="300"/>
        </w:trPr>
        <w:tc>
          <w:tcPr>
            <w:tcW w:w="2689" w:type="dxa"/>
            <w:noWrap/>
            <w:hideMark/>
          </w:tcPr>
          <w:p w14:paraId="028863FA" w14:textId="77777777" w:rsidR="00596026" w:rsidRPr="00595AFA" w:rsidRDefault="00596026" w:rsidP="00282DDC">
            <w:pPr>
              <w:spacing w:after="160" w:line="259" w:lineRule="auto"/>
              <w:jc w:val="center"/>
              <w:rPr>
                <w:rFonts w:ascii="Arial" w:hAnsi="Arial" w:cs="Arial"/>
                <w:b/>
                <w:bCs/>
                <w:lang w:val="en-GB"/>
              </w:rPr>
            </w:pPr>
            <w:r w:rsidRPr="00595AFA">
              <w:rPr>
                <w:rFonts w:ascii="Arial" w:hAnsi="Arial" w:cs="Arial"/>
                <w:b/>
                <w:bCs/>
                <w:lang w:val="en-GB"/>
              </w:rPr>
              <w:t xml:space="preserve">Aβ1-42, </w:t>
            </w:r>
            <w:proofErr w:type="spellStart"/>
            <w:r w:rsidRPr="00595AFA">
              <w:rPr>
                <w:rFonts w:ascii="Arial" w:hAnsi="Arial" w:cs="Arial"/>
                <w:b/>
                <w:bCs/>
                <w:lang w:val="en-GB"/>
              </w:rPr>
              <w:t>pg</w:t>
            </w:r>
            <w:proofErr w:type="spellEnd"/>
            <w:r w:rsidRPr="00595AFA">
              <w:rPr>
                <w:rFonts w:ascii="Arial" w:hAnsi="Arial" w:cs="Arial"/>
                <w:b/>
                <w:bCs/>
                <w:lang w:val="en-GB"/>
              </w:rPr>
              <w:t>/mL</w:t>
            </w:r>
          </w:p>
        </w:tc>
        <w:tc>
          <w:tcPr>
            <w:tcW w:w="1701" w:type="dxa"/>
            <w:noWrap/>
          </w:tcPr>
          <w:p w14:paraId="4570306E" w14:textId="663947F9" w:rsidR="00596026" w:rsidRPr="00595AFA" w:rsidRDefault="004D2924" w:rsidP="00282DDC">
            <w:pPr>
              <w:spacing w:after="160" w:line="259" w:lineRule="auto"/>
              <w:jc w:val="center"/>
              <w:rPr>
                <w:rFonts w:ascii="Arial" w:hAnsi="Arial" w:cs="Arial"/>
                <w:bCs/>
                <w:lang w:val="en-GB"/>
              </w:rPr>
            </w:pPr>
            <w:r w:rsidRPr="00595AFA">
              <w:rPr>
                <w:rFonts w:ascii="Arial" w:hAnsi="Arial" w:cs="Arial"/>
                <w:bCs/>
                <w:lang w:val="en-GB"/>
              </w:rPr>
              <w:t>295.8 (64.8)</w:t>
            </w:r>
          </w:p>
        </w:tc>
        <w:tc>
          <w:tcPr>
            <w:tcW w:w="1701" w:type="dxa"/>
            <w:noWrap/>
          </w:tcPr>
          <w:p w14:paraId="7BFED828" w14:textId="434D0FFD" w:rsidR="00596026" w:rsidRPr="00595AFA" w:rsidRDefault="004D2924" w:rsidP="00282DDC">
            <w:pPr>
              <w:spacing w:after="160" w:line="259" w:lineRule="auto"/>
              <w:jc w:val="center"/>
              <w:rPr>
                <w:rFonts w:ascii="Arial" w:hAnsi="Arial" w:cs="Arial"/>
                <w:bCs/>
                <w:lang w:val="en-GB"/>
              </w:rPr>
            </w:pPr>
            <w:r w:rsidRPr="00595AFA">
              <w:rPr>
                <w:rFonts w:ascii="Arial" w:hAnsi="Arial" w:cs="Arial"/>
                <w:bCs/>
                <w:lang w:val="en-GB"/>
              </w:rPr>
              <w:t>180.5 – 435.1</w:t>
            </w:r>
          </w:p>
        </w:tc>
      </w:tr>
      <w:tr w:rsidR="00596026" w:rsidRPr="00C50A69" w14:paraId="7170F871" w14:textId="77777777" w:rsidTr="00282DDC">
        <w:trPr>
          <w:trHeight w:val="300"/>
        </w:trPr>
        <w:tc>
          <w:tcPr>
            <w:tcW w:w="2689" w:type="dxa"/>
            <w:noWrap/>
          </w:tcPr>
          <w:p w14:paraId="6AAF037D" w14:textId="77777777" w:rsidR="00596026" w:rsidRPr="00595AFA" w:rsidRDefault="00596026" w:rsidP="00282DDC">
            <w:pPr>
              <w:spacing w:after="160" w:line="259" w:lineRule="auto"/>
              <w:jc w:val="center"/>
              <w:rPr>
                <w:rFonts w:ascii="Arial" w:hAnsi="Arial" w:cs="Arial"/>
                <w:b/>
                <w:lang w:val="en-GB"/>
              </w:rPr>
            </w:pPr>
            <w:r w:rsidRPr="00595AFA">
              <w:rPr>
                <w:rFonts w:ascii="Arial" w:hAnsi="Arial" w:cs="Arial"/>
                <w:b/>
                <w:lang w:val="en-GB"/>
              </w:rPr>
              <w:t>Aβ1-42/Aβ1-40</w:t>
            </w:r>
          </w:p>
        </w:tc>
        <w:tc>
          <w:tcPr>
            <w:tcW w:w="1701" w:type="dxa"/>
            <w:noWrap/>
          </w:tcPr>
          <w:p w14:paraId="5725BE88" w14:textId="3E66DE88" w:rsidR="00596026" w:rsidRPr="00595AFA" w:rsidRDefault="004D2924" w:rsidP="00282DDC">
            <w:pPr>
              <w:spacing w:after="160" w:line="259" w:lineRule="auto"/>
              <w:jc w:val="center"/>
              <w:rPr>
                <w:rFonts w:ascii="Arial" w:hAnsi="Arial" w:cs="Arial"/>
                <w:lang w:val="en-GB"/>
              </w:rPr>
            </w:pPr>
            <w:r w:rsidRPr="00595AFA">
              <w:rPr>
                <w:rFonts w:ascii="Arial" w:hAnsi="Arial" w:cs="Arial"/>
                <w:lang w:val="en-GB"/>
              </w:rPr>
              <w:t>0.074 (0.009)</w:t>
            </w:r>
          </w:p>
        </w:tc>
        <w:tc>
          <w:tcPr>
            <w:tcW w:w="1701" w:type="dxa"/>
            <w:noWrap/>
          </w:tcPr>
          <w:p w14:paraId="5E0B455D" w14:textId="774673B9" w:rsidR="00596026" w:rsidRPr="00595AFA" w:rsidRDefault="004D2924" w:rsidP="00282DDC">
            <w:pPr>
              <w:spacing w:after="160" w:line="259" w:lineRule="auto"/>
              <w:jc w:val="center"/>
              <w:rPr>
                <w:rFonts w:ascii="Arial" w:hAnsi="Arial" w:cs="Arial"/>
                <w:lang w:val="en-GB"/>
              </w:rPr>
            </w:pPr>
            <w:r w:rsidRPr="00595AFA">
              <w:rPr>
                <w:rFonts w:ascii="Arial" w:hAnsi="Arial" w:cs="Arial"/>
                <w:lang w:val="en-GB"/>
              </w:rPr>
              <w:t>0.065 – 0.084</w:t>
            </w:r>
          </w:p>
        </w:tc>
      </w:tr>
      <w:tr w:rsidR="00596026" w:rsidRPr="00C50A69" w14:paraId="40888696" w14:textId="77777777" w:rsidTr="008107C7">
        <w:trPr>
          <w:trHeight w:val="300"/>
        </w:trPr>
        <w:tc>
          <w:tcPr>
            <w:tcW w:w="2689" w:type="dxa"/>
            <w:noWrap/>
            <w:hideMark/>
          </w:tcPr>
          <w:p w14:paraId="0B1FDFE6" w14:textId="7CA78143" w:rsidR="00596026" w:rsidRPr="00595AFA" w:rsidRDefault="00596026" w:rsidP="00282DDC">
            <w:pPr>
              <w:spacing w:after="160" w:line="259" w:lineRule="auto"/>
              <w:jc w:val="center"/>
              <w:rPr>
                <w:rFonts w:ascii="Arial" w:hAnsi="Arial" w:cs="Arial"/>
                <w:b/>
                <w:lang w:val="en-GB"/>
              </w:rPr>
            </w:pPr>
            <w:r w:rsidRPr="00595AFA">
              <w:rPr>
                <w:rFonts w:ascii="Arial" w:hAnsi="Arial" w:cs="Arial"/>
                <w:b/>
                <w:lang w:val="en-GB"/>
              </w:rPr>
              <w:t>p</w:t>
            </w:r>
            <w:r w:rsidR="00C93B59" w:rsidRPr="00595AFA">
              <w:rPr>
                <w:rFonts w:ascii="Arial" w:hAnsi="Arial" w:cs="Arial"/>
                <w:b/>
                <w:lang w:val="en-GB"/>
              </w:rPr>
              <w:t>-</w:t>
            </w:r>
            <w:r w:rsidRPr="00595AFA">
              <w:rPr>
                <w:rFonts w:ascii="Arial" w:hAnsi="Arial" w:cs="Arial"/>
                <w:b/>
                <w:lang w:val="en-GB"/>
              </w:rPr>
              <w:t xml:space="preserve">Tau181, </w:t>
            </w:r>
            <w:proofErr w:type="spellStart"/>
            <w:r w:rsidRPr="00595AFA">
              <w:rPr>
                <w:rFonts w:ascii="Arial" w:hAnsi="Arial" w:cs="Arial"/>
                <w:b/>
                <w:lang w:val="en-GB"/>
              </w:rPr>
              <w:t>pg</w:t>
            </w:r>
            <w:proofErr w:type="spellEnd"/>
            <w:r w:rsidRPr="00595AFA">
              <w:rPr>
                <w:rFonts w:ascii="Arial" w:hAnsi="Arial" w:cs="Arial"/>
                <w:b/>
                <w:lang w:val="en-GB"/>
              </w:rPr>
              <w:t>/mL</w:t>
            </w:r>
          </w:p>
        </w:tc>
        <w:tc>
          <w:tcPr>
            <w:tcW w:w="1701" w:type="dxa"/>
            <w:noWrap/>
          </w:tcPr>
          <w:p w14:paraId="60DD1F58" w14:textId="538812A7" w:rsidR="00596026" w:rsidRPr="00595AFA" w:rsidRDefault="004D2924" w:rsidP="00282DDC">
            <w:pPr>
              <w:spacing w:after="160" w:line="259" w:lineRule="auto"/>
              <w:jc w:val="center"/>
              <w:rPr>
                <w:rFonts w:ascii="Arial" w:hAnsi="Arial" w:cs="Arial"/>
                <w:lang w:val="en-GB"/>
              </w:rPr>
            </w:pPr>
            <w:r w:rsidRPr="00595AFA">
              <w:rPr>
                <w:rFonts w:ascii="Arial" w:hAnsi="Arial" w:cs="Arial"/>
                <w:lang w:val="en-GB"/>
              </w:rPr>
              <w:t>2.8 (1.2)</w:t>
            </w:r>
          </w:p>
        </w:tc>
        <w:tc>
          <w:tcPr>
            <w:tcW w:w="1701" w:type="dxa"/>
            <w:noWrap/>
          </w:tcPr>
          <w:p w14:paraId="1E0853EE" w14:textId="493A4F21" w:rsidR="00596026" w:rsidRPr="00595AFA" w:rsidRDefault="004D2924" w:rsidP="00282DDC">
            <w:pPr>
              <w:spacing w:after="160" w:line="259" w:lineRule="auto"/>
              <w:jc w:val="center"/>
              <w:rPr>
                <w:rFonts w:ascii="Arial" w:hAnsi="Arial" w:cs="Arial"/>
                <w:lang w:val="en-GB"/>
              </w:rPr>
            </w:pPr>
            <w:r w:rsidRPr="00595AFA">
              <w:rPr>
                <w:rFonts w:ascii="Arial" w:hAnsi="Arial" w:cs="Arial"/>
                <w:lang w:val="en-GB"/>
              </w:rPr>
              <w:t>1.1 – 6.7</w:t>
            </w:r>
          </w:p>
        </w:tc>
      </w:tr>
    </w:tbl>
    <w:p w14:paraId="4D6277C1" w14:textId="2D44E795" w:rsidR="00C67B83" w:rsidRDefault="00596026" w:rsidP="00596026">
      <w:pPr>
        <w:spacing w:after="160" w:line="480" w:lineRule="auto"/>
        <w:rPr>
          <w:rFonts w:ascii="Arial" w:hAnsi="Arial" w:cs="Arial"/>
          <w:lang w:val="en-GB"/>
        </w:rPr>
      </w:pPr>
      <w:r w:rsidRPr="00595AFA">
        <w:rPr>
          <w:rFonts w:ascii="Arial" w:hAnsi="Arial" w:cs="Arial"/>
          <w:b/>
          <w:lang w:val="en-GB"/>
        </w:rPr>
        <w:t>Table 1.</w:t>
      </w:r>
      <w:r w:rsidRPr="00595AFA">
        <w:rPr>
          <w:rFonts w:ascii="Arial" w:hAnsi="Arial" w:cs="Arial"/>
          <w:lang w:val="en-GB"/>
        </w:rPr>
        <w:t xml:space="preserve"> Mean (SD) and range for demographic and biochemical data under condition C</w:t>
      </w:r>
      <w:r w:rsidR="008107C7" w:rsidRPr="00595AFA">
        <w:rPr>
          <w:rFonts w:ascii="Arial" w:hAnsi="Arial" w:cs="Arial"/>
          <w:lang w:val="en-GB"/>
        </w:rPr>
        <w:t xml:space="preserve"> for </w:t>
      </w:r>
      <w:r w:rsidR="00180BA6">
        <w:rPr>
          <w:rFonts w:ascii="Arial" w:hAnsi="Arial" w:cs="Arial"/>
          <w:lang w:val="en-GB"/>
        </w:rPr>
        <w:t xml:space="preserve">the </w:t>
      </w:r>
      <w:bookmarkStart w:id="4" w:name="_GoBack"/>
      <w:bookmarkEnd w:id="4"/>
      <w:r w:rsidR="008107C7" w:rsidRPr="00595AFA">
        <w:rPr>
          <w:rFonts w:ascii="Arial" w:hAnsi="Arial" w:cs="Arial"/>
          <w:lang w:val="en-GB"/>
        </w:rPr>
        <w:t>stability analysis</w:t>
      </w:r>
      <w:r w:rsidRPr="00595AFA">
        <w:rPr>
          <w:rFonts w:ascii="Arial" w:hAnsi="Arial" w:cs="Arial"/>
          <w:lang w:val="en-GB"/>
        </w:rPr>
        <w:t xml:space="preserve">. MMSE: Mini-Mental Status Examination. </w:t>
      </w:r>
    </w:p>
    <w:p w14:paraId="0D9A579C" w14:textId="77777777" w:rsidR="00452B5A" w:rsidRPr="00595AFA" w:rsidRDefault="00452B5A" w:rsidP="00596026">
      <w:pPr>
        <w:spacing w:after="160" w:line="480" w:lineRule="auto"/>
        <w:rPr>
          <w:rFonts w:ascii="Arial" w:hAnsi="Arial" w:cs="Arial"/>
          <w:lang w:val="en-GB"/>
        </w:rPr>
      </w:pPr>
    </w:p>
    <w:tbl>
      <w:tblPr>
        <w:tblStyle w:val="Taulaambquadrcula"/>
        <w:tblW w:w="0" w:type="auto"/>
        <w:tblLook w:val="04A0" w:firstRow="1" w:lastRow="0" w:firstColumn="1" w:lastColumn="0" w:noHBand="0" w:noVBand="1"/>
      </w:tblPr>
      <w:tblGrid>
        <w:gridCol w:w="2689"/>
        <w:gridCol w:w="1701"/>
        <w:gridCol w:w="1701"/>
        <w:gridCol w:w="1701"/>
      </w:tblGrid>
      <w:tr w:rsidR="0090749A" w:rsidRPr="00C50A69" w14:paraId="5CB33F4F" w14:textId="77777777" w:rsidTr="00282DDC">
        <w:trPr>
          <w:trHeight w:val="300"/>
        </w:trPr>
        <w:tc>
          <w:tcPr>
            <w:tcW w:w="4390" w:type="dxa"/>
            <w:gridSpan w:val="2"/>
            <w:noWrap/>
            <w:hideMark/>
          </w:tcPr>
          <w:p w14:paraId="202165FD" w14:textId="53787428" w:rsidR="0090749A" w:rsidRPr="00595AFA" w:rsidRDefault="0090749A" w:rsidP="00282DDC">
            <w:pPr>
              <w:spacing w:after="160" w:line="259" w:lineRule="auto"/>
              <w:jc w:val="center"/>
              <w:rPr>
                <w:rFonts w:ascii="Arial" w:hAnsi="Arial" w:cs="Arial"/>
                <w:b/>
                <w:lang w:val="en-GB"/>
              </w:rPr>
            </w:pPr>
            <w:r w:rsidRPr="00595AFA">
              <w:rPr>
                <w:rFonts w:ascii="Arial" w:hAnsi="Arial" w:cs="Arial"/>
                <w:b/>
                <w:lang w:val="en-GB"/>
              </w:rPr>
              <w:br w:type="page"/>
            </w:r>
          </w:p>
        </w:tc>
        <w:tc>
          <w:tcPr>
            <w:tcW w:w="1701" w:type="dxa"/>
            <w:noWrap/>
            <w:hideMark/>
          </w:tcPr>
          <w:p w14:paraId="0EBEADB7" w14:textId="177E36DD" w:rsidR="0090749A" w:rsidRPr="00595AFA" w:rsidRDefault="0090749A" w:rsidP="00282DDC">
            <w:pPr>
              <w:spacing w:after="160" w:line="259" w:lineRule="auto"/>
              <w:jc w:val="center"/>
              <w:rPr>
                <w:rFonts w:ascii="Arial" w:hAnsi="Arial" w:cs="Arial"/>
                <w:b/>
                <w:lang w:val="en-GB"/>
              </w:rPr>
            </w:pPr>
            <w:r w:rsidRPr="00595AFA">
              <w:rPr>
                <w:rFonts w:ascii="Arial" w:hAnsi="Arial" w:cs="Arial"/>
                <w:b/>
                <w:lang w:val="en-GB"/>
              </w:rPr>
              <w:t>Mean (SD)</w:t>
            </w:r>
          </w:p>
        </w:tc>
        <w:tc>
          <w:tcPr>
            <w:tcW w:w="1701" w:type="dxa"/>
            <w:noWrap/>
            <w:hideMark/>
          </w:tcPr>
          <w:p w14:paraId="441B0C4A" w14:textId="77777777" w:rsidR="0090749A" w:rsidRPr="00595AFA" w:rsidRDefault="0090749A" w:rsidP="00282DDC">
            <w:pPr>
              <w:spacing w:after="160" w:line="259" w:lineRule="auto"/>
              <w:jc w:val="center"/>
              <w:rPr>
                <w:rFonts w:ascii="Arial" w:hAnsi="Arial" w:cs="Arial"/>
                <w:b/>
                <w:lang w:val="en-GB"/>
              </w:rPr>
            </w:pPr>
            <w:r w:rsidRPr="00595AFA">
              <w:rPr>
                <w:rFonts w:ascii="Arial" w:hAnsi="Arial" w:cs="Arial"/>
                <w:b/>
                <w:lang w:val="en-GB"/>
              </w:rPr>
              <w:t>Range</w:t>
            </w:r>
          </w:p>
        </w:tc>
      </w:tr>
      <w:tr w:rsidR="0090749A" w:rsidRPr="00C50A69" w14:paraId="1BBDC9AF" w14:textId="77777777" w:rsidTr="00282DDC">
        <w:trPr>
          <w:trHeight w:val="300"/>
        </w:trPr>
        <w:tc>
          <w:tcPr>
            <w:tcW w:w="4390" w:type="dxa"/>
            <w:gridSpan w:val="2"/>
            <w:noWrap/>
            <w:hideMark/>
          </w:tcPr>
          <w:p w14:paraId="407B70C3" w14:textId="60784606" w:rsidR="0090749A" w:rsidRPr="00595AFA" w:rsidRDefault="0090749A" w:rsidP="0090749A">
            <w:pPr>
              <w:spacing w:after="160" w:line="259" w:lineRule="auto"/>
              <w:jc w:val="center"/>
              <w:rPr>
                <w:rFonts w:ascii="Arial" w:hAnsi="Arial" w:cs="Arial"/>
                <w:lang w:val="en-GB"/>
              </w:rPr>
            </w:pPr>
            <w:r w:rsidRPr="00595AFA">
              <w:rPr>
                <w:rFonts w:ascii="Arial" w:hAnsi="Arial" w:cs="Arial"/>
                <w:b/>
                <w:lang w:val="en-GB"/>
              </w:rPr>
              <w:t>Age, years</w:t>
            </w:r>
          </w:p>
        </w:tc>
        <w:tc>
          <w:tcPr>
            <w:tcW w:w="1701" w:type="dxa"/>
            <w:noWrap/>
            <w:hideMark/>
          </w:tcPr>
          <w:p w14:paraId="3E0B54B3" w14:textId="3C526863"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69.0 (10.4)</w:t>
            </w:r>
          </w:p>
        </w:tc>
        <w:tc>
          <w:tcPr>
            <w:tcW w:w="1701" w:type="dxa"/>
            <w:noWrap/>
            <w:hideMark/>
          </w:tcPr>
          <w:p w14:paraId="53BD2EEB" w14:textId="1B027AD4"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47 - 84</w:t>
            </w:r>
          </w:p>
        </w:tc>
      </w:tr>
      <w:tr w:rsidR="0090749A" w:rsidRPr="00C50A69" w14:paraId="0DE66EF7" w14:textId="77777777" w:rsidTr="00282DDC">
        <w:trPr>
          <w:trHeight w:val="300"/>
        </w:trPr>
        <w:tc>
          <w:tcPr>
            <w:tcW w:w="4390" w:type="dxa"/>
            <w:gridSpan w:val="2"/>
            <w:noWrap/>
            <w:hideMark/>
          </w:tcPr>
          <w:p w14:paraId="090FD1E6" w14:textId="35AF403E" w:rsidR="0090749A" w:rsidRPr="00595AFA" w:rsidRDefault="0090749A" w:rsidP="00282DDC">
            <w:pPr>
              <w:spacing w:after="160" w:line="259" w:lineRule="auto"/>
              <w:jc w:val="center"/>
              <w:rPr>
                <w:rFonts w:ascii="Arial" w:hAnsi="Arial" w:cs="Arial"/>
                <w:lang w:val="en-GB"/>
              </w:rPr>
            </w:pPr>
            <w:r w:rsidRPr="00595AFA">
              <w:rPr>
                <w:rFonts w:ascii="Arial" w:hAnsi="Arial" w:cs="Arial"/>
                <w:b/>
                <w:lang w:val="en-GB"/>
              </w:rPr>
              <w:t>Female/Male (%Female)</w:t>
            </w:r>
          </w:p>
        </w:tc>
        <w:tc>
          <w:tcPr>
            <w:tcW w:w="1701" w:type="dxa"/>
            <w:noWrap/>
            <w:hideMark/>
          </w:tcPr>
          <w:p w14:paraId="20467AAB" w14:textId="5AA1B7AA" w:rsidR="0090749A" w:rsidRPr="00595AFA" w:rsidRDefault="0090749A" w:rsidP="00282DDC">
            <w:pPr>
              <w:spacing w:after="160" w:line="259" w:lineRule="auto"/>
              <w:jc w:val="center"/>
              <w:rPr>
                <w:rFonts w:ascii="Arial" w:hAnsi="Arial" w:cs="Arial"/>
                <w:lang w:val="en-GB"/>
              </w:rPr>
            </w:pPr>
            <w:r w:rsidRPr="00595AFA">
              <w:rPr>
                <w:rFonts w:ascii="Arial" w:hAnsi="Arial" w:cs="Arial"/>
                <w:lang w:val="en-GB"/>
              </w:rPr>
              <w:t>15/15 (50%)</w:t>
            </w:r>
          </w:p>
        </w:tc>
        <w:tc>
          <w:tcPr>
            <w:tcW w:w="1701" w:type="dxa"/>
            <w:noWrap/>
            <w:hideMark/>
          </w:tcPr>
          <w:p w14:paraId="4ADCA659" w14:textId="77777777" w:rsidR="0090749A" w:rsidRPr="00595AFA" w:rsidRDefault="0090749A" w:rsidP="00282DDC">
            <w:pPr>
              <w:spacing w:after="160" w:line="259" w:lineRule="auto"/>
              <w:jc w:val="center"/>
              <w:rPr>
                <w:rFonts w:ascii="Arial" w:hAnsi="Arial" w:cs="Arial"/>
                <w:lang w:val="en-GB"/>
              </w:rPr>
            </w:pPr>
            <w:r w:rsidRPr="00595AFA">
              <w:rPr>
                <w:rFonts w:ascii="Arial" w:hAnsi="Arial" w:cs="Arial"/>
                <w:lang w:val="en-GB"/>
              </w:rPr>
              <w:t>-</w:t>
            </w:r>
          </w:p>
        </w:tc>
      </w:tr>
      <w:tr w:rsidR="0090749A" w:rsidRPr="00C50A69" w14:paraId="703A3CC9" w14:textId="77777777" w:rsidTr="00282DDC">
        <w:trPr>
          <w:trHeight w:val="300"/>
        </w:trPr>
        <w:tc>
          <w:tcPr>
            <w:tcW w:w="4390" w:type="dxa"/>
            <w:gridSpan w:val="2"/>
            <w:noWrap/>
            <w:hideMark/>
          </w:tcPr>
          <w:p w14:paraId="3405EB31" w14:textId="5E71F8F7" w:rsidR="0090749A" w:rsidRPr="00595AFA" w:rsidRDefault="0090749A" w:rsidP="00282DDC">
            <w:pPr>
              <w:spacing w:after="160" w:line="259" w:lineRule="auto"/>
              <w:jc w:val="center"/>
              <w:rPr>
                <w:rFonts w:ascii="Arial" w:hAnsi="Arial" w:cs="Arial"/>
                <w:lang w:val="en-GB"/>
              </w:rPr>
            </w:pPr>
            <w:r w:rsidRPr="00595AFA">
              <w:rPr>
                <w:rFonts w:ascii="Arial" w:hAnsi="Arial" w:cs="Arial"/>
                <w:b/>
                <w:lang w:val="en-GB"/>
              </w:rPr>
              <w:t>MMSE score</w:t>
            </w:r>
          </w:p>
        </w:tc>
        <w:tc>
          <w:tcPr>
            <w:tcW w:w="1701" w:type="dxa"/>
            <w:noWrap/>
            <w:hideMark/>
          </w:tcPr>
          <w:p w14:paraId="77F2219D" w14:textId="3EF40F90" w:rsidR="0090749A" w:rsidRPr="00595AFA" w:rsidRDefault="0090749A" w:rsidP="00282DDC">
            <w:pPr>
              <w:spacing w:after="160" w:line="259" w:lineRule="auto"/>
              <w:jc w:val="center"/>
              <w:rPr>
                <w:rFonts w:ascii="Arial" w:hAnsi="Arial" w:cs="Arial"/>
                <w:lang w:val="en-GB"/>
              </w:rPr>
            </w:pPr>
            <w:r w:rsidRPr="00595AFA">
              <w:rPr>
                <w:rFonts w:ascii="Arial" w:hAnsi="Arial" w:cs="Arial"/>
                <w:lang w:val="en-GB"/>
              </w:rPr>
              <w:t>23.6 (4.7)</w:t>
            </w:r>
          </w:p>
        </w:tc>
        <w:tc>
          <w:tcPr>
            <w:tcW w:w="1701" w:type="dxa"/>
            <w:noWrap/>
            <w:hideMark/>
          </w:tcPr>
          <w:p w14:paraId="1F00794D" w14:textId="262F4A8B" w:rsidR="0090749A" w:rsidRPr="00595AFA" w:rsidRDefault="0090749A" w:rsidP="00282DDC">
            <w:pPr>
              <w:spacing w:after="160" w:line="259" w:lineRule="auto"/>
              <w:jc w:val="center"/>
              <w:rPr>
                <w:rFonts w:ascii="Arial" w:hAnsi="Arial" w:cs="Arial"/>
                <w:lang w:val="en-GB"/>
              </w:rPr>
            </w:pPr>
            <w:r w:rsidRPr="00595AFA">
              <w:rPr>
                <w:rFonts w:ascii="Arial" w:hAnsi="Arial" w:cs="Arial"/>
                <w:lang w:val="en-GB"/>
              </w:rPr>
              <w:t>14 - 30</w:t>
            </w:r>
          </w:p>
        </w:tc>
      </w:tr>
      <w:tr w:rsidR="0090749A" w:rsidRPr="00C50A69" w14:paraId="0CB7DC82" w14:textId="77777777" w:rsidTr="00282DDC">
        <w:trPr>
          <w:trHeight w:val="300"/>
        </w:trPr>
        <w:tc>
          <w:tcPr>
            <w:tcW w:w="2689" w:type="dxa"/>
            <w:vMerge w:val="restart"/>
            <w:noWrap/>
            <w:hideMark/>
          </w:tcPr>
          <w:p w14:paraId="053AE59B" w14:textId="23E31F6D" w:rsidR="0090749A" w:rsidRPr="00595AFA" w:rsidRDefault="0090749A" w:rsidP="0090749A">
            <w:pPr>
              <w:spacing w:before="240" w:after="160" w:line="259" w:lineRule="auto"/>
              <w:jc w:val="center"/>
              <w:rPr>
                <w:rFonts w:ascii="Arial" w:hAnsi="Arial" w:cs="Arial"/>
                <w:b/>
                <w:bCs/>
                <w:lang w:val="en-GB"/>
              </w:rPr>
            </w:pPr>
            <w:r w:rsidRPr="00595AFA">
              <w:rPr>
                <w:rFonts w:ascii="Arial" w:hAnsi="Arial" w:cs="Arial"/>
                <w:b/>
                <w:bCs/>
                <w:lang w:val="en-GB"/>
              </w:rPr>
              <w:t xml:space="preserve">Aβ1-40, </w:t>
            </w:r>
            <w:proofErr w:type="spellStart"/>
            <w:r w:rsidRPr="00595AFA">
              <w:rPr>
                <w:rFonts w:ascii="Arial" w:hAnsi="Arial" w:cs="Arial"/>
                <w:b/>
                <w:bCs/>
                <w:lang w:val="en-GB"/>
              </w:rPr>
              <w:t>pg</w:t>
            </w:r>
            <w:proofErr w:type="spellEnd"/>
            <w:r w:rsidRPr="00595AFA">
              <w:rPr>
                <w:rFonts w:ascii="Arial" w:hAnsi="Arial" w:cs="Arial"/>
                <w:b/>
                <w:bCs/>
                <w:lang w:val="en-GB"/>
              </w:rPr>
              <w:t>/mL</w:t>
            </w:r>
          </w:p>
        </w:tc>
        <w:tc>
          <w:tcPr>
            <w:tcW w:w="1701" w:type="dxa"/>
          </w:tcPr>
          <w:p w14:paraId="7DA08CD7" w14:textId="4CFBCCB6" w:rsidR="0090749A" w:rsidRPr="00595AFA" w:rsidRDefault="00C93B59" w:rsidP="00282DDC">
            <w:pPr>
              <w:spacing w:after="160" w:line="259" w:lineRule="auto"/>
              <w:jc w:val="center"/>
              <w:rPr>
                <w:rFonts w:ascii="Arial" w:hAnsi="Arial" w:cs="Arial"/>
                <w:b/>
                <w:bCs/>
                <w:lang w:val="en-GB"/>
              </w:rPr>
            </w:pPr>
            <w:r w:rsidRPr="00595AFA">
              <w:rPr>
                <w:rFonts w:ascii="Arial" w:hAnsi="Arial" w:cs="Arial"/>
                <w:b/>
                <w:bCs/>
                <w:lang w:val="en-GB"/>
              </w:rPr>
              <w:t>P</w:t>
            </w:r>
            <w:r w:rsidR="0090749A" w:rsidRPr="00595AFA">
              <w:rPr>
                <w:rFonts w:ascii="Arial" w:hAnsi="Arial" w:cs="Arial"/>
                <w:b/>
                <w:bCs/>
                <w:lang w:val="en-GB"/>
              </w:rPr>
              <w:t>lasma</w:t>
            </w:r>
          </w:p>
        </w:tc>
        <w:tc>
          <w:tcPr>
            <w:tcW w:w="1701" w:type="dxa"/>
            <w:noWrap/>
          </w:tcPr>
          <w:p w14:paraId="3F872514" w14:textId="621C9582" w:rsidR="0090749A" w:rsidRPr="00595AFA" w:rsidRDefault="0090749A" w:rsidP="00282DDC">
            <w:pPr>
              <w:spacing w:after="160" w:line="259" w:lineRule="auto"/>
              <w:jc w:val="center"/>
              <w:rPr>
                <w:rFonts w:ascii="Arial" w:hAnsi="Arial" w:cs="Arial"/>
                <w:bCs/>
                <w:lang w:val="en-GB"/>
              </w:rPr>
            </w:pPr>
            <w:r w:rsidRPr="00595AFA">
              <w:rPr>
                <w:rFonts w:ascii="Arial" w:hAnsi="Arial" w:cs="Arial"/>
                <w:bCs/>
                <w:lang w:val="en-GB"/>
              </w:rPr>
              <w:t>27.2 (9.1)</w:t>
            </w:r>
          </w:p>
        </w:tc>
        <w:tc>
          <w:tcPr>
            <w:tcW w:w="1701" w:type="dxa"/>
            <w:noWrap/>
          </w:tcPr>
          <w:p w14:paraId="3EA64BD4" w14:textId="56682E82" w:rsidR="0090749A" w:rsidRPr="00595AFA" w:rsidRDefault="0090749A" w:rsidP="00282DDC">
            <w:pPr>
              <w:spacing w:after="160" w:line="259" w:lineRule="auto"/>
              <w:jc w:val="center"/>
              <w:rPr>
                <w:rFonts w:ascii="Arial" w:hAnsi="Arial" w:cs="Arial"/>
                <w:bCs/>
                <w:lang w:val="en-GB"/>
              </w:rPr>
            </w:pPr>
            <w:r w:rsidRPr="00595AFA">
              <w:rPr>
                <w:rFonts w:ascii="Arial" w:hAnsi="Arial" w:cs="Arial"/>
                <w:bCs/>
                <w:lang w:val="en-GB"/>
              </w:rPr>
              <w:t>18.7 – 65.6</w:t>
            </w:r>
          </w:p>
        </w:tc>
      </w:tr>
      <w:tr w:rsidR="0090749A" w:rsidRPr="00C50A69" w14:paraId="1E862CD4" w14:textId="77777777" w:rsidTr="00282DDC">
        <w:trPr>
          <w:trHeight w:val="300"/>
        </w:trPr>
        <w:tc>
          <w:tcPr>
            <w:tcW w:w="2689" w:type="dxa"/>
            <w:vMerge/>
            <w:noWrap/>
          </w:tcPr>
          <w:p w14:paraId="40C1854B" w14:textId="1D68FE08" w:rsidR="0090749A" w:rsidRPr="00595AFA" w:rsidRDefault="0090749A" w:rsidP="00282DDC">
            <w:pPr>
              <w:spacing w:after="160" w:line="259" w:lineRule="auto"/>
              <w:jc w:val="center"/>
              <w:rPr>
                <w:rFonts w:ascii="Arial" w:hAnsi="Arial" w:cs="Arial"/>
                <w:b/>
                <w:bCs/>
                <w:lang w:val="en-GB"/>
              </w:rPr>
            </w:pPr>
          </w:p>
        </w:tc>
        <w:tc>
          <w:tcPr>
            <w:tcW w:w="1701" w:type="dxa"/>
          </w:tcPr>
          <w:p w14:paraId="4F488C22" w14:textId="7C2BEF74" w:rsidR="0090749A" w:rsidRPr="00595AFA" w:rsidRDefault="00C93B59" w:rsidP="00282DDC">
            <w:pPr>
              <w:spacing w:after="160" w:line="259" w:lineRule="auto"/>
              <w:jc w:val="center"/>
              <w:rPr>
                <w:rFonts w:ascii="Arial" w:hAnsi="Arial" w:cs="Arial"/>
                <w:b/>
                <w:bCs/>
                <w:lang w:val="en-GB"/>
              </w:rPr>
            </w:pPr>
            <w:r w:rsidRPr="00595AFA">
              <w:rPr>
                <w:rFonts w:ascii="Arial" w:hAnsi="Arial" w:cs="Arial"/>
                <w:b/>
                <w:bCs/>
                <w:lang w:val="en-GB"/>
              </w:rPr>
              <w:t>S</w:t>
            </w:r>
            <w:r w:rsidR="0090749A" w:rsidRPr="00595AFA">
              <w:rPr>
                <w:rFonts w:ascii="Arial" w:hAnsi="Arial" w:cs="Arial"/>
                <w:b/>
                <w:bCs/>
                <w:lang w:val="en-GB"/>
              </w:rPr>
              <w:t>erum</w:t>
            </w:r>
          </w:p>
        </w:tc>
        <w:tc>
          <w:tcPr>
            <w:tcW w:w="1701" w:type="dxa"/>
            <w:noWrap/>
          </w:tcPr>
          <w:p w14:paraId="5B2376B2" w14:textId="13481489" w:rsidR="0090749A" w:rsidRPr="00595AFA" w:rsidRDefault="0090749A" w:rsidP="00282DDC">
            <w:pPr>
              <w:spacing w:after="160" w:line="259" w:lineRule="auto"/>
              <w:jc w:val="center"/>
              <w:rPr>
                <w:rFonts w:ascii="Arial" w:hAnsi="Arial" w:cs="Arial"/>
                <w:bCs/>
                <w:lang w:val="en-GB"/>
              </w:rPr>
            </w:pPr>
            <w:r w:rsidRPr="00595AFA">
              <w:rPr>
                <w:rFonts w:ascii="Arial" w:hAnsi="Arial" w:cs="Arial"/>
                <w:bCs/>
                <w:lang w:val="en-GB"/>
              </w:rPr>
              <w:t>1.6 (0.4)</w:t>
            </w:r>
          </w:p>
        </w:tc>
        <w:tc>
          <w:tcPr>
            <w:tcW w:w="1701" w:type="dxa"/>
            <w:noWrap/>
          </w:tcPr>
          <w:p w14:paraId="7A8D6C71" w14:textId="524EFB46" w:rsidR="0090749A" w:rsidRPr="00595AFA" w:rsidRDefault="0090749A" w:rsidP="00282DDC">
            <w:pPr>
              <w:spacing w:after="160" w:line="259" w:lineRule="auto"/>
              <w:jc w:val="center"/>
              <w:rPr>
                <w:rFonts w:ascii="Arial" w:hAnsi="Arial" w:cs="Arial"/>
                <w:bCs/>
                <w:lang w:val="en-GB"/>
              </w:rPr>
            </w:pPr>
            <w:r w:rsidRPr="00595AFA">
              <w:rPr>
                <w:rFonts w:ascii="Arial" w:hAnsi="Arial" w:cs="Arial"/>
                <w:bCs/>
                <w:lang w:val="en-GB"/>
              </w:rPr>
              <w:t>1.0 – 2.6</w:t>
            </w:r>
          </w:p>
        </w:tc>
      </w:tr>
      <w:tr w:rsidR="0090749A" w:rsidRPr="00C50A69" w14:paraId="364466DA" w14:textId="77777777" w:rsidTr="00282DDC">
        <w:trPr>
          <w:trHeight w:val="300"/>
        </w:trPr>
        <w:tc>
          <w:tcPr>
            <w:tcW w:w="2689" w:type="dxa"/>
            <w:vMerge w:val="restart"/>
            <w:noWrap/>
            <w:hideMark/>
          </w:tcPr>
          <w:p w14:paraId="04932E90" w14:textId="28AAFE12" w:rsidR="0090749A" w:rsidRPr="00595AFA" w:rsidRDefault="0090749A" w:rsidP="0090749A">
            <w:pPr>
              <w:spacing w:before="240" w:after="160" w:line="259" w:lineRule="auto"/>
              <w:jc w:val="center"/>
              <w:rPr>
                <w:rFonts w:ascii="Arial" w:hAnsi="Arial" w:cs="Arial"/>
                <w:b/>
                <w:bCs/>
                <w:lang w:val="en-GB"/>
              </w:rPr>
            </w:pPr>
            <w:r w:rsidRPr="00595AFA">
              <w:rPr>
                <w:rFonts w:ascii="Arial" w:hAnsi="Arial" w:cs="Arial"/>
                <w:b/>
                <w:bCs/>
                <w:lang w:val="en-GB"/>
              </w:rPr>
              <w:t xml:space="preserve">Aβ1-42, </w:t>
            </w:r>
            <w:proofErr w:type="spellStart"/>
            <w:r w:rsidRPr="00595AFA">
              <w:rPr>
                <w:rFonts w:ascii="Arial" w:hAnsi="Arial" w:cs="Arial"/>
                <w:b/>
                <w:bCs/>
                <w:lang w:val="en-GB"/>
              </w:rPr>
              <w:t>pg</w:t>
            </w:r>
            <w:proofErr w:type="spellEnd"/>
            <w:r w:rsidRPr="00595AFA">
              <w:rPr>
                <w:rFonts w:ascii="Arial" w:hAnsi="Arial" w:cs="Arial"/>
                <w:b/>
                <w:bCs/>
                <w:lang w:val="en-GB"/>
              </w:rPr>
              <w:t>/mL</w:t>
            </w:r>
          </w:p>
        </w:tc>
        <w:tc>
          <w:tcPr>
            <w:tcW w:w="1701" w:type="dxa"/>
          </w:tcPr>
          <w:p w14:paraId="5E021D88" w14:textId="343A1E64" w:rsidR="0090749A" w:rsidRPr="00595AFA" w:rsidRDefault="00C93B59" w:rsidP="0090749A">
            <w:pPr>
              <w:spacing w:after="160" w:line="259" w:lineRule="auto"/>
              <w:jc w:val="center"/>
              <w:rPr>
                <w:rFonts w:ascii="Arial" w:hAnsi="Arial" w:cs="Arial"/>
                <w:b/>
                <w:bCs/>
                <w:lang w:val="en-GB"/>
              </w:rPr>
            </w:pPr>
            <w:r w:rsidRPr="00595AFA">
              <w:rPr>
                <w:rFonts w:ascii="Arial" w:hAnsi="Arial" w:cs="Arial"/>
                <w:b/>
                <w:bCs/>
                <w:lang w:val="en-GB"/>
              </w:rPr>
              <w:t>P</w:t>
            </w:r>
            <w:r w:rsidR="0090749A" w:rsidRPr="00595AFA">
              <w:rPr>
                <w:rFonts w:ascii="Arial" w:hAnsi="Arial" w:cs="Arial"/>
                <w:b/>
                <w:bCs/>
                <w:lang w:val="en-GB"/>
              </w:rPr>
              <w:t>lasma</w:t>
            </w:r>
          </w:p>
        </w:tc>
        <w:tc>
          <w:tcPr>
            <w:tcW w:w="1701" w:type="dxa"/>
            <w:noWrap/>
          </w:tcPr>
          <w:p w14:paraId="1D6DFACB" w14:textId="2D34CF51" w:rsidR="0090749A" w:rsidRPr="00595AFA" w:rsidRDefault="0090749A" w:rsidP="0090749A">
            <w:pPr>
              <w:spacing w:after="160" w:line="259" w:lineRule="auto"/>
              <w:jc w:val="center"/>
              <w:rPr>
                <w:rFonts w:ascii="Arial" w:hAnsi="Arial" w:cs="Arial"/>
                <w:bCs/>
                <w:lang w:val="en-GB"/>
              </w:rPr>
            </w:pPr>
            <w:r w:rsidRPr="00595AFA">
              <w:rPr>
                <w:rFonts w:ascii="Arial" w:hAnsi="Arial" w:cs="Arial"/>
                <w:bCs/>
                <w:lang w:val="en-GB"/>
              </w:rPr>
              <w:t>345.5 (110.5)</w:t>
            </w:r>
          </w:p>
        </w:tc>
        <w:tc>
          <w:tcPr>
            <w:tcW w:w="1701" w:type="dxa"/>
            <w:noWrap/>
          </w:tcPr>
          <w:p w14:paraId="1F3B053B" w14:textId="0F77824D" w:rsidR="0090749A" w:rsidRPr="00595AFA" w:rsidRDefault="0090749A" w:rsidP="0090749A">
            <w:pPr>
              <w:spacing w:after="160" w:line="259" w:lineRule="auto"/>
              <w:jc w:val="center"/>
              <w:rPr>
                <w:rFonts w:ascii="Arial" w:hAnsi="Arial" w:cs="Arial"/>
                <w:bCs/>
                <w:lang w:val="en-GB"/>
              </w:rPr>
            </w:pPr>
            <w:r w:rsidRPr="00595AFA">
              <w:rPr>
                <w:rFonts w:ascii="Arial" w:hAnsi="Arial" w:cs="Arial"/>
                <w:bCs/>
                <w:lang w:val="en-GB"/>
              </w:rPr>
              <w:t>230.8 – 780.4</w:t>
            </w:r>
          </w:p>
        </w:tc>
      </w:tr>
      <w:tr w:rsidR="0090749A" w:rsidRPr="00C50A69" w14:paraId="68B48AC3" w14:textId="77777777" w:rsidTr="00282DDC">
        <w:trPr>
          <w:trHeight w:val="300"/>
        </w:trPr>
        <w:tc>
          <w:tcPr>
            <w:tcW w:w="2689" w:type="dxa"/>
            <w:vMerge/>
            <w:noWrap/>
          </w:tcPr>
          <w:p w14:paraId="49444081" w14:textId="5FE639B8" w:rsidR="0090749A" w:rsidRPr="00595AFA" w:rsidRDefault="0090749A" w:rsidP="0090749A">
            <w:pPr>
              <w:spacing w:after="160" w:line="259" w:lineRule="auto"/>
              <w:jc w:val="center"/>
              <w:rPr>
                <w:rFonts w:ascii="Arial" w:hAnsi="Arial" w:cs="Arial"/>
                <w:b/>
                <w:bCs/>
                <w:lang w:val="en-GB"/>
              </w:rPr>
            </w:pPr>
          </w:p>
        </w:tc>
        <w:tc>
          <w:tcPr>
            <w:tcW w:w="1701" w:type="dxa"/>
          </w:tcPr>
          <w:p w14:paraId="69273D99" w14:textId="62A464D1" w:rsidR="0090749A" w:rsidRPr="00595AFA" w:rsidRDefault="00C93B59" w:rsidP="0090749A">
            <w:pPr>
              <w:spacing w:after="160" w:line="259" w:lineRule="auto"/>
              <w:jc w:val="center"/>
              <w:rPr>
                <w:rFonts w:ascii="Arial" w:hAnsi="Arial" w:cs="Arial"/>
                <w:b/>
                <w:bCs/>
                <w:lang w:val="en-GB"/>
              </w:rPr>
            </w:pPr>
            <w:r w:rsidRPr="00595AFA">
              <w:rPr>
                <w:rFonts w:ascii="Arial" w:hAnsi="Arial" w:cs="Arial"/>
                <w:b/>
                <w:bCs/>
                <w:lang w:val="en-GB"/>
              </w:rPr>
              <w:t>S</w:t>
            </w:r>
            <w:r w:rsidR="0090749A" w:rsidRPr="00595AFA">
              <w:rPr>
                <w:rFonts w:ascii="Arial" w:hAnsi="Arial" w:cs="Arial"/>
                <w:b/>
                <w:bCs/>
                <w:lang w:val="en-GB"/>
              </w:rPr>
              <w:t>erum</w:t>
            </w:r>
          </w:p>
        </w:tc>
        <w:tc>
          <w:tcPr>
            <w:tcW w:w="1701" w:type="dxa"/>
            <w:noWrap/>
          </w:tcPr>
          <w:p w14:paraId="5A6B6A35" w14:textId="1233D2B6" w:rsidR="0090749A" w:rsidRPr="00595AFA" w:rsidRDefault="0090749A" w:rsidP="0090749A">
            <w:pPr>
              <w:spacing w:after="160" w:line="259" w:lineRule="auto"/>
              <w:jc w:val="center"/>
              <w:rPr>
                <w:rFonts w:ascii="Arial" w:hAnsi="Arial" w:cs="Arial"/>
                <w:bCs/>
                <w:lang w:val="en-GB"/>
              </w:rPr>
            </w:pPr>
            <w:r w:rsidRPr="00595AFA">
              <w:rPr>
                <w:rFonts w:ascii="Arial" w:hAnsi="Arial" w:cs="Arial"/>
                <w:bCs/>
                <w:lang w:val="en-GB"/>
              </w:rPr>
              <w:t>211.2 (84.8)</w:t>
            </w:r>
          </w:p>
        </w:tc>
        <w:tc>
          <w:tcPr>
            <w:tcW w:w="1701" w:type="dxa"/>
            <w:noWrap/>
          </w:tcPr>
          <w:p w14:paraId="65D648D2" w14:textId="3BDB8CE6" w:rsidR="0090749A" w:rsidRPr="00595AFA" w:rsidRDefault="0090749A" w:rsidP="0090749A">
            <w:pPr>
              <w:spacing w:after="160" w:line="259" w:lineRule="auto"/>
              <w:jc w:val="center"/>
              <w:rPr>
                <w:rFonts w:ascii="Arial" w:hAnsi="Arial" w:cs="Arial"/>
                <w:bCs/>
                <w:lang w:val="en-GB"/>
              </w:rPr>
            </w:pPr>
            <w:r w:rsidRPr="00595AFA">
              <w:rPr>
                <w:rFonts w:ascii="Arial" w:hAnsi="Arial" w:cs="Arial"/>
                <w:bCs/>
                <w:lang w:val="en-GB"/>
              </w:rPr>
              <w:t>83.1 – 440.8</w:t>
            </w:r>
          </w:p>
        </w:tc>
      </w:tr>
      <w:tr w:rsidR="0090749A" w:rsidRPr="00C50A69" w14:paraId="007BCABE" w14:textId="77777777" w:rsidTr="00282DDC">
        <w:trPr>
          <w:trHeight w:val="300"/>
        </w:trPr>
        <w:tc>
          <w:tcPr>
            <w:tcW w:w="2689" w:type="dxa"/>
            <w:vMerge w:val="restart"/>
            <w:noWrap/>
          </w:tcPr>
          <w:p w14:paraId="792A786E" w14:textId="46DEEDEE" w:rsidR="0090749A" w:rsidRPr="00595AFA" w:rsidRDefault="0090749A" w:rsidP="0090749A">
            <w:pPr>
              <w:spacing w:before="240" w:after="160" w:line="259" w:lineRule="auto"/>
              <w:jc w:val="center"/>
              <w:rPr>
                <w:rFonts w:ascii="Arial" w:hAnsi="Arial" w:cs="Arial"/>
                <w:b/>
                <w:bCs/>
                <w:lang w:val="en-GB"/>
              </w:rPr>
            </w:pPr>
            <w:r w:rsidRPr="00595AFA">
              <w:rPr>
                <w:rFonts w:ascii="Arial" w:hAnsi="Arial" w:cs="Arial"/>
                <w:b/>
                <w:bCs/>
                <w:lang w:val="en-GB"/>
              </w:rPr>
              <w:t>Aβ1-42/Aβ1-40</w:t>
            </w:r>
          </w:p>
        </w:tc>
        <w:tc>
          <w:tcPr>
            <w:tcW w:w="1701" w:type="dxa"/>
          </w:tcPr>
          <w:p w14:paraId="52F6BFF7" w14:textId="7724E0DC" w:rsidR="0090749A" w:rsidRPr="00595AFA" w:rsidRDefault="00C93B59" w:rsidP="0090749A">
            <w:pPr>
              <w:spacing w:after="160" w:line="259" w:lineRule="auto"/>
              <w:jc w:val="center"/>
              <w:rPr>
                <w:rFonts w:ascii="Arial" w:hAnsi="Arial" w:cs="Arial"/>
                <w:b/>
                <w:lang w:val="en-GB"/>
              </w:rPr>
            </w:pPr>
            <w:r w:rsidRPr="00595AFA">
              <w:rPr>
                <w:rFonts w:ascii="Arial" w:hAnsi="Arial" w:cs="Arial"/>
                <w:b/>
                <w:bCs/>
                <w:lang w:val="en-GB"/>
              </w:rPr>
              <w:t>P</w:t>
            </w:r>
            <w:r w:rsidR="0090749A" w:rsidRPr="00595AFA">
              <w:rPr>
                <w:rFonts w:ascii="Arial" w:hAnsi="Arial" w:cs="Arial"/>
                <w:b/>
                <w:bCs/>
                <w:lang w:val="en-GB"/>
              </w:rPr>
              <w:t>lasma</w:t>
            </w:r>
          </w:p>
        </w:tc>
        <w:tc>
          <w:tcPr>
            <w:tcW w:w="1701" w:type="dxa"/>
            <w:noWrap/>
          </w:tcPr>
          <w:p w14:paraId="6D5B1FDA" w14:textId="2172FA3D"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0.079 (0.009)</w:t>
            </w:r>
          </w:p>
        </w:tc>
        <w:tc>
          <w:tcPr>
            <w:tcW w:w="1701" w:type="dxa"/>
            <w:noWrap/>
          </w:tcPr>
          <w:p w14:paraId="5BE1CCD4" w14:textId="2D82198E"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0.064 – 0.101</w:t>
            </w:r>
          </w:p>
        </w:tc>
      </w:tr>
      <w:tr w:rsidR="0090749A" w:rsidRPr="00C50A69" w14:paraId="28E8641A" w14:textId="77777777" w:rsidTr="00282DDC">
        <w:trPr>
          <w:trHeight w:val="300"/>
        </w:trPr>
        <w:tc>
          <w:tcPr>
            <w:tcW w:w="2689" w:type="dxa"/>
            <w:vMerge/>
            <w:noWrap/>
          </w:tcPr>
          <w:p w14:paraId="1B49BBF8" w14:textId="1E412641" w:rsidR="0090749A" w:rsidRPr="00595AFA" w:rsidRDefault="0090749A" w:rsidP="0090749A">
            <w:pPr>
              <w:spacing w:after="160" w:line="259" w:lineRule="auto"/>
              <w:jc w:val="center"/>
              <w:rPr>
                <w:rFonts w:ascii="Arial" w:hAnsi="Arial" w:cs="Arial"/>
                <w:b/>
                <w:lang w:val="en-GB"/>
              </w:rPr>
            </w:pPr>
          </w:p>
        </w:tc>
        <w:tc>
          <w:tcPr>
            <w:tcW w:w="1701" w:type="dxa"/>
          </w:tcPr>
          <w:p w14:paraId="32515846" w14:textId="340AE83C" w:rsidR="0090749A" w:rsidRPr="00595AFA" w:rsidRDefault="00C93B59" w:rsidP="0090749A">
            <w:pPr>
              <w:spacing w:after="160" w:line="259" w:lineRule="auto"/>
              <w:jc w:val="center"/>
              <w:rPr>
                <w:rFonts w:ascii="Arial" w:hAnsi="Arial" w:cs="Arial"/>
                <w:b/>
                <w:lang w:val="en-GB"/>
              </w:rPr>
            </w:pPr>
            <w:r w:rsidRPr="00595AFA">
              <w:rPr>
                <w:rFonts w:ascii="Arial" w:hAnsi="Arial" w:cs="Arial"/>
                <w:b/>
                <w:bCs/>
                <w:lang w:val="en-GB"/>
              </w:rPr>
              <w:t>S</w:t>
            </w:r>
            <w:r w:rsidR="0090749A" w:rsidRPr="00595AFA">
              <w:rPr>
                <w:rFonts w:ascii="Arial" w:hAnsi="Arial" w:cs="Arial"/>
                <w:b/>
                <w:bCs/>
                <w:lang w:val="en-GB"/>
              </w:rPr>
              <w:t>erum</w:t>
            </w:r>
          </w:p>
        </w:tc>
        <w:tc>
          <w:tcPr>
            <w:tcW w:w="1701" w:type="dxa"/>
            <w:noWrap/>
          </w:tcPr>
          <w:p w14:paraId="76BCD46F" w14:textId="5F2F3D59"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0.009 (0.004)</w:t>
            </w:r>
          </w:p>
        </w:tc>
        <w:tc>
          <w:tcPr>
            <w:tcW w:w="1701" w:type="dxa"/>
            <w:noWrap/>
          </w:tcPr>
          <w:p w14:paraId="452EA122" w14:textId="7DE6E5FD"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0.004 – 0.02</w:t>
            </w:r>
          </w:p>
        </w:tc>
      </w:tr>
      <w:tr w:rsidR="0090749A" w:rsidRPr="00C50A69" w14:paraId="32E7EB85" w14:textId="77777777" w:rsidTr="00282DDC">
        <w:trPr>
          <w:trHeight w:val="300"/>
        </w:trPr>
        <w:tc>
          <w:tcPr>
            <w:tcW w:w="2689" w:type="dxa"/>
            <w:vMerge w:val="restart"/>
            <w:noWrap/>
            <w:hideMark/>
          </w:tcPr>
          <w:p w14:paraId="5CE2AC22" w14:textId="4BE072F8" w:rsidR="0090749A" w:rsidRPr="00595AFA" w:rsidRDefault="0090749A" w:rsidP="0090749A">
            <w:pPr>
              <w:spacing w:before="240" w:after="160" w:line="259" w:lineRule="auto"/>
              <w:jc w:val="center"/>
              <w:rPr>
                <w:rFonts w:ascii="Arial" w:hAnsi="Arial" w:cs="Arial"/>
                <w:b/>
                <w:bCs/>
                <w:lang w:val="en-GB"/>
              </w:rPr>
            </w:pPr>
            <w:r w:rsidRPr="00595AFA">
              <w:rPr>
                <w:rFonts w:ascii="Arial" w:hAnsi="Arial" w:cs="Arial"/>
                <w:b/>
                <w:bCs/>
                <w:lang w:val="en-GB"/>
              </w:rPr>
              <w:t>p</w:t>
            </w:r>
            <w:r w:rsidR="00C93B59" w:rsidRPr="00595AFA">
              <w:rPr>
                <w:rFonts w:ascii="Arial" w:hAnsi="Arial" w:cs="Arial"/>
                <w:b/>
                <w:bCs/>
                <w:lang w:val="en-GB"/>
              </w:rPr>
              <w:t>-</w:t>
            </w:r>
            <w:r w:rsidRPr="00595AFA">
              <w:rPr>
                <w:rFonts w:ascii="Arial" w:hAnsi="Arial" w:cs="Arial"/>
                <w:b/>
                <w:bCs/>
                <w:lang w:val="en-GB"/>
              </w:rPr>
              <w:t xml:space="preserve">Tau181, </w:t>
            </w:r>
            <w:proofErr w:type="spellStart"/>
            <w:r w:rsidRPr="00595AFA">
              <w:rPr>
                <w:rFonts w:ascii="Arial" w:hAnsi="Arial" w:cs="Arial"/>
                <w:b/>
                <w:bCs/>
                <w:lang w:val="en-GB"/>
              </w:rPr>
              <w:t>pg</w:t>
            </w:r>
            <w:proofErr w:type="spellEnd"/>
            <w:r w:rsidRPr="00595AFA">
              <w:rPr>
                <w:rFonts w:ascii="Arial" w:hAnsi="Arial" w:cs="Arial"/>
                <w:b/>
                <w:bCs/>
                <w:lang w:val="en-GB"/>
              </w:rPr>
              <w:t>/mL</w:t>
            </w:r>
          </w:p>
        </w:tc>
        <w:tc>
          <w:tcPr>
            <w:tcW w:w="1701" w:type="dxa"/>
          </w:tcPr>
          <w:p w14:paraId="1F1015BC" w14:textId="32A298B5" w:rsidR="0090749A" w:rsidRPr="00595AFA" w:rsidRDefault="00C93B59" w:rsidP="0090749A">
            <w:pPr>
              <w:spacing w:after="160" w:line="259" w:lineRule="auto"/>
              <w:jc w:val="center"/>
              <w:rPr>
                <w:rFonts w:ascii="Arial" w:hAnsi="Arial" w:cs="Arial"/>
                <w:b/>
                <w:lang w:val="en-GB"/>
              </w:rPr>
            </w:pPr>
            <w:r w:rsidRPr="00595AFA">
              <w:rPr>
                <w:rFonts w:ascii="Arial" w:hAnsi="Arial" w:cs="Arial"/>
                <w:b/>
                <w:bCs/>
                <w:lang w:val="en-GB"/>
              </w:rPr>
              <w:t>P</w:t>
            </w:r>
            <w:r w:rsidR="0090749A" w:rsidRPr="00595AFA">
              <w:rPr>
                <w:rFonts w:ascii="Arial" w:hAnsi="Arial" w:cs="Arial"/>
                <w:b/>
                <w:bCs/>
                <w:lang w:val="en-GB"/>
              </w:rPr>
              <w:t>lasma</w:t>
            </w:r>
          </w:p>
        </w:tc>
        <w:tc>
          <w:tcPr>
            <w:tcW w:w="1701" w:type="dxa"/>
            <w:noWrap/>
          </w:tcPr>
          <w:p w14:paraId="7EF26F80" w14:textId="75B44035"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2.9 (1.3)</w:t>
            </w:r>
          </w:p>
        </w:tc>
        <w:tc>
          <w:tcPr>
            <w:tcW w:w="1701" w:type="dxa"/>
            <w:noWrap/>
          </w:tcPr>
          <w:p w14:paraId="35AC6D3F" w14:textId="3F02092D"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1.2 – 6.1</w:t>
            </w:r>
          </w:p>
        </w:tc>
      </w:tr>
      <w:tr w:rsidR="0090749A" w:rsidRPr="00C50A69" w14:paraId="490A77B7" w14:textId="77777777" w:rsidTr="00282DDC">
        <w:trPr>
          <w:trHeight w:val="300"/>
        </w:trPr>
        <w:tc>
          <w:tcPr>
            <w:tcW w:w="2689" w:type="dxa"/>
            <w:vMerge/>
            <w:noWrap/>
          </w:tcPr>
          <w:p w14:paraId="695C8641" w14:textId="4465605B" w:rsidR="0090749A" w:rsidRPr="00595AFA" w:rsidRDefault="0090749A" w:rsidP="0090749A">
            <w:pPr>
              <w:spacing w:after="160" w:line="259" w:lineRule="auto"/>
              <w:jc w:val="center"/>
              <w:rPr>
                <w:rFonts w:ascii="Arial" w:hAnsi="Arial" w:cs="Arial"/>
                <w:b/>
                <w:lang w:val="en-GB"/>
              </w:rPr>
            </w:pPr>
          </w:p>
        </w:tc>
        <w:tc>
          <w:tcPr>
            <w:tcW w:w="1701" w:type="dxa"/>
          </w:tcPr>
          <w:p w14:paraId="7B97970F" w14:textId="17D4702F" w:rsidR="0090749A" w:rsidRPr="00595AFA" w:rsidRDefault="00C93B59" w:rsidP="0090749A">
            <w:pPr>
              <w:spacing w:after="160" w:line="259" w:lineRule="auto"/>
              <w:jc w:val="center"/>
              <w:rPr>
                <w:rFonts w:ascii="Arial" w:hAnsi="Arial" w:cs="Arial"/>
                <w:b/>
                <w:lang w:val="en-GB"/>
              </w:rPr>
            </w:pPr>
            <w:r w:rsidRPr="00595AFA">
              <w:rPr>
                <w:rFonts w:ascii="Arial" w:hAnsi="Arial" w:cs="Arial"/>
                <w:b/>
                <w:bCs/>
                <w:lang w:val="en-GB"/>
              </w:rPr>
              <w:t>S</w:t>
            </w:r>
            <w:r w:rsidR="0090749A" w:rsidRPr="00595AFA">
              <w:rPr>
                <w:rFonts w:ascii="Arial" w:hAnsi="Arial" w:cs="Arial"/>
                <w:b/>
                <w:bCs/>
                <w:lang w:val="en-GB"/>
              </w:rPr>
              <w:t>erum</w:t>
            </w:r>
          </w:p>
        </w:tc>
        <w:tc>
          <w:tcPr>
            <w:tcW w:w="1701" w:type="dxa"/>
            <w:noWrap/>
          </w:tcPr>
          <w:p w14:paraId="1D975C3C" w14:textId="471E971A"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2.0 (1.3)</w:t>
            </w:r>
          </w:p>
        </w:tc>
        <w:tc>
          <w:tcPr>
            <w:tcW w:w="1701" w:type="dxa"/>
            <w:noWrap/>
          </w:tcPr>
          <w:p w14:paraId="52BA1D7F" w14:textId="234DA450" w:rsidR="0090749A" w:rsidRPr="00595AFA" w:rsidRDefault="0090749A" w:rsidP="0090749A">
            <w:pPr>
              <w:spacing w:after="160" w:line="259" w:lineRule="auto"/>
              <w:jc w:val="center"/>
              <w:rPr>
                <w:rFonts w:ascii="Arial" w:hAnsi="Arial" w:cs="Arial"/>
                <w:lang w:val="en-GB"/>
              </w:rPr>
            </w:pPr>
            <w:r w:rsidRPr="00595AFA">
              <w:rPr>
                <w:rFonts w:ascii="Arial" w:hAnsi="Arial" w:cs="Arial"/>
                <w:lang w:val="en-GB"/>
              </w:rPr>
              <w:t>0.7 – 5.1</w:t>
            </w:r>
          </w:p>
        </w:tc>
      </w:tr>
    </w:tbl>
    <w:p w14:paraId="080B119E" w14:textId="2D92FE89" w:rsidR="00FB2D17" w:rsidRDefault="008107C7" w:rsidP="00452B5A">
      <w:pPr>
        <w:spacing w:after="160" w:line="480" w:lineRule="auto"/>
        <w:rPr>
          <w:rFonts w:ascii="Arial" w:hAnsi="Arial" w:cs="Arial"/>
          <w:lang w:val="en-GB"/>
        </w:rPr>
      </w:pPr>
      <w:r w:rsidRPr="00595AFA">
        <w:rPr>
          <w:rFonts w:ascii="Arial" w:hAnsi="Arial" w:cs="Arial"/>
          <w:b/>
          <w:lang w:val="en-GB"/>
        </w:rPr>
        <w:t xml:space="preserve">Table </w:t>
      </w:r>
      <w:r w:rsidR="00DD4452" w:rsidRPr="00595AFA">
        <w:rPr>
          <w:rFonts w:ascii="Arial" w:hAnsi="Arial" w:cs="Arial"/>
          <w:b/>
          <w:lang w:val="en-GB"/>
        </w:rPr>
        <w:t>2</w:t>
      </w:r>
      <w:r w:rsidRPr="00595AFA">
        <w:rPr>
          <w:rFonts w:ascii="Arial" w:hAnsi="Arial" w:cs="Arial"/>
          <w:b/>
          <w:lang w:val="en-GB"/>
        </w:rPr>
        <w:t>.</w:t>
      </w:r>
      <w:r w:rsidRPr="00595AFA">
        <w:rPr>
          <w:rFonts w:ascii="Arial" w:hAnsi="Arial" w:cs="Arial"/>
          <w:lang w:val="en-GB"/>
        </w:rPr>
        <w:t xml:space="preserve"> Mean (SD) and range for demographic and biochemical data under condition C for </w:t>
      </w:r>
      <w:r w:rsidR="00180BA6">
        <w:rPr>
          <w:rFonts w:ascii="Arial" w:hAnsi="Arial" w:cs="Arial"/>
          <w:lang w:val="en-GB"/>
        </w:rPr>
        <w:t>EDTA-</w:t>
      </w:r>
      <w:r w:rsidRPr="00595AFA">
        <w:rPr>
          <w:rFonts w:ascii="Arial" w:hAnsi="Arial" w:cs="Arial"/>
          <w:lang w:val="en-GB"/>
        </w:rPr>
        <w:t>plasma</w:t>
      </w:r>
      <w:r w:rsidR="005A0A78">
        <w:rPr>
          <w:rFonts w:ascii="Arial" w:hAnsi="Arial" w:cs="Arial"/>
          <w:lang w:val="en-GB"/>
        </w:rPr>
        <w:t xml:space="preserve"> vs. </w:t>
      </w:r>
      <w:r w:rsidRPr="00595AFA">
        <w:rPr>
          <w:rFonts w:ascii="Arial" w:hAnsi="Arial" w:cs="Arial"/>
          <w:lang w:val="en-GB"/>
        </w:rPr>
        <w:t xml:space="preserve">serum comparison analysis. MMSE: Mini-Mental Status Examination. </w:t>
      </w:r>
    </w:p>
    <w:p w14:paraId="5D947F32" w14:textId="24E0942E" w:rsidR="00452B5A" w:rsidRDefault="00452B5A" w:rsidP="00452B5A">
      <w:pPr>
        <w:spacing w:after="160" w:line="480" w:lineRule="auto"/>
        <w:rPr>
          <w:rFonts w:ascii="Arial" w:hAnsi="Arial" w:cs="Arial"/>
          <w:lang w:val="en-GB"/>
        </w:rPr>
      </w:pPr>
    </w:p>
    <w:p w14:paraId="56A17B95" w14:textId="77777777" w:rsidR="00452B5A" w:rsidRDefault="00452B5A" w:rsidP="00452B5A">
      <w:pPr>
        <w:spacing w:after="160" w:line="480" w:lineRule="auto"/>
        <w:rPr>
          <w:rFonts w:ascii="Arial" w:hAnsi="Arial" w:cs="Arial"/>
          <w:lang w:val="en-GB"/>
        </w:rPr>
      </w:pPr>
    </w:p>
    <w:tbl>
      <w:tblPr>
        <w:tblStyle w:val="Taulaambquadrcula"/>
        <w:tblW w:w="0" w:type="auto"/>
        <w:tblLook w:val="04A0" w:firstRow="1" w:lastRow="0" w:firstColumn="1" w:lastColumn="0" w:noHBand="0" w:noVBand="1"/>
      </w:tblPr>
      <w:tblGrid>
        <w:gridCol w:w="1568"/>
        <w:gridCol w:w="2680"/>
        <w:gridCol w:w="850"/>
        <w:gridCol w:w="1276"/>
        <w:gridCol w:w="1276"/>
        <w:gridCol w:w="844"/>
      </w:tblGrid>
      <w:tr w:rsidR="00FB2D17" w14:paraId="275B7CA3" w14:textId="77777777" w:rsidTr="009F53AC">
        <w:trPr>
          <w:trHeight w:val="841"/>
        </w:trPr>
        <w:tc>
          <w:tcPr>
            <w:tcW w:w="1568" w:type="dxa"/>
          </w:tcPr>
          <w:p w14:paraId="2ED42F72" w14:textId="0E4CCCB7" w:rsidR="00FB2D17" w:rsidRPr="00FB2D17" w:rsidRDefault="00FB2D17" w:rsidP="00FB2D17">
            <w:pPr>
              <w:spacing w:before="240" w:after="160" w:line="480" w:lineRule="auto"/>
              <w:jc w:val="center"/>
              <w:rPr>
                <w:rFonts w:ascii="Arial" w:hAnsi="Arial" w:cs="Arial"/>
                <w:b/>
                <w:lang w:val="en-GB"/>
              </w:rPr>
            </w:pPr>
            <w:r w:rsidRPr="00FB2D17">
              <w:rPr>
                <w:rFonts w:ascii="Arial" w:hAnsi="Arial" w:cs="Arial"/>
                <w:b/>
                <w:lang w:val="en-GB"/>
              </w:rPr>
              <w:lastRenderedPageBreak/>
              <w:t>Biomarker</w:t>
            </w:r>
          </w:p>
        </w:tc>
        <w:tc>
          <w:tcPr>
            <w:tcW w:w="2680" w:type="dxa"/>
          </w:tcPr>
          <w:p w14:paraId="20CD77E3" w14:textId="276ECF91" w:rsidR="00FB2D17" w:rsidRPr="00FB2D17" w:rsidRDefault="00FB2D17" w:rsidP="00FB2D17">
            <w:pPr>
              <w:spacing w:before="240" w:after="160" w:line="480" w:lineRule="auto"/>
              <w:jc w:val="center"/>
              <w:rPr>
                <w:rFonts w:ascii="Arial" w:hAnsi="Arial" w:cs="Arial"/>
                <w:b/>
                <w:lang w:val="en-GB"/>
              </w:rPr>
            </w:pPr>
            <w:r w:rsidRPr="00FB2D17">
              <w:rPr>
                <w:rFonts w:ascii="Arial" w:hAnsi="Arial" w:cs="Arial"/>
                <w:b/>
                <w:lang w:val="en-GB"/>
              </w:rPr>
              <w:t>Comparison</w:t>
            </w:r>
          </w:p>
        </w:tc>
        <w:tc>
          <w:tcPr>
            <w:tcW w:w="850" w:type="dxa"/>
          </w:tcPr>
          <w:p w14:paraId="1D2CF12C" w14:textId="0896EB4C" w:rsidR="00FB2D17" w:rsidRPr="00FB2D17" w:rsidRDefault="00FB2D17" w:rsidP="00FB2D17">
            <w:pPr>
              <w:spacing w:before="240" w:after="160" w:line="480" w:lineRule="auto"/>
              <w:jc w:val="center"/>
              <w:rPr>
                <w:rFonts w:ascii="Arial" w:hAnsi="Arial" w:cs="Arial"/>
                <w:b/>
                <w:lang w:val="en-GB"/>
              </w:rPr>
            </w:pPr>
            <w:r w:rsidRPr="00FB2D17">
              <w:rPr>
                <w:rFonts w:ascii="Arial" w:hAnsi="Arial" w:cs="Arial"/>
                <w:b/>
                <w:lang w:val="en-GB"/>
              </w:rPr>
              <w:t>n</w:t>
            </w:r>
          </w:p>
        </w:tc>
        <w:tc>
          <w:tcPr>
            <w:tcW w:w="1276" w:type="dxa"/>
          </w:tcPr>
          <w:p w14:paraId="602CE6C5" w14:textId="59C0C5D5" w:rsidR="00FB2D17" w:rsidRPr="00FB2D17" w:rsidRDefault="00FB2D17" w:rsidP="00FB2D17">
            <w:pPr>
              <w:spacing w:before="240" w:after="160" w:line="480" w:lineRule="auto"/>
              <w:jc w:val="center"/>
              <w:rPr>
                <w:rFonts w:ascii="Arial" w:hAnsi="Arial" w:cs="Arial"/>
                <w:b/>
                <w:lang w:val="en-GB"/>
              </w:rPr>
            </w:pPr>
            <w:r w:rsidRPr="00FB2D17">
              <w:rPr>
                <w:rFonts w:ascii="Arial" w:hAnsi="Arial" w:cs="Arial"/>
                <w:b/>
                <w:lang w:val="en-GB"/>
              </w:rPr>
              <w:t>Slope</w:t>
            </w:r>
          </w:p>
        </w:tc>
        <w:tc>
          <w:tcPr>
            <w:tcW w:w="1276" w:type="dxa"/>
          </w:tcPr>
          <w:p w14:paraId="359DFFD7" w14:textId="244DB062" w:rsidR="00FB2D17" w:rsidRPr="00FB2D17" w:rsidRDefault="00FB2D17" w:rsidP="00FB2D17">
            <w:pPr>
              <w:spacing w:before="240" w:after="160" w:line="480" w:lineRule="auto"/>
              <w:jc w:val="center"/>
              <w:rPr>
                <w:rFonts w:ascii="Arial" w:hAnsi="Arial" w:cs="Arial"/>
                <w:b/>
                <w:lang w:val="en-GB"/>
              </w:rPr>
            </w:pPr>
            <w:r w:rsidRPr="00FB2D17">
              <w:rPr>
                <w:rFonts w:ascii="Arial" w:hAnsi="Arial" w:cs="Arial"/>
                <w:b/>
                <w:lang w:val="en-GB"/>
              </w:rPr>
              <w:t>Intercept</w:t>
            </w:r>
          </w:p>
        </w:tc>
        <w:tc>
          <w:tcPr>
            <w:tcW w:w="844" w:type="dxa"/>
          </w:tcPr>
          <w:p w14:paraId="096CA0A5" w14:textId="53745C11" w:rsidR="00FB2D17" w:rsidRPr="00FB2D17" w:rsidRDefault="00FB2D17" w:rsidP="00FB2D17">
            <w:pPr>
              <w:spacing w:before="240" w:after="160" w:line="480" w:lineRule="auto"/>
              <w:jc w:val="center"/>
              <w:rPr>
                <w:rFonts w:ascii="Arial" w:hAnsi="Arial" w:cs="Arial"/>
                <w:b/>
                <w:lang w:val="en-GB"/>
              </w:rPr>
            </w:pPr>
            <w:r w:rsidRPr="00FB2D17">
              <w:rPr>
                <w:rFonts w:ascii="Arial" w:hAnsi="Arial" w:cs="Arial"/>
                <w:b/>
                <w:lang w:val="en-GB"/>
              </w:rPr>
              <w:t>r</w:t>
            </w:r>
          </w:p>
        </w:tc>
      </w:tr>
      <w:tr w:rsidR="00700445" w14:paraId="62AC5F30" w14:textId="77777777" w:rsidTr="009F53AC">
        <w:tc>
          <w:tcPr>
            <w:tcW w:w="1568" w:type="dxa"/>
            <w:vMerge w:val="restart"/>
          </w:tcPr>
          <w:p w14:paraId="7BC93082" w14:textId="3EA3C750" w:rsidR="00700445" w:rsidRPr="009F53AC" w:rsidRDefault="00700445" w:rsidP="00700445">
            <w:pPr>
              <w:spacing w:before="240" w:after="160" w:line="259" w:lineRule="auto"/>
              <w:jc w:val="center"/>
              <w:rPr>
                <w:rFonts w:ascii="Arial" w:hAnsi="Arial" w:cs="Arial"/>
                <w:b/>
                <w:bCs/>
                <w:lang w:val="en-GB"/>
              </w:rPr>
            </w:pPr>
            <w:r w:rsidRPr="009F53AC">
              <w:rPr>
                <w:rFonts w:ascii="Arial" w:hAnsi="Arial" w:cs="Arial"/>
                <w:b/>
                <w:bCs/>
                <w:lang w:val="en-GB"/>
              </w:rPr>
              <w:t>p-Tau181</w:t>
            </w:r>
          </w:p>
        </w:tc>
        <w:tc>
          <w:tcPr>
            <w:tcW w:w="2680" w:type="dxa"/>
          </w:tcPr>
          <w:p w14:paraId="26586F86" w14:textId="64FF9A27" w:rsidR="00700445" w:rsidRDefault="00700445" w:rsidP="00700445">
            <w:pPr>
              <w:spacing w:after="160" w:line="480" w:lineRule="auto"/>
              <w:rPr>
                <w:rFonts w:ascii="Arial" w:hAnsi="Arial" w:cs="Arial"/>
                <w:lang w:val="en-GB"/>
              </w:rPr>
            </w:pPr>
            <w:r>
              <w:rPr>
                <w:rFonts w:ascii="Arial" w:hAnsi="Arial" w:cs="Arial"/>
                <w:lang w:val="en-GB"/>
              </w:rPr>
              <w:t>C vs. A</w:t>
            </w:r>
          </w:p>
        </w:tc>
        <w:tc>
          <w:tcPr>
            <w:tcW w:w="850" w:type="dxa"/>
          </w:tcPr>
          <w:p w14:paraId="7056ED60" w14:textId="3CC9A85A" w:rsidR="00700445" w:rsidRDefault="00700445" w:rsidP="00700445">
            <w:pPr>
              <w:spacing w:after="160" w:line="480" w:lineRule="auto"/>
              <w:jc w:val="center"/>
              <w:rPr>
                <w:rFonts w:ascii="Arial" w:hAnsi="Arial" w:cs="Arial"/>
                <w:lang w:val="en-GB"/>
              </w:rPr>
            </w:pPr>
            <w:r>
              <w:rPr>
                <w:rFonts w:ascii="Arial" w:hAnsi="Arial" w:cs="Arial"/>
                <w:lang w:val="en-GB"/>
              </w:rPr>
              <w:t>27</w:t>
            </w:r>
          </w:p>
        </w:tc>
        <w:tc>
          <w:tcPr>
            <w:tcW w:w="1276" w:type="dxa"/>
          </w:tcPr>
          <w:p w14:paraId="51DD6958" w14:textId="1F4C6AE6" w:rsidR="00700445" w:rsidRDefault="00700445" w:rsidP="00700445">
            <w:pPr>
              <w:spacing w:after="160" w:line="480" w:lineRule="auto"/>
              <w:jc w:val="center"/>
              <w:rPr>
                <w:rFonts w:ascii="Arial" w:hAnsi="Arial" w:cs="Arial"/>
                <w:lang w:val="en-GB"/>
              </w:rPr>
            </w:pPr>
            <w:r>
              <w:rPr>
                <w:rFonts w:ascii="Arial" w:hAnsi="Arial" w:cs="Arial"/>
                <w:lang w:val="en-GB"/>
              </w:rPr>
              <w:t>0.8908</w:t>
            </w:r>
          </w:p>
        </w:tc>
        <w:tc>
          <w:tcPr>
            <w:tcW w:w="1276" w:type="dxa"/>
          </w:tcPr>
          <w:p w14:paraId="361F3D58" w14:textId="51ADCA1A" w:rsidR="00700445" w:rsidRDefault="00700445" w:rsidP="00700445">
            <w:pPr>
              <w:spacing w:after="160" w:line="480" w:lineRule="auto"/>
              <w:jc w:val="center"/>
              <w:rPr>
                <w:rFonts w:ascii="Arial" w:hAnsi="Arial" w:cs="Arial"/>
                <w:lang w:val="en-GB"/>
              </w:rPr>
            </w:pPr>
            <w:r>
              <w:rPr>
                <w:rFonts w:ascii="Arial" w:hAnsi="Arial" w:cs="Arial"/>
                <w:lang w:val="en-GB"/>
              </w:rPr>
              <w:t>0.7973</w:t>
            </w:r>
          </w:p>
        </w:tc>
        <w:tc>
          <w:tcPr>
            <w:tcW w:w="844" w:type="dxa"/>
          </w:tcPr>
          <w:p w14:paraId="678133C8" w14:textId="132F2B67" w:rsidR="00700445" w:rsidRDefault="00700445" w:rsidP="00700445">
            <w:pPr>
              <w:spacing w:after="160" w:line="480" w:lineRule="auto"/>
              <w:jc w:val="center"/>
              <w:rPr>
                <w:rFonts w:ascii="Arial" w:hAnsi="Arial" w:cs="Arial"/>
                <w:lang w:val="en-GB"/>
              </w:rPr>
            </w:pPr>
            <w:r>
              <w:rPr>
                <w:rFonts w:ascii="Arial" w:hAnsi="Arial" w:cs="Arial"/>
                <w:lang w:val="en-GB"/>
              </w:rPr>
              <w:t>0.93</w:t>
            </w:r>
          </w:p>
        </w:tc>
      </w:tr>
      <w:tr w:rsidR="00700445" w14:paraId="14830164" w14:textId="77777777" w:rsidTr="009F53AC">
        <w:tc>
          <w:tcPr>
            <w:tcW w:w="1568" w:type="dxa"/>
            <w:vMerge/>
          </w:tcPr>
          <w:p w14:paraId="09CCA4FC" w14:textId="77777777" w:rsidR="00700445" w:rsidRDefault="00700445" w:rsidP="00700445">
            <w:pPr>
              <w:spacing w:after="160" w:line="480" w:lineRule="auto"/>
              <w:rPr>
                <w:rFonts w:ascii="Arial" w:hAnsi="Arial" w:cs="Arial"/>
                <w:lang w:val="en-GB"/>
              </w:rPr>
            </w:pPr>
          </w:p>
        </w:tc>
        <w:tc>
          <w:tcPr>
            <w:tcW w:w="2680" w:type="dxa"/>
          </w:tcPr>
          <w:p w14:paraId="0F68C185" w14:textId="02959C16" w:rsidR="00700445" w:rsidRDefault="00700445" w:rsidP="00700445">
            <w:pPr>
              <w:spacing w:after="160" w:line="480" w:lineRule="auto"/>
              <w:rPr>
                <w:rFonts w:ascii="Arial" w:hAnsi="Arial" w:cs="Arial"/>
                <w:lang w:val="en-GB"/>
              </w:rPr>
            </w:pPr>
            <w:r>
              <w:rPr>
                <w:rFonts w:ascii="Arial" w:hAnsi="Arial" w:cs="Arial"/>
                <w:lang w:val="en-GB"/>
              </w:rPr>
              <w:t>C vs. B</w:t>
            </w:r>
          </w:p>
        </w:tc>
        <w:tc>
          <w:tcPr>
            <w:tcW w:w="850" w:type="dxa"/>
          </w:tcPr>
          <w:p w14:paraId="0AE20448" w14:textId="4091BA87" w:rsidR="00700445" w:rsidRDefault="00700445" w:rsidP="00700445">
            <w:pPr>
              <w:spacing w:after="160" w:line="480" w:lineRule="auto"/>
              <w:jc w:val="center"/>
              <w:rPr>
                <w:rFonts w:ascii="Arial" w:hAnsi="Arial" w:cs="Arial"/>
                <w:lang w:val="en-GB"/>
              </w:rPr>
            </w:pPr>
            <w:r>
              <w:rPr>
                <w:rFonts w:ascii="Arial" w:hAnsi="Arial" w:cs="Arial"/>
                <w:lang w:val="en-GB"/>
              </w:rPr>
              <w:t>27</w:t>
            </w:r>
          </w:p>
        </w:tc>
        <w:tc>
          <w:tcPr>
            <w:tcW w:w="1276" w:type="dxa"/>
          </w:tcPr>
          <w:p w14:paraId="1BCB027E" w14:textId="31ADB246" w:rsidR="00700445" w:rsidRDefault="00700445" w:rsidP="00700445">
            <w:pPr>
              <w:spacing w:after="160" w:line="480" w:lineRule="auto"/>
              <w:jc w:val="center"/>
              <w:rPr>
                <w:rFonts w:ascii="Arial" w:hAnsi="Arial" w:cs="Arial"/>
                <w:lang w:val="en-GB"/>
              </w:rPr>
            </w:pPr>
            <w:r>
              <w:rPr>
                <w:rFonts w:ascii="Arial" w:hAnsi="Arial" w:cs="Arial"/>
                <w:lang w:val="en-GB"/>
              </w:rPr>
              <w:t>1.0233</w:t>
            </w:r>
          </w:p>
        </w:tc>
        <w:tc>
          <w:tcPr>
            <w:tcW w:w="1276" w:type="dxa"/>
          </w:tcPr>
          <w:p w14:paraId="562B686D" w14:textId="6F9D011E" w:rsidR="00700445" w:rsidRDefault="00700445" w:rsidP="00700445">
            <w:pPr>
              <w:spacing w:after="160" w:line="480" w:lineRule="auto"/>
              <w:jc w:val="center"/>
              <w:rPr>
                <w:rFonts w:ascii="Arial" w:hAnsi="Arial" w:cs="Arial"/>
                <w:lang w:val="en-GB"/>
              </w:rPr>
            </w:pPr>
            <w:r>
              <w:rPr>
                <w:rFonts w:ascii="Arial" w:hAnsi="Arial" w:cs="Arial"/>
                <w:lang w:val="en-GB"/>
              </w:rPr>
              <w:t>0.5241</w:t>
            </w:r>
          </w:p>
        </w:tc>
        <w:tc>
          <w:tcPr>
            <w:tcW w:w="844" w:type="dxa"/>
          </w:tcPr>
          <w:p w14:paraId="5A51F078" w14:textId="7540C5FE" w:rsidR="00700445" w:rsidRDefault="00700445" w:rsidP="00700445">
            <w:pPr>
              <w:spacing w:after="160" w:line="480" w:lineRule="auto"/>
              <w:jc w:val="center"/>
              <w:rPr>
                <w:rFonts w:ascii="Arial" w:hAnsi="Arial" w:cs="Arial"/>
                <w:lang w:val="en-GB"/>
              </w:rPr>
            </w:pPr>
            <w:r>
              <w:rPr>
                <w:rFonts w:ascii="Arial" w:hAnsi="Arial" w:cs="Arial"/>
                <w:lang w:val="en-GB"/>
              </w:rPr>
              <w:t>0.95</w:t>
            </w:r>
          </w:p>
        </w:tc>
      </w:tr>
      <w:tr w:rsidR="00700445" w14:paraId="108BB601" w14:textId="77777777" w:rsidTr="009F53AC">
        <w:tc>
          <w:tcPr>
            <w:tcW w:w="1568" w:type="dxa"/>
            <w:vMerge/>
          </w:tcPr>
          <w:p w14:paraId="00D90BFC" w14:textId="77777777" w:rsidR="00700445" w:rsidRDefault="00700445" w:rsidP="00700445">
            <w:pPr>
              <w:spacing w:after="160" w:line="480" w:lineRule="auto"/>
              <w:rPr>
                <w:rFonts w:ascii="Arial" w:hAnsi="Arial" w:cs="Arial"/>
                <w:lang w:val="en-GB"/>
              </w:rPr>
            </w:pPr>
          </w:p>
        </w:tc>
        <w:tc>
          <w:tcPr>
            <w:tcW w:w="2680" w:type="dxa"/>
          </w:tcPr>
          <w:p w14:paraId="3B35741A" w14:textId="1E5EEDAB" w:rsidR="00700445" w:rsidRDefault="00700445" w:rsidP="00700445">
            <w:pPr>
              <w:spacing w:after="160" w:line="480" w:lineRule="auto"/>
              <w:rPr>
                <w:rFonts w:ascii="Arial" w:hAnsi="Arial" w:cs="Arial"/>
                <w:lang w:val="en-GB"/>
              </w:rPr>
            </w:pPr>
            <w:r>
              <w:rPr>
                <w:rFonts w:ascii="Arial" w:hAnsi="Arial" w:cs="Arial"/>
                <w:lang w:val="en-GB"/>
              </w:rPr>
              <w:t>EDTA-Plasma vs. serum</w:t>
            </w:r>
          </w:p>
        </w:tc>
        <w:tc>
          <w:tcPr>
            <w:tcW w:w="850" w:type="dxa"/>
          </w:tcPr>
          <w:p w14:paraId="21AD6DEF" w14:textId="3AD07A29" w:rsidR="00700445" w:rsidRDefault="00700445" w:rsidP="00700445">
            <w:pPr>
              <w:spacing w:after="160" w:line="480" w:lineRule="auto"/>
              <w:jc w:val="center"/>
              <w:rPr>
                <w:rFonts w:ascii="Arial" w:hAnsi="Arial" w:cs="Arial"/>
                <w:lang w:val="en-GB"/>
              </w:rPr>
            </w:pPr>
            <w:r>
              <w:rPr>
                <w:rFonts w:ascii="Arial" w:hAnsi="Arial" w:cs="Arial"/>
                <w:lang w:val="en-GB"/>
              </w:rPr>
              <w:t>30</w:t>
            </w:r>
          </w:p>
        </w:tc>
        <w:tc>
          <w:tcPr>
            <w:tcW w:w="1276" w:type="dxa"/>
          </w:tcPr>
          <w:p w14:paraId="155F23D3" w14:textId="6AEB43D8" w:rsidR="00700445" w:rsidRDefault="00700445" w:rsidP="00700445">
            <w:pPr>
              <w:spacing w:after="160" w:line="480" w:lineRule="auto"/>
              <w:jc w:val="center"/>
              <w:rPr>
                <w:rFonts w:ascii="Arial" w:hAnsi="Arial" w:cs="Arial"/>
                <w:lang w:val="en-GB"/>
              </w:rPr>
            </w:pPr>
            <w:r>
              <w:rPr>
                <w:rFonts w:ascii="Arial" w:hAnsi="Arial" w:cs="Arial"/>
                <w:lang w:val="en-GB"/>
              </w:rPr>
              <w:t>0.9628</w:t>
            </w:r>
          </w:p>
        </w:tc>
        <w:tc>
          <w:tcPr>
            <w:tcW w:w="1276" w:type="dxa"/>
          </w:tcPr>
          <w:p w14:paraId="7DEE04E4" w14:textId="5E96A436" w:rsidR="00700445" w:rsidRDefault="00700445" w:rsidP="00700445">
            <w:pPr>
              <w:spacing w:after="160" w:line="480" w:lineRule="auto"/>
              <w:jc w:val="center"/>
              <w:rPr>
                <w:rFonts w:ascii="Arial" w:hAnsi="Arial" w:cs="Arial"/>
                <w:lang w:val="en-GB"/>
              </w:rPr>
            </w:pPr>
            <w:r>
              <w:rPr>
                <w:rFonts w:ascii="Arial" w:hAnsi="Arial" w:cs="Arial"/>
                <w:lang w:val="en-GB"/>
              </w:rPr>
              <w:t>0.9534</w:t>
            </w:r>
          </w:p>
        </w:tc>
        <w:tc>
          <w:tcPr>
            <w:tcW w:w="844" w:type="dxa"/>
          </w:tcPr>
          <w:p w14:paraId="2F3E9FF8" w14:textId="54269770" w:rsidR="00700445" w:rsidRDefault="00700445" w:rsidP="00700445">
            <w:pPr>
              <w:spacing w:after="160" w:line="480" w:lineRule="auto"/>
              <w:jc w:val="center"/>
              <w:rPr>
                <w:rFonts w:ascii="Arial" w:hAnsi="Arial" w:cs="Arial"/>
                <w:lang w:val="en-GB"/>
              </w:rPr>
            </w:pPr>
            <w:r>
              <w:rPr>
                <w:rFonts w:ascii="Arial" w:hAnsi="Arial" w:cs="Arial"/>
                <w:lang w:val="en-GB"/>
              </w:rPr>
              <w:t>0.94</w:t>
            </w:r>
          </w:p>
        </w:tc>
      </w:tr>
    </w:tbl>
    <w:p w14:paraId="11473F6A" w14:textId="0C54FC1C" w:rsidR="000C548C" w:rsidRDefault="00452B5A" w:rsidP="00665F35">
      <w:pPr>
        <w:spacing w:after="160" w:line="480" w:lineRule="auto"/>
        <w:jc w:val="both"/>
        <w:rPr>
          <w:rFonts w:ascii="Arial" w:hAnsi="Arial" w:cs="Arial"/>
          <w:lang w:val="en-US"/>
        </w:rPr>
      </w:pPr>
      <w:r w:rsidRPr="00595AFA">
        <w:rPr>
          <w:rFonts w:ascii="Arial" w:hAnsi="Arial" w:cs="Arial"/>
          <w:b/>
          <w:lang w:val="en-GB"/>
        </w:rPr>
        <w:t xml:space="preserve">Table </w:t>
      </w:r>
      <w:r>
        <w:rPr>
          <w:rFonts w:ascii="Arial" w:hAnsi="Arial" w:cs="Arial"/>
          <w:b/>
          <w:lang w:val="en-GB"/>
        </w:rPr>
        <w:t>3</w:t>
      </w:r>
      <w:r w:rsidRPr="00595AFA">
        <w:rPr>
          <w:rFonts w:ascii="Arial" w:hAnsi="Arial" w:cs="Arial"/>
          <w:b/>
          <w:lang w:val="en-GB"/>
        </w:rPr>
        <w:t>.</w:t>
      </w:r>
      <w:r w:rsidRPr="00595AFA">
        <w:rPr>
          <w:rFonts w:ascii="Arial" w:hAnsi="Arial" w:cs="Arial"/>
          <w:lang w:val="en-GB"/>
        </w:rPr>
        <w:t xml:space="preserve"> </w:t>
      </w:r>
      <w:r w:rsidRPr="00452B5A">
        <w:rPr>
          <w:rFonts w:ascii="Arial" w:hAnsi="Arial" w:cs="Arial"/>
          <w:lang w:val="en-US"/>
        </w:rPr>
        <w:t xml:space="preserve">Slope and </w:t>
      </w:r>
      <w:r>
        <w:rPr>
          <w:rFonts w:ascii="Arial" w:hAnsi="Arial" w:cs="Arial"/>
          <w:lang w:val="en-US"/>
        </w:rPr>
        <w:t>i</w:t>
      </w:r>
      <w:r w:rsidRPr="00452B5A">
        <w:rPr>
          <w:rFonts w:ascii="Arial" w:hAnsi="Arial" w:cs="Arial"/>
          <w:lang w:val="en-US"/>
        </w:rPr>
        <w:t xml:space="preserve">ntercept regression parameters for comparisons between </w:t>
      </w:r>
      <w:r w:rsidR="00700445">
        <w:rPr>
          <w:rFonts w:ascii="Arial" w:hAnsi="Arial" w:cs="Arial"/>
          <w:lang w:val="en-US"/>
        </w:rPr>
        <w:t>p-Tau181 conditions A and B</w:t>
      </w:r>
      <w:r w:rsidR="009138AE">
        <w:rPr>
          <w:rFonts w:ascii="Arial" w:hAnsi="Arial" w:cs="Arial"/>
          <w:lang w:val="en-US"/>
        </w:rPr>
        <w:t xml:space="preserve">, </w:t>
      </w:r>
      <w:r>
        <w:rPr>
          <w:rFonts w:ascii="Arial" w:hAnsi="Arial" w:cs="Arial"/>
          <w:lang w:val="en-US"/>
        </w:rPr>
        <w:t>serum</w:t>
      </w:r>
      <w:r w:rsidR="009138AE">
        <w:rPr>
          <w:rFonts w:ascii="Arial" w:hAnsi="Arial" w:cs="Arial"/>
          <w:lang w:val="en-US"/>
        </w:rPr>
        <w:t>,</w:t>
      </w:r>
      <w:r>
        <w:rPr>
          <w:rFonts w:ascii="Arial" w:hAnsi="Arial" w:cs="Arial"/>
          <w:lang w:val="en-US"/>
        </w:rPr>
        <w:t xml:space="preserve"> and </w:t>
      </w:r>
      <w:r w:rsidRPr="00452B5A">
        <w:rPr>
          <w:rFonts w:ascii="Arial" w:hAnsi="Arial" w:cs="Arial"/>
          <w:lang w:val="en-US"/>
        </w:rPr>
        <w:t>the respective reference system. R, Pearson’s regression coefficient.</w:t>
      </w:r>
    </w:p>
    <w:p w14:paraId="34592BD2" w14:textId="77777777" w:rsidR="00700445" w:rsidRPr="00595AFA" w:rsidRDefault="00700445" w:rsidP="00665F35">
      <w:pPr>
        <w:spacing w:after="160" w:line="480" w:lineRule="auto"/>
        <w:jc w:val="both"/>
        <w:rPr>
          <w:rFonts w:ascii="Arial" w:hAnsi="Arial" w:cs="Arial"/>
          <w:lang w:val="en-GB"/>
        </w:rPr>
      </w:pPr>
    </w:p>
    <w:sectPr w:rsidR="00700445" w:rsidRPr="00595AFA">
      <w:footerReference w:type="default" r:id="rId18"/>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reia Tondo Colomer" w:date="2022-12-15T16:42:00Z" w:initials="MTC">
    <w:p w14:paraId="3BADFB5E" w14:textId="15FB90BF" w:rsidR="006B4313" w:rsidRDefault="006B4313">
      <w:pPr>
        <w:pStyle w:val="Textdecomentari"/>
      </w:pPr>
      <w:r>
        <w:rPr>
          <w:rStyle w:val="Refernciadecomentari"/>
        </w:rPr>
        <w:annotationRef/>
      </w:r>
      <w:r w:rsidR="008652D6">
        <w:t>Revisar</w:t>
      </w:r>
      <w:r>
        <w:t xml:space="preserve"> </w:t>
      </w:r>
      <w:r w:rsidR="002B17F2">
        <w:t xml:space="preserve">ordre d’autors i </w:t>
      </w:r>
      <w:proofErr w:type="spellStart"/>
      <w:r w:rsidR="002B17F2">
        <w:t>filicacions</w:t>
      </w:r>
      <w:proofErr w:type="spellEnd"/>
      <w:r w:rsidR="002B17F2">
        <w:t xml:space="preserve">. </w:t>
      </w:r>
    </w:p>
  </w:comment>
  <w:comment w:id="3" w:author="Mireia Tondo Colomer" w:date="2022-12-09T10:59:00Z" w:initials="MTC">
    <w:p w14:paraId="4A2EE7AA" w14:textId="0DA08E08" w:rsidR="00B13F5F" w:rsidRDefault="00B13F5F">
      <w:pPr>
        <w:pStyle w:val="Textdecomentari"/>
      </w:pPr>
      <w:r>
        <w:rPr>
          <w:rStyle w:val="Refernciadecomentari"/>
        </w:rPr>
        <w:annotationRef/>
      </w:r>
      <w:r>
        <w:t xml:space="preserve">Revisar el </w:t>
      </w:r>
      <w:proofErr w:type="spellStart"/>
      <w:r>
        <w:t>funding</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ADFB5E" w15:done="0"/>
  <w15:commentEx w15:paraId="4A2EE7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4A539" w16cex:dateUtc="2022-12-02T15:24:00Z"/>
  <w16cex:commentExtensible w16cex:durableId="2734A8C9" w16cex:dateUtc="2022-12-02T15:39:00Z"/>
  <w16cex:commentExtensible w16cex:durableId="2734B879" w16cex:dateUtc="2022-12-02T16:46:00Z"/>
  <w16cex:commentExtensible w16cex:durableId="270D2D34" w16cex:dateUtc="2022-11-02T16:53:00Z"/>
  <w16cex:commentExtensible w16cex:durableId="271E12FE" w16cex:dateUtc="2022-11-15T12:30:00Z"/>
  <w16cex:commentExtensible w16cex:durableId="2734AADA" w16cex:dateUtc="2022-12-02T15:48:00Z"/>
  <w16cex:commentExtensible w16cex:durableId="2734B691" w16cex:dateUtc="2022-12-02T16:38:00Z"/>
  <w16cex:commentExtensible w16cex:durableId="2734B27E" w16cex:dateUtc="2022-12-02T16:21:00Z"/>
  <w16cex:commentExtensible w16cex:durableId="2734B9CF" w16cex:dateUtc="2022-12-02T16:52:00Z"/>
  <w16cex:commentExtensible w16cex:durableId="2734BB16" w16cex:dateUtc="2022-12-02T1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ADFB5E" w16cid:durableId="2745CD11"/>
  <w16cid:commentId w16cid:paraId="4A2EE7AA" w16cid:durableId="273D93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0899D" w14:textId="77777777" w:rsidR="008D2CAE" w:rsidRDefault="008D2CAE" w:rsidP="00920808">
      <w:pPr>
        <w:spacing w:after="0" w:line="240" w:lineRule="auto"/>
      </w:pPr>
      <w:r>
        <w:separator/>
      </w:r>
    </w:p>
  </w:endnote>
  <w:endnote w:type="continuationSeparator" w:id="0">
    <w:p w14:paraId="1C7E3799" w14:textId="77777777" w:rsidR="008D2CAE" w:rsidRDefault="008D2CAE" w:rsidP="00920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OTb7819099">
    <w:altName w:val="Malgun Gothic"/>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097510"/>
      <w:docPartObj>
        <w:docPartGallery w:val="Page Numbers (Bottom of Page)"/>
        <w:docPartUnique/>
      </w:docPartObj>
    </w:sdtPr>
    <w:sdtEndPr/>
    <w:sdtContent>
      <w:p w14:paraId="7112929D" w14:textId="4F815A5F" w:rsidR="00282DDC" w:rsidRDefault="00282DDC">
        <w:pPr>
          <w:pStyle w:val="Peu"/>
          <w:jc w:val="right"/>
        </w:pPr>
        <w:r>
          <w:fldChar w:fldCharType="begin"/>
        </w:r>
        <w:r>
          <w:instrText>PAGE   \* MERGEFORMAT</w:instrText>
        </w:r>
        <w:r>
          <w:fldChar w:fldCharType="separate"/>
        </w:r>
        <w:r>
          <w:t>2</w:t>
        </w:r>
        <w:r>
          <w:fldChar w:fldCharType="end"/>
        </w:r>
      </w:p>
    </w:sdtContent>
  </w:sdt>
  <w:p w14:paraId="0879A855" w14:textId="77777777" w:rsidR="00282DDC" w:rsidRDefault="00282DDC">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0B30B" w14:textId="77777777" w:rsidR="008D2CAE" w:rsidRDefault="008D2CAE" w:rsidP="00920808">
      <w:pPr>
        <w:spacing w:after="0" w:line="240" w:lineRule="auto"/>
      </w:pPr>
      <w:r>
        <w:separator/>
      </w:r>
    </w:p>
  </w:footnote>
  <w:footnote w:type="continuationSeparator" w:id="0">
    <w:p w14:paraId="77116B21" w14:textId="77777777" w:rsidR="008D2CAE" w:rsidRDefault="008D2CAE" w:rsidP="009208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338ED"/>
    <w:multiLevelType w:val="hybridMultilevel"/>
    <w:tmpl w:val="C03660A8"/>
    <w:lvl w:ilvl="0" w:tplc="706EA938">
      <w:start w:val="1"/>
      <w:numFmt w:val="decimal"/>
      <w:lvlText w:val="%1-"/>
      <w:lvlJc w:val="left"/>
      <w:pPr>
        <w:ind w:left="720" w:hanging="360"/>
      </w:pPr>
      <w:rPr>
        <w:rFonts w:hint="default"/>
        <w:b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334A66A4"/>
    <w:multiLevelType w:val="hybridMultilevel"/>
    <w:tmpl w:val="6302AF62"/>
    <w:lvl w:ilvl="0" w:tplc="F2E86DC4">
      <w:start w:val="1"/>
      <w:numFmt w:val="decimal"/>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4EE61627"/>
    <w:multiLevelType w:val="multilevel"/>
    <w:tmpl w:val="3680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E018B"/>
    <w:multiLevelType w:val="multilevel"/>
    <w:tmpl w:val="C8DA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B64F74"/>
    <w:multiLevelType w:val="hybridMultilevel"/>
    <w:tmpl w:val="AEFC992A"/>
    <w:lvl w:ilvl="0" w:tplc="F0ACB14E">
      <w:start w:val="4"/>
      <w:numFmt w:val="bullet"/>
      <w:lvlText w:val="-"/>
      <w:lvlJc w:val="left"/>
      <w:pPr>
        <w:ind w:left="720" w:hanging="360"/>
      </w:pPr>
      <w:rPr>
        <w:rFonts w:ascii="Calibri Light" w:eastAsia="Calibri" w:hAnsi="Calibri Light" w:cs="Calibri Light"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62DB434A"/>
    <w:multiLevelType w:val="hybridMultilevel"/>
    <w:tmpl w:val="A52AD236"/>
    <w:lvl w:ilvl="0" w:tplc="2BB084FE">
      <w:start w:val="6"/>
      <w:numFmt w:val="bullet"/>
      <w:lvlText w:val="-"/>
      <w:lvlJc w:val="left"/>
      <w:pPr>
        <w:ind w:left="720" w:hanging="360"/>
      </w:pPr>
      <w:rPr>
        <w:rFonts w:ascii="Times New Roman" w:eastAsia="Calibri"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6E4C2CDD"/>
    <w:multiLevelType w:val="multilevel"/>
    <w:tmpl w:val="CA70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BD5E92"/>
    <w:multiLevelType w:val="hybridMultilevel"/>
    <w:tmpl w:val="20BAC522"/>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4"/>
  </w:num>
  <w:num w:numId="5">
    <w:abstractNumId w:val="7"/>
  </w:num>
  <w:num w:numId="6">
    <w:abstractNumId w:val="3"/>
  </w:num>
  <w:num w:numId="7">
    <w:abstractNumId w:val="2"/>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reia Tondo Colomer">
    <w15:presenceInfo w15:providerId="AD" w15:userId="S-1-5-21-1960408961-1637723038-839522115-618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2A4"/>
    <w:rsid w:val="00004273"/>
    <w:rsid w:val="0000612A"/>
    <w:rsid w:val="000066AB"/>
    <w:rsid w:val="00013C42"/>
    <w:rsid w:val="000149F3"/>
    <w:rsid w:val="000175C9"/>
    <w:rsid w:val="0002355D"/>
    <w:rsid w:val="00026D89"/>
    <w:rsid w:val="00027E63"/>
    <w:rsid w:val="00030592"/>
    <w:rsid w:val="00030C8D"/>
    <w:rsid w:val="00031F75"/>
    <w:rsid w:val="000320B7"/>
    <w:rsid w:val="00033947"/>
    <w:rsid w:val="00033A2B"/>
    <w:rsid w:val="00035854"/>
    <w:rsid w:val="00037B4E"/>
    <w:rsid w:val="000429DD"/>
    <w:rsid w:val="00042C48"/>
    <w:rsid w:val="000434F0"/>
    <w:rsid w:val="00046603"/>
    <w:rsid w:val="0004735C"/>
    <w:rsid w:val="00053017"/>
    <w:rsid w:val="0005489D"/>
    <w:rsid w:val="00054CBA"/>
    <w:rsid w:val="00060544"/>
    <w:rsid w:val="00064D0A"/>
    <w:rsid w:val="0007008C"/>
    <w:rsid w:val="00070902"/>
    <w:rsid w:val="000733E4"/>
    <w:rsid w:val="00074652"/>
    <w:rsid w:val="00074895"/>
    <w:rsid w:val="000751A7"/>
    <w:rsid w:val="00075452"/>
    <w:rsid w:val="0008048A"/>
    <w:rsid w:val="00080C26"/>
    <w:rsid w:val="00081CDD"/>
    <w:rsid w:val="00082771"/>
    <w:rsid w:val="00084B4A"/>
    <w:rsid w:val="000852D1"/>
    <w:rsid w:val="00087AE7"/>
    <w:rsid w:val="000925E3"/>
    <w:rsid w:val="000928D9"/>
    <w:rsid w:val="00092B80"/>
    <w:rsid w:val="00092EA2"/>
    <w:rsid w:val="0009514E"/>
    <w:rsid w:val="00095F05"/>
    <w:rsid w:val="00096816"/>
    <w:rsid w:val="000A48C9"/>
    <w:rsid w:val="000A7A76"/>
    <w:rsid w:val="000B2E8E"/>
    <w:rsid w:val="000B308E"/>
    <w:rsid w:val="000B3F7F"/>
    <w:rsid w:val="000B5C88"/>
    <w:rsid w:val="000C3EC8"/>
    <w:rsid w:val="000C4C53"/>
    <w:rsid w:val="000C51EE"/>
    <w:rsid w:val="000C548C"/>
    <w:rsid w:val="000C559C"/>
    <w:rsid w:val="000C6CF2"/>
    <w:rsid w:val="000C77A5"/>
    <w:rsid w:val="000D1621"/>
    <w:rsid w:val="000D17EE"/>
    <w:rsid w:val="000D25DE"/>
    <w:rsid w:val="000E0E41"/>
    <w:rsid w:val="000E12F6"/>
    <w:rsid w:val="000E2577"/>
    <w:rsid w:val="000E301E"/>
    <w:rsid w:val="000E3E57"/>
    <w:rsid w:val="000E5200"/>
    <w:rsid w:val="000E67BD"/>
    <w:rsid w:val="000F7B71"/>
    <w:rsid w:val="000F7D2A"/>
    <w:rsid w:val="00105347"/>
    <w:rsid w:val="00106A23"/>
    <w:rsid w:val="00106ABE"/>
    <w:rsid w:val="0010714C"/>
    <w:rsid w:val="001109EA"/>
    <w:rsid w:val="00110A09"/>
    <w:rsid w:val="00111946"/>
    <w:rsid w:val="00113B26"/>
    <w:rsid w:val="001148C1"/>
    <w:rsid w:val="00114F97"/>
    <w:rsid w:val="00117C62"/>
    <w:rsid w:val="0012001E"/>
    <w:rsid w:val="00120154"/>
    <w:rsid w:val="0012240D"/>
    <w:rsid w:val="00123777"/>
    <w:rsid w:val="00124169"/>
    <w:rsid w:val="00124777"/>
    <w:rsid w:val="00131FFD"/>
    <w:rsid w:val="00133103"/>
    <w:rsid w:val="00133C75"/>
    <w:rsid w:val="001359C0"/>
    <w:rsid w:val="00135AE0"/>
    <w:rsid w:val="001365E7"/>
    <w:rsid w:val="00137CF8"/>
    <w:rsid w:val="001412AD"/>
    <w:rsid w:val="00141D65"/>
    <w:rsid w:val="001432F3"/>
    <w:rsid w:val="00145569"/>
    <w:rsid w:val="00146A57"/>
    <w:rsid w:val="0015046E"/>
    <w:rsid w:val="0015103A"/>
    <w:rsid w:val="00151BE9"/>
    <w:rsid w:val="00160DD6"/>
    <w:rsid w:val="001610EE"/>
    <w:rsid w:val="00162C05"/>
    <w:rsid w:val="00165C08"/>
    <w:rsid w:val="001661D0"/>
    <w:rsid w:val="00166738"/>
    <w:rsid w:val="00166A7C"/>
    <w:rsid w:val="00172A29"/>
    <w:rsid w:val="00172C43"/>
    <w:rsid w:val="0017300C"/>
    <w:rsid w:val="001736D1"/>
    <w:rsid w:val="00175E8F"/>
    <w:rsid w:val="001769C4"/>
    <w:rsid w:val="00176FAE"/>
    <w:rsid w:val="00177D6E"/>
    <w:rsid w:val="00177DE1"/>
    <w:rsid w:val="00180BA6"/>
    <w:rsid w:val="0018592B"/>
    <w:rsid w:val="0018675D"/>
    <w:rsid w:val="00186D10"/>
    <w:rsid w:val="001906A1"/>
    <w:rsid w:val="00193AD1"/>
    <w:rsid w:val="00194401"/>
    <w:rsid w:val="00195EB8"/>
    <w:rsid w:val="00195F32"/>
    <w:rsid w:val="0019729D"/>
    <w:rsid w:val="00197388"/>
    <w:rsid w:val="001A0CB4"/>
    <w:rsid w:val="001A18FD"/>
    <w:rsid w:val="001A1F23"/>
    <w:rsid w:val="001A2F5F"/>
    <w:rsid w:val="001A6030"/>
    <w:rsid w:val="001A6A3E"/>
    <w:rsid w:val="001B0FA1"/>
    <w:rsid w:val="001B2E38"/>
    <w:rsid w:val="001B4E9F"/>
    <w:rsid w:val="001B70BA"/>
    <w:rsid w:val="001C1E7F"/>
    <w:rsid w:val="001C2871"/>
    <w:rsid w:val="001C2A69"/>
    <w:rsid w:val="001C48A1"/>
    <w:rsid w:val="001C5E9C"/>
    <w:rsid w:val="001C62CA"/>
    <w:rsid w:val="001D12E9"/>
    <w:rsid w:val="001D1AED"/>
    <w:rsid w:val="001D32A2"/>
    <w:rsid w:val="001D4175"/>
    <w:rsid w:val="001D52B1"/>
    <w:rsid w:val="001D5F0B"/>
    <w:rsid w:val="001D77C6"/>
    <w:rsid w:val="001E0E72"/>
    <w:rsid w:val="001E3FB2"/>
    <w:rsid w:val="001E52E6"/>
    <w:rsid w:val="001E56FF"/>
    <w:rsid w:val="001E7781"/>
    <w:rsid w:val="001E792E"/>
    <w:rsid w:val="001E7AE8"/>
    <w:rsid w:val="001F2595"/>
    <w:rsid w:val="001F2F55"/>
    <w:rsid w:val="001F382C"/>
    <w:rsid w:val="001F3F07"/>
    <w:rsid w:val="001F4ED3"/>
    <w:rsid w:val="002006AB"/>
    <w:rsid w:val="0020074B"/>
    <w:rsid w:val="002020DB"/>
    <w:rsid w:val="002030D5"/>
    <w:rsid w:val="00203755"/>
    <w:rsid w:val="002049F8"/>
    <w:rsid w:val="00213A0F"/>
    <w:rsid w:val="00214B22"/>
    <w:rsid w:val="00214CD0"/>
    <w:rsid w:val="00216B9E"/>
    <w:rsid w:val="00216F71"/>
    <w:rsid w:val="0022065A"/>
    <w:rsid w:val="0022715F"/>
    <w:rsid w:val="002300AA"/>
    <w:rsid w:val="0023334B"/>
    <w:rsid w:val="00234A08"/>
    <w:rsid w:val="00234D75"/>
    <w:rsid w:val="00241673"/>
    <w:rsid w:val="00241999"/>
    <w:rsid w:val="00241F4D"/>
    <w:rsid w:val="00243EE8"/>
    <w:rsid w:val="00247F2C"/>
    <w:rsid w:val="002515CD"/>
    <w:rsid w:val="00253D1F"/>
    <w:rsid w:val="00260117"/>
    <w:rsid w:val="00262732"/>
    <w:rsid w:val="00262854"/>
    <w:rsid w:val="002635B9"/>
    <w:rsid w:val="00263764"/>
    <w:rsid w:val="00263A5C"/>
    <w:rsid w:val="00263AE8"/>
    <w:rsid w:val="00263C15"/>
    <w:rsid w:val="002647A0"/>
    <w:rsid w:val="00266192"/>
    <w:rsid w:val="002710C5"/>
    <w:rsid w:val="00272BC5"/>
    <w:rsid w:val="00275BF2"/>
    <w:rsid w:val="00282DDC"/>
    <w:rsid w:val="00286B83"/>
    <w:rsid w:val="002902C8"/>
    <w:rsid w:val="00291F6F"/>
    <w:rsid w:val="002964BB"/>
    <w:rsid w:val="00297665"/>
    <w:rsid w:val="00297CF5"/>
    <w:rsid w:val="002A002F"/>
    <w:rsid w:val="002A0254"/>
    <w:rsid w:val="002A1C88"/>
    <w:rsid w:val="002B1318"/>
    <w:rsid w:val="002B17F2"/>
    <w:rsid w:val="002B183F"/>
    <w:rsid w:val="002B516F"/>
    <w:rsid w:val="002B6C3C"/>
    <w:rsid w:val="002B6D24"/>
    <w:rsid w:val="002C021D"/>
    <w:rsid w:val="002C02C1"/>
    <w:rsid w:val="002C0B43"/>
    <w:rsid w:val="002C1881"/>
    <w:rsid w:val="002C58A6"/>
    <w:rsid w:val="002C740A"/>
    <w:rsid w:val="002C78BB"/>
    <w:rsid w:val="002D431C"/>
    <w:rsid w:val="002E0E11"/>
    <w:rsid w:val="002E4C78"/>
    <w:rsid w:val="002E4D4C"/>
    <w:rsid w:val="002E53F1"/>
    <w:rsid w:val="002E5DD7"/>
    <w:rsid w:val="002E720F"/>
    <w:rsid w:val="002E7E38"/>
    <w:rsid w:val="002F2509"/>
    <w:rsid w:val="002F2CA2"/>
    <w:rsid w:val="002F2D02"/>
    <w:rsid w:val="002F4BB2"/>
    <w:rsid w:val="002F4EDE"/>
    <w:rsid w:val="002F6579"/>
    <w:rsid w:val="002F6B7D"/>
    <w:rsid w:val="00301F83"/>
    <w:rsid w:val="00303401"/>
    <w:rsid w:val="00303BDF"/>
    <w:rsid w:val="00304851"/>
    <w:rsid w:val="00304ADF"/>
    <w:rsid w:val="00304FC1"/>
    <w:rsid w:val="00305469"/>
    <w:rsid w:val="0030601D"/>
    <w:rsid w:val="003066B4"/>
    <w:rsid w:val="00311249"/>
    <w:rsid w:val="00313B40"/>
    <w:rsid w:val="0031452A"/>
    <w:rsid w:val="00315197"/>
    <w:rsid w:val="003165B5"/>
    <w:rsid w:val="003201EA"/>
    <w:rsid w:val="00320783"/>
    <w:rsid w:val="00320CAB"/>
    <w:rsid w:val="0032143E"/>
    <w:rsid w:val="00321D5C"/>
    <w:rsid w:val="003226FA"/>
    <w:rsid w:val="00324525"/>
    <w:rsid w:val="003245B3"/>
    <w:rsid w:val="00325700"/>
    <w:rsid w:val="00326FEB"/>
    <w:rsid w:val="00331A1D"/>
    <w:rsid w:val="003320E3"/>
    <w:rsid w:val="00337A0F"/>
    <w:rsid w:val="00337ECE"/>
    <w:rsid w:val="00342148"/>
    <w:rsid w:val="003423BA"/>
    <w:rsid w:val="00345CFA"/>
    <w:rsid w:val="00346F04"/>
    <w:rsid w:val="00346F06"/>
    <w:rsid w:val="00347C8E"/>
    <w:rsid w:val="00350F91"/>
    <w:rsid w:val="003568EA"/>
    <w:rsid w:val="00361839"/>
    <w:rsid w:val="00362F7F"/>
    <w:rsid w:val="003633FF"/>
    <w:rsid w:val="00363970"/>
    <w:rsid w:val="00366E01"/>
    <w:rsid w:val="0036700B"/>
    <w:rsid w:val="00370851"/>
    <w:rsid w:val="00371D02"/>
    <w:rsid w:val="00371EB2"/>
    <w:rsid w:val="00372363"/>
    <w:rsid w:val="00374964"/>
    <w:rsid w:val="0037649E"/>
    <w:rsid w:val="003766EF"/>
    <w:rsid w:val="0037773F"/>
    <w:rsid w:val="003820E6"/>
    <w:rsid w:val="0038243E"/>
    <w:rsid w:val="0038358D"/>
    <w:rsid w:val="00384717"/>
    <w:rsid w:val="00384792"/>
    <w:rsid w:val="00385282"/>
    <w:rsid w:val="00386B47"/>
    <w:rsid w:val="00386E89"/>
    <w:rsid w:val="00390560"/>
    <w:rsid w:val="00393660"/>
    <w:rsid w:val="00395AE7"/>
    <w:rsid w:val="00396AEF"/>
    <w:rsid w:val="00397471"/>
    <w:rsid w:val="003A0CEE"/>
    <w:rsid w:val="003A12D0"/>
    <w:rsid w:val="003A1D96"/>
    <w:rsid w:val="003A3B18"/>
    <w:rsid w:val="003A5EE9"/>
    <w:rsid w:val="003A6F6D"/>
    <w:rsid w:val="003A7104"/>
    <w:rsid w:val="003B0A38"/>
    <w:rsid w:val="003B1638"/>
    <w:rsid w:val="003B2F74"/>
    <w:rsid w:val="003B522B"/>
    <w:rsid w:val="003C0F0D"/>
    <w:rsid w:val="003C1269"/>
    <w:rsid w:val="003C1581"/>
    <w:rsid w:val="003C2485"/>
    <w:rsid w:val="003C32E1"/>
    <w:rsid w:val="003C3535"/>
    <w:rsid w:val="003C3ACD"/>
    <w:rsid w:val="003C4041"/>
    <w:rsid w:val="003C5AA4"/>
    <w:rsid w:val="003C6101"/>
    <w:rsid w:val="003D160A"/>
    <w:rsid w:val="003D20B8"/>
    <w:rsid w:val="003D5666"/>
    <w:rsid w:val="003D7D5C"/>
    <w:rsid w:val="003E2950"/>
    <w:rsid w:val="003E2AD1"/>
    <w:rsid w:val="003E526A"/>
    <w:rsid w:val="003E5AE2"/>
    <w:rsid w:val="003E66D3"/>
    <w:rsid w:val="003F06A7"/>
    <w:rsid w:val="003F27BE"/>
    <w:rsid w:val="003F32E8"/>
    <w:rsid w:val="003F7165"/>
    <w:rsid w:val="00401811"/>
    <w:rsid w:val="00402EAA"/>
    <w:rsid w:val="00405929"/>
    <w:rsid w:val="00413617"/>
    <w:rsid w:val="004136AE"/>
    <w:rsid w:val="00413EA2"/>
    <w:rsid w:val="00415BA0"/>
    <w:rsid w:val="004221D2"/>
    <w:rsid w:val="00422DAA"/>
    <w:rsid w:val="00422DF2"/>
    <w:rsid w:val="0042321A"/>
    <w:rsid w:val="0042436D"/>
    <w:rsid w:val="00425323"/>
    <w:rsid w:val="004309A5"/>
    <w:rsid w:val="00431E2C"/>
    <w:rsid w:val="0043331D"/>
    <w:rsid w:val="00433D45"/>
    <w:rsid w:val="0043538D"/>
    <w:rsid w:val="0043551F"/>
    <w:rsid w:val="00440011"/>
    <w:rsid w:val="00440659"/>
    <w:rsid w:val="0044353C"/>
    <w:rsid w:val="004438F1"/>
    <w:rsid w:val="00444579"/>
    <w:rsid w:val="00445177"/>
    <w:rsid w:val="004509A0"/>
    <w:rsid w:val="00450EB6"/>
    <w:rsid w:val="00452B5A"/>
    <w:rsid w:val="00453060"/>
    <w:rsid w:val="00453803"/>
    <w:rsid w:val="00453C88"/>
    <w:rsid w:val="00455B39"/>
    <w:rsid w:val="00456F13"/>
    <w:rsid w:val="00456F29"/>
    <w:rsid w:val="00457367"/>
    <w:rsid w:val="00460A18"/>
    <w:rsid w:val="004615D9"/>
    <w:rsid w:val="004623B5"/>
    <w:rsid w:val="0046476D"/>
    <w:rsid w:val="00464AF6"/>
    <w:rsid w:val="00464C25"/>
    <w:rsid w:val="00466C86"/>
    <w:rsid w:val="0046702F"/>
    <w:rsid w:val="00476EF6"/>
    <w:rsid w:val="004774A6"/>
    <w:rsid w:val="00480521"/>
    <w:rsid w:val="00480829"/>
    <w:rsid w:val="004811BD"/>
    <w:rsid w:val="00482082"/>
    <w:rsid w:val="00482A05"/>
    <w:rsid w:val="00482A61"/>
    <w:rsid w:val="00483291"/>
    <w:rsid w:val="00483A7D"/>
    <w:rsid w:val="00484007"/>
    <w:rsid w:val="0048448A"/>
    <w:rsid w:val="00485CE0"/>
    <w:rsid w:val="004901AE"/>
    <w:rsid w:val="00490378"/>
    <w:rsid w:val="00496621"/>
    <w:rsid w:val="00496696"/>
    <w:rsid w:val="004971BB"/>
    <w:rsid w:val="004A3681"/>
    <w:rsid w:val="004A5365"/>
    <w:rsid w:val="004B1414"/>
    <w:rsid w:val="004B1982"/>
    <w:rsid w:val="004B1A04"/>
    <w:rsid w:val="004B3FED"/>
    <w:rsid w:val="004B456D"/>
    <w:rsid w:val="004C2D1C"/>
    <w:rsid w:val="004C54B0"/>
    <w:rsid w:val="004C65D7"/>
    <w:rsid w:val="004C690A"/>
    <w:rsid w:val="004D14E7"/>
    <w:rsid w:val="004D258E"/>
    <w:rsid w:val="004D2924"/>
    <w:rsid w:val="004D4FDC"/>
    <w:rsid w:val="004D541E"/>
    <w:rsid w:val="004D6767"/>
    <w:rsid w:val="004D6BE2"/>
    <w:rsid w:val="004E1EF6"/>
    <w:rsid w:val="004E58A9"/>
    <w:rsid w:val="004E71A4"/>
    <w:rsid w:val="004F3168"/>
    <w:rsid w:val="00500AF1"/>
    <w:rsid w:val="00507631"/>
    <w:rsid w:val="00510509"/>
    <w:rsid w:val="00512FF4"/>
    <w:rsid w:val="00517330"/>
    <w:rsid w:val="0052600E"/>
    <w:rsid w:val="005261B9"/>
    <w:rsid w:val="0052688F"/>
    <w:rsid w:val="00526F35"/>
    <w:rsid w:val="005331F3"/>
    <w:rsid w:val="00533700"/>
    <w:rsid w:val="005341AF"/>
    <w:rsid w:val="00534C90"/>
    <w:rsid w:val="00535F25"/>
    <w:rsid w:val="00540175"/>
    <w:rsid w:val="00540B15"/>
    <w:rsid w:val="005419D4"/>
    <w:rsid w:val="005423A9"/>
    <w:rsid w:val="00543F7B"/>
    <w:rsid w:val="00545F5C"/>
    <w:rsid w:val="00546E17"/>
    <w:rsid w:val="00547249"/>
    <w:rsid w:val="005473A2"/>
    <w:rsid w:val="00547E01"/>
    <w:rsid w:val="00550D22"/>
    <w:rsid w:val="005513F3"/>
    <w:rsid w:val="00554071"/>
    <w:rsid w:val="0055554A"/>
    <w:rsid w:val="00557D45"/>
    <w:rsid w:val="005626A9"/>
    <w:rsid w:val="00562A1D"/>
    <w:rsid w:val="00563C56"/>
    <w:rsid w:val="00565430"/>
    <w:rsid w:val="00566DB8"/>
    <w:rsid w:val="0057109B"/>
    <w:rsid w:val="0057109D"/>
    <w:rsid w:val="00572B3B"/>
    <w:rsid w:val="00573EDB"/>
    <w:rsid w:val="0057424E"/>
    <w:rsid w:val="0057487A"/>
    <w:rsid w:val="005759EB"/>
    <w:rsid w:val="00575E21"/>
    <w:rsid w:val="00576301"/>
    <w:rsid w:val="005779C7"/>
    <w:rsid w:val="005832A4"/>
    <w:rsid w:val="00585D8C"/>
    <w:rsid w:val="00586DE6"/>
    <w:rsid w:val="00590223"/>
    <w:rsid w:val="00590425"/>
    <w:rsid w:val="00590E2F"/>
    <w:rsid w:val="0059230F"/>
    <w:rsid w:val="00595AFA"/>
    <w:rsid w:val="00596026"/>
    <w:rsid w:val="005A0555"/>
    <w:rsid w:val="005A0A3B"/>
    <w:rsid w:val="005A0A78"/>
    <w:rsid w:val="005A0C10"/>
    <w:rsid w:val="005A2408"/>
    <w:rsid w:val="005A3023"/>
    <w:rsid w:val="005A374E"/>
    <w:rsid w:val="005A4872"/>
    <w:rsid w:val="005A4B85"/>
    <w:rsid w:val="005A7562"/>
    <w:rsid w:val="005A764D"/>
    <w:rsid w:val="005B1A27"/>
    <w:rsid w:val="005B2598"/>
    <w:rsid w:val="005B3BB9"/>
    <w:rsid w:val="005B51B9"/>
    <w:rsid w:val="005B6E04"/>
    <w:rsid w:val="005B7439"/>
    <w:rsid w:val="005C2E39"/>
    <w:rsid w:val="005C5F5E"/>
    <w:rsid w:val="005C62D1"/>
    <w:rsid w:val="005C6AB7"/>
    <w:rsid w:val="005C6B84"/>
    <w:rsid w:val="005D03C7"/>
    <w:rsid w:val="005D11F7"/>
    <w:rsid w:val="005D2FDD"/>
    <w:rsid w:val="005D4502"/>
    <w:rsid w:val="005D5171"/>
    <w:rsid w:val="005D6CFB"/>
    <w:rsid w:val="005E3EA2"/>
    <w:rsid w:val="005F02E7"/>
    <w:rsid w:val="005F2B6B"/>
    <w:rsid w:val="005F4897"/>
    <w:rsid w:val="005F5107"/>
    <w:rsid w:val="005F7F38"/>
    <w:rsid w:val="00600D98"/>
    <w:rsid w:val="006033E5"/>
    <w:rsid w:val="00606250"/>
    <w:rsid w:val="00607161"/>
    <w:rsid w:val="00607A20"/>
    <w:rsid w:val="006104FA"/>
    <w:rsid w:val="00614777"/>
    <w:rsid w:val="006160CD"/>
    <w:rsid w:val="00616B74"/>
    <w:rsid w:val="00616C07"/>
    <w:rsid w:val="006224DE"/>
    <w:rsid w:val="00622A3A"/>
    <w:rsid w:val="00626BC8"/>
    <w:rsid w:val="00631284"/>
    <w:rsid w:val="006333B8"/>
    <w:rsid w:val="006356D5"/>
    <w:rsid w:val="00635E2D"/>
    <w:rsid w:val="00636343"/>
    <w:rsid w:val="00636BFE"/>
    <w:rsid w:val="006370CF"/>
    <w:rsid w:val="00637AD7"/>
    <w:rsid w:val="00637B96"/>
    <w:rsid w:val="00640088"/>
    <w:rsid w:val="0064077B"/>
    <w:rsid w:val="00640985"/>
    <w:rsid w:val="0064207D"/>
    <w:rsid w:val="0064430B"/>
    <w:rsid w:val="00644552"/>
    <w:rsid w:val="00645090"/>
    <w:rsid w:val="00653DA4"/>
    <w:rsid w:val="00656588"/>
    <w:rsid w:val="00665F35"/>
    <w:rsid w:val="00671EA0"/>
    <w:rsid w:val="00672D9C"/>
    <w:rsid w:val="00673C8B"/>
    <w:rsid w:val="00673F4A"/>
    <w:rsid w:val="00675B74"/>
    <w:rsid w:val="00676429"/>
    <w:rsid w:val="00677052"/>
    <w:rsid w:val="00680257"/>
    <w:rsid w:val="006839A0"/>
    <w:rsid w:val="0069193C"/>
    <w:rsid w:val="00696ABC"/>
    <w:rsid w:val="006A4684"/>
    <w:rsid w:val="006A4EC3"/>
    <w:rsid w:val="006A6FB0"/>
    <w:rsid w:val="006A78F1"/>
    <w:rsid w:val="006B024D"/>
    <w:rsid w:val="006B4313"/>
    <w:rsid w:val="006B4868"/>
    <w:rsid w:val="006B4985"/>
    <w:rsid w:val="006B7388"/>
    <w:rsid w:val="006B7CD0"/>
    <w:rsid w:val="006C1C9C"/>
    <w:rsid w:val="006C3FAB"/>
    <w:rsid w:val="006C4E1F"/>
    <w:rsid w:val="006C5313"/>
    <w:rsid w:val="006C642A"/>
    <w:rsid w:val="006C7173"/>
    <w:rsid w:val="006D30D8"/>
    <w:rsid w:val="006D6849"/>
    <w:rsid w:val="006D6922"/>
    <w:rsid w:val="006D694F"/>
    <w:rsid w:val="006D70B9"/>
    <w:rsid w:val="006E00EF"/>
    <w:rsid w:val="006E052B"/>
    <w:rsid w:val="006E0E6F"/>
    <w:rsid w:val="006E0EF4"/>
    <w:rsid w:val="006E23CB"/>
    <w:rsid w:val="006E4D42"/>
    <w:rsid w:val="006E59C7"/>
    <w:rsid w:val="006E789E"/>
    <w:rsid w:val="006F1263"/>
    <w:rsid w:val="006F1DC3"/>
    <w:rsid w:val="006F60A6"/>
    <w:rsid w:val="006F655C"/>
    <w:rsid w:val="006F6D47"/>
    <w:rsid w:val="006F75BB"/>
    <w:rsid w:val="006F7670"/>
    <w:rsid w:val="00700065"/>
    <w:rsid w:val="00700445"/>
    <w:rsid w:val="007008B0"/>
    <w:rsid w:val="00703FB9"/>
    <w:rsid w:val="007052E8"/>
    <w:rsid w:val="00705758"/>
    <w:rsid w:val="007068E8"/>
    <w:rsid w:val="00706CAB"/>
    <w:rsid w:val="0071005E"/>
    <w:rsid w:val="00710139"/>
    <w:rsid w:val="007145D7"/>
    <w:rsid w:val="00715547"/>
    <w:rsid w:val="00721781"/>
    <w:rsid w:val="00723B3D"/>
    <w:rsid w:val="00725ACB"/>
    <w:rsid w:val="00726091"/>
    <w:rsid w:val="00730DC8"/>
    <w:rsid w:val="007317EB"/>
    <w:rsid w:val="007404A3"/>
    <w:rsid w:val="0074369E"/>
    <w:rsid w:val="007464A7"/>
    <w:rsid w:val="00747B96"/>
    <w:rsid w:val="0075131D"/>
    <w:rsid w:val="00752B04"/>
    <w:rsid w:val="00753C78"/>
    <w:rsid w:val="00753DD2"/>
    <w:rsid w:val="0075521D"/>
    <w:rsid w:val="007553CE"/>
    <w:rsid w:val="00756662"/>
    <w:rsid w:val="0076355E"/>
    <w:rsid w:val="00764C2B"/>
    <w:rsid w:val="00767E5F"/>
    <w:rsid w:val="00771607"/>
    <w:rsid w:val="00772186"/>
    <w:rsid w:val="00775AED"/>
    <w:rsid w:val="00776AEB"/>
    <w:rsid w:val="00776C6E"/>
    <w:rsid w:val="00777005"/>
    <w:rsid w:val="00777071"/>
    <w:rsid w:val="00777279"/>
    <w:rsid w:val="00777C96"/>
    <w:rsid w:val="00783653"/>
    <w:rsid w:val="007851E6"/>
    <w:rsid w:val="007870FA"/>
    <w:rsid w:val="00790CEB"/>
    <w:rsid w:val="00793912"/>
    <w:rsid w:val="0079405B"/>
    <w:rsid w:val="007941C7"/>
    <w:rsid w:val="00794390"/>
    <w:rsid w:val="00796F21"/>
    <w:rsid w:val="007A2CE5"/>
    <w:rsid w:val="007A3182"/>
    <w:rsid w:val="007A3221"/>
    <w:rsid w:val="007A5640"/>
    <w:rsid w:val="007A62A2"/>
    <w:rsid w:val="007A6746"/>
    <w:rsid w:val="007A7994"/>
    <w:rsid w:val="007A79D1"/>
    <w:rsid w:val="007A7EF8"/>
    <w:rsid w:val="007B24B8"/>
    <w:rsid w:val="007C068D"/>
    <w:rsid w:val="007C2E7D"/>
    <w:rsid w:val="007C3178"/>
    <w:rsid w:val="007C32C7"/>
    <w:rsid w:val="007C621F"/>
    <w:rsid w:val="007C6A20"/>
    <w:rsid w:val="007D057A"/>
    <w:rsid w:val="007D0A2D"/>
    <w:rsid w:val="007D0A54"/>
    <w:rsid w:val="007D2448"/>
    <w:rsid w:val="007D5541"/>
    <w:rsid w:val="007D635C"/>
    <w:rsid w:val="007D657F"/>
    <w:rsid w:val="007D6CC3"/>
    <w:rsid w:val="007E212D"/>
    <w:rsid w:val="007E52DB"/>
    <w:rsid w:val="007E54C2"/>
    <w:rsid w:val="007E65E8"/>
    <w:rsid w:val="007E6997"/>
    <w:rsid w:val="007F0DDD"/>
    <w:rsid w:val="007F19BD"/>
    <w:rsid w:val="007F2D79"/>
    <w:rsid w:val="007F40D1"/>
    <w:rsid w:val="007F7946"/>
    <w:rsid w:val="00800BD4"/>
    <w:rsid w:val="00801274"/>
    <w:rsid w:val="00801E4F"/>
    <w:rsid w:val="00801F62"/>
    <w:rsid w:val="008027BF"/>
    <w:rsid w:val="00806188"/>
    <w:rsid w:val="00810432"/>
    <w:rsid w:val="008107C7"/>
    <w:rsid w:val="00811A98"/>
    <w:rsid w:val="00811AEA"/>
    <w:rsid w:val="00812EC8"/>
    <w:rsid w:val="008143CA"/>
    <w:rsid w:val="0081699F"/>
    <w:rsid w:val="00817C74"/>
    <w:rsid w:val="00817FD1"/>
    <w:rsid w:val="00820742"/>
    <w:rsid w:val="00820F7C"/>
    <w:rsid w:val="00821F28"/>
    <w:rsid w:val="00822465"/>
    <w:rsid w:val="00822B6A"/>
    <w:rsid w:val="008232EC"/>
    <w:rsid w:val="008238FD"/>
    <w:rsid w:val="00831704"/>
    <w:rsid w:val="00833AF1"/>
    <w:rsid w:val="008374C7"/>
    <w:rsid w:val="008375B4"/>
    <w:rsid w:val="008406A2"/>
    <w:rsid w:val="00840828"/>
    <w:rsid w:val="00844DA8"/>
    <w:rsid w:val="00847BD3"/>
    <w:rsid w:val="00850EFD"/>
    <w:rsid w:val="008520FA"/>
    <w:rsid w:val="0085375E"/>
    <w:rsid w:val="00853B58"/>
    <w:rsid w:val="0085614A"/>
    <w:rsid w:val="00856A37"/>
    <w:rsid w:val="00857302"/>
    <w:rsid w:val="00857AEC"/>
    <w:rsid w:val="00860864"/>
    <w:rsid w:val="008608A0"/>
    <w:rsid w:val="00861DDC"/>
    <w:rsid w:val="00863B57"/>
    <w:rsid w:val="008652D6"/>
    <w:rsid w:val="00865526"/>
    <w:rsid w:val="00866B88"/>
    <w:rsid w:val="00866B8C"/>
    <w:rsid w:val="008705FE"/>
    <w:rsid w:val="0087073A"/>
    <w:rsid w:val="00870E7F"/>
    <w:rsid w:val="00872970"/>
    <w:rsid w:val="00873191"/>
    <w:rsid w:val="008740E7"/>
    <w:rsid w:val="00874657"/>
    <w:rsid w:val="00876E0B"/>
    <w:rsid w:val="00877DF4"/>
    <w:rsid w:val="0088078B"/>
    <w:rsid w:val="008811E2"/>
    <w:rsid w:val="00881873"/>
    <w:rsid w:val="00883DDA"/>
    <w:rsid w:val="00885323"/>
    <w:rsid w:val="0088588E"/>
    <w:rsid w:val="0089047F"/>
    <w:rsid w:val="00890584"/>
    <w:rsid w:val="00890CEF"/>
    <w:rsid w:val="0089124A"/>
    <w:rsid w:val="0089197D"/>
    <w:rsid w:val="00892496"/>
    <w:rsid w:val="00892EC3"/>
    <w:rsid w:val="00893F57"/>
    <w:rsid w:val="0089482B"/>
    <w:rsid w:val="00894DA8"/>
    <w:rsid w:val="00896EAE"/>
    <w:rsid w:val="008A0DD0"/>
    <w:rsid w:val="008A3B17"/>
    <w:rsid w:val="008A4C87"/>
    <w:rsid w:val="008A4D0A"/>
    <w:rsid w:val="008A6B98"/>
    <w:rsid w:val="008A6F8B"/>
    <w:rsid w:val="008B1754"/>
    <w:rsid w:val="008B68FB"/>
    <w:rsid w:val="008B7025"/>
    <w:rsid w:val="008B7476"/>
    <w:rsid w:val="008B7C27"/>
    <w:rsid w:val="008C3475"/>
    <w:rsid w:val="008C7B8C"/>
    <w:rsid w:val="008D2325"/>
    <w:rsid w:val="008D2CAE"/>
    <w:rsid w:val="008D6BBA"/>
    <w:rsid w:val="008E11BC"/>
    <w:rsid w:val="008E291E"/>
    <w:rsid w:val="008E2FF0"/>
    <w:rsid w:val="008E37D7"/>
    <w:rsid w:val="008E724C"/>
    <w:rsid w:val="008F1C3C"/>
    <w:rsid w:val="008F43CA"/>
    <w:rsid w:val="008F4779"/>
    <w:rsid w:val="008F563C"/>
    <w:rsid w:val="008F5692"/>
    <w:rsid w:val="008F687D"/>
    <w:rsid w:val="008F7226"/>
    <w:rsid w:val="00900535"/>
    <w:rsid w:val="00900E5F"/>
    <w:rsid w:val="009010FE"/>
    <w:rsid w:val="009012A7"/>
    <w:rsid w:val="00902EEF"/>
    <w:rsid w:val="00902FCB"/>
    <w:rsid w:val="009058C4"/>
    <w:rsid w:val="0090698D"/>
    <w:rsid w:val="0090749A"/>
    <w:rsid w:val="00910841"/>
    <w:rsid w:val="00910E53"/>
    <w:rsid w:val="0091272A"/>
    <w:rsid w:val="009138AE"/>
    <w:rsid w:val="009157F9"/>
    <w:rsid w:val="009171A1"/>
    <w:rsid w:val="00920808"/>
    <w:rsid w:val="009213CC"/>
    <w:rsid w:val="00923BAA"/>
    <w:rsid w:val="0092541F"/>
    <w:rsid w:val="009257F0"/>
    <w:rsid w:val="00926FC6"/>
    <w:rsid w:val="009272DF"/>
    <w:rsid w:val="00927F5B"/>
    <w:rsid w:val="009303E9"/>
    <w:rsid w:val="009304D4"/>
    <w:rsid w:val="00930A7D"/>
    <w:rsid w:val="009330CB"/>
    <w:rsid w:val="00934A53"/>
    <w:rsid w:val="00935290"/>
    <w:rsid w:val="009358C9"/>
    <w:rsid w:val="00937C60"/>
    <w:rsid w:val="00940653"/>
    <w:rsid w:val="0094547E"/>
    <w:rsid w:val="00951D59"/>
    <w:rsid w:val="00955E08"/>
    <w:rsid w:val="009577A0"/>
    <w:rsid w:val="00957991"/>
    <w:rsid w:val="00960974"/>
    <w:rsid w:val="00961482"/>
    <w:rsid w:val="00961543"/>
    <w:rsid w:val="009629BC"/>
    <w:rsid w:val="00962A6D"/>
    <w:rsid w:val="0096670A"/>
    <w:rsid w:val="009718D4"/>
    <w:rsid w:val="00974EF2"/>
    <w:rsid w:val="009761F5"/>
    <w:rsid w:val="0098058E"/>
    <w:rsid w:val="00981EED"/>
    <w:rsid w:val="009877F6"/>
    <w:rsid w:val="0099013E"/>
    <w:rsid w:val="009911AD"/>
    <w:rsid w:val="00991BE9"/>
    <w:rsid w:val="00995A07"/>
    <w:rsid w:val="00996AE4"/>
    <w:rsid w:val="009A0C19"/>
    <w:rsid w:val="009A276C"/>
    <w:rsid w:val="009A4656"/>
    <w:rsid w:val="009A5572"/>
    <w:rsid w:val="009A5ECF"/>
    <w:rsid w:val="009A623F"/>
    <w:rsid w:val="009B18D5"/>
    <w:rsid w:val="009B1E66"/>
    <w:rsid w:val="009B2FF4"/>
    <w:rsid w:val="009B4319"/>
    <w:rsid w:val="009B6B02"/>
    <w:rsid w:val="009B7075"/>
    <w:rsid w:val="009C23F0"/>
    <w:rsid w:val="009C5E80"/>
    <w:rsid w:val="009D07F2"/>
    <w:rsid w:val="009D08A6"/>
    <w:rsid w:val="009D27A8"/>
    <w:rsid w:val="009D339C"/>
    <w:rsid w:val="009D3411"/>
    <w:rsid w:val="009D5448"/>
    <w:rsid w:val="009D7233"/>
    <w:rsid w:val="009D7A2A"/>
    <w:rsid w:val="009D7B54"/>
    <w:rsid w:val="009E0230"/>
    <w:rsid w:val="009E0324"/>
    <w:rsid w:val="009E198F"/>
    <w:rsid w:val="009E480C"/>
    <w:rsid w:val="009E4B83"/>
    <w:rsid w:val="009E4E00"/>
    <w:rsid w:val="009E5B81"/>
    <w:rsid w:val="009E5D08"/>
    <w:rsid w:val="009E6E8A"/>
    <w:rsid w:val="009F0CCC"/>
    <w:rsid w:val="009F14CD"/>
    <w:rsid w:val="009F31CC"/>
    <w:rsid w:val="009F53AC"/>
    <w:rsid w:val="00A02F35"/>
    <w:rsid w:val="00A03E22"/>
    <w:rsid w:val="00A053F2"/>
    <w:rsid w:val="00A05742"/>
    <w:rsid w:val="00A05C5A"/>
    <w:rsid w:val="00A06EEC"/>
    <w:rsid w:val="00A07BF6"/>
    <w:rsid w:val="00A07F42"/>
    <w:rsid w:val="00A1255F"/>
    <w:rsid w:val="00A13449"/>
    <w:rsid w:val="00A13C8F"/>
    <w:rsid w:val="00A140C9"/>
    <w:rsid w:val="00A14C69"/>
    <w:rsid w:val="00A15338"/>
    <w:rsid w:val="00A16206"/>
    <w:rsid w:val="00A16719"/>
    <w:rsid w:val="00A212AC"/>
    <w:rsid w:val="00A23A3C"/>
    <w:rsid w:val="00A244E6"/>
    <w:rsid w:val="00A25788"/>
    <w:rsid w:val="00A25938"/>
    <w:rsid w:val="00A264C7"/>
    <w:rsid w:val="00A317ED"/>
    <w:rsid w:val="00A3184A"/>
    <w:rsid w:val="00A34073"/>
    <w:rsid w:val="00A34D63"/>
    <w:rsid w:val="00A35A8F"/>
    <w:rsid w:val="00A36BA2"/>
    <w:rsid w:val="00A37456"/>
    <w:rsid w:val="00A376C1"/>
    <w:rsid w:val="00A43445"/>
    <w:rsid w:val="00A47DC5"/>
    <w:rsid w:val="00A50785"/>
    <w:rsid w:val="00A50C62"/>
    <w:rsid w:val="00A50CF8"/>
    <w:rsid w:val="00A5334B"/>
    <w:rsid w:val="00A54246"/>
    <w:rsid w:val="00A56657"/>
    <w:rsid w:val="00A56B72"/>
    <w:rsid w:val="00A61173"/>
    <w:rsid w:val="00A61F54"/>
    <w:rsid w:val="00A62709"/>
    <w:rsid w:val="00A656D9"/>
    <w:rsid w:val="00A6588F"/>
    <w:rsid w:val="00A66095"/>
    <w:rsid w:val="00A67C3E"/>
    <w:rsid w:val="00A7012F"/>
    <w:rsid w:val="00A7722C"/>
    <w:rsid w:val="00A81C0C"/>
    <w:rsid w:val="00A874E3"/>
    <w:rsid w:val="00A9170E"/>
    <w:rsid w:val="00A971C8"/>
    <w:rsid w:val="00A97388"/>
    <w:rsid w:val="00A97488"/>
    <w:rsid w:val="00AA1D26"/>
    <w:rsid w:val="00AA6014"/>
    <w:rsid w:val="00AA6C00"/>
    <w:rsid w:val="00AA6C12"/>
    <w:rsid w:val="00AA6CA4"/>
    <w:rsid w:val="00AA7E2A"/>
    <w:rsid w:val="00AB0FEE"/>
    <w:rsid w:val="00AB3EE7"/>
    <w:rsid w:val="00AB4EF7"/>
    <w:rsid w:val="00AB7934"/>
    <w:rsid w:val="00AC0BF4"/>
    <w:rsid w:val="00AC0F30"/>
    <w:rsid w:val="00AC3571"/>
    <w:rsid w:val="00AC3BAA"/>
    <w:rsid w:val="00AC5517"/>
    <w:rsid w:val="00AC5E62"/>
    <w:rsid w:val="00AC641E"/>
    <w:rsid w:val="00AD0FF5"/>
    <w:rsid w:val="00AD4484"/>
    <w:rsid w:val="00AD5479"/>
    <w:rsid w:val="00AD6409"/>
    <w:rsid w:val="00AD7267"/>
    <w:rsid w:val="00AD75B2"/>
    <w:rsid w:val="00AE0183"/>
    <w:rsid w:val="00AE3FA9"/>
    <w:rsid w:val="00AF13BA"/>
    <w:rsid w:val="00AF1FB2"/>
    <w:rsid w:val="00AF4796"/>
    <w:rsid w:val="00AF5B8C"/>
    <w:rsid w:val="00AF5E68"/>
    <w:rsid w:val="00B01569"/>
    <w:rsid w:val="00B033A1"/>
    <w:rsid w:val="00B04550"/>
    <w:rsid w:val="00B0468F"/>
    <w:rsid w:val="00B04C52"/>
    <w:rsid w:val="00B07097"/>
    <w:rsid w:val="00B076ED"/>
    <w:rsid w:val="00B10507"/>
    <w:rsid w:val="00B13F5F"/>
    <w:rsid w:val="00B161DE"/>
    <w:rsid w:val="00B22C60"/>
    <w:rsid w:val="00B24541"/>
    <w:rsid w:val="00B24FFA"/>
    <w:rsid w:val="00B27AE1"/>
    <w:rsid w:val="00B30C79"/>
    <w:rsid w:val="00B32F75"/>
    <w:rsid w:val="00B367BC"/>
    <w:rsid w:val="00B36A8D"/>
    <w:rsid w:val="00B36BFA"/>
    <w:rsid w:val="00B37563"/>
    <w:rsid w:val="00B37D68"/>
    <w:rsid w:val="00B411EB"/>
    <w:rsid w:val="00B413F3"/>
    <w:rsid w:val="00B431FF"/>
    <w:rsid w:val="00B43276"/>
    <w:rsid w:val="00B441C0"/>
    <w:rsid w:val="00B443CB"/>
    <w:rsid w:val="00B45A21"/>
    <w:rsid w:val="00B5357E"/>
    <w:rsid w:val="00B53C60"/>
    <w:rsid w:val="00B54BC0"/>
    <w:rsid w:val="00B557AD"/>
    <w:rsid w:val="00B56826"/>
    <w:rsid w:val="00B56981"/>
    <w:rsid w:val="00B570F3"/>
    <w:rsid w:val="00B57850"/>
    <w:rsid w:val="00B6028D"/>
    <w:rsid w:val="00B64C36"/>
    <w:rsid w:val="00B64F53"/>
    <w:rsid w:val="00B67E53"/>
    <w:rsid w:val="00B706F2"/>
    <w:rsid w:val="00B7095A"/>
    <w:rsid w:val="00B711D3"/>
    <w:rsid w:val="00B722B7"/>
    <w:rsid w:val="00B768D6"/>
    <w:rsid w:val="00B839E1"/>
    <w:rsid w:val="00B850F2"/>
    <w:rsid w:val="00B8587C"/>
    <w:rsid w:val="00B87321"/>
    <w:rsid w:val="00B87CB3"/>
    <w:rsid w:val="00B96179"/>
    <w:rsid w:val="00B961A5"/>
    <w:rsid w:val="00B96FA1"/>
    <w:rsid w:val="00BA0C59"/>
    <w:rsid w:val="00BA0E6E"/>
    <w:rsid w:val="00BA588C"/>
    <w:rsid w:val="00BB023C"/>
    <w:rsid w:val="00BB18D4"/>
    <w:rsid w:val="00BB2B2F"/>
    <w:rsid w:val="00BB3C8F"/>
    <w:rsid w:val="00BB4F4C"/>
    <w:rsid w:val="00BB586C"/>
    <w:rsid w:val="00BB60A7"/>
    <w:rsid w:val="00BB79DF"/>
    <w:rsid w:val="00BC0C5C"/>
    <w:rsid w:val="00BC1618"/>
    <w:rsid w:val="00BC2E35"/>
    <w:rsid w:val="00BC31FA"/>
    <w:rsid w:val="00BC335F"/>
    <w:rsid w:val="00BC3BF0"/>
    <w:rsid w:val="00BC4851"/>
    <w:rsid w:val="00BC6658"/>
    <w:rsid w:val="00BC74DF"/>
    <w:rsid w:val="00BD1519"/>
    <w:rsid w:val="00BD1708"/>
    <w:rsid w:val="00BD42AF"/>
    <w:rsid w:val="00BD5BC6"/>
    <w:rsid w:val="00BE5267"/>
    <w:rsid w:val="00BE7DF1"/>
    <w:rsid w:val="00BF0096"/>
    <w:rsid w:val="00BF0BA1"/>
    <w:rsid w:val="00BF0C69"/>
    <w:rsid w:val="00BF1514"/>
    <w:rsid w:val="00BF31FE"/>
    <w:rsid w:val="00BF458C"/>
    <w:rsid w:val="00BF7CEB"/>
    <w:rsid w:val="00C00316"/>
    <w:rsid w:val="00C00371"/>
    <w:rsid w:val="00C04BCB"/>
    <w:rsid w:val="00C04D27"/>
    <w:rsid w:val="00C056E1"/>
    <w:rsid w:val="00C06FA9"/>
    <w:rsid w:val="00C101FF"/>
    <w:rsid w:val="00C1020E"/>
    <w:rsid w:val="00C10911"/>
    <w:rsid w:val="00C109FA"/>
    <w:rsid w:val="00C10CBD"/>
    <w:rsid w:val="00C11BE7"/>
    <w:rsid w:val="00C1534B"/>
    <w:rsid w:val="00C158EE"/>
    <w:rsid w:val="00C20874"/>
    <w:rsid w:val="00C212D1"/>
    <w:rsid w:val="00C21675"/>
    <w:rsid w:val="00C24502"/>
    <w:rsid w:val="00C25471"/>
    <w:rsid w:val="00C273F3"/>
    <w:rsid w:val="00C31FF4"/>
    <w:rsid w:val="00C34973"/>
    <w:rsid w:val="00C35530"/>
    <w:rsid w:val="00C37234"/>
    <w:rsid w:val="00C416BC"/>
    <w:rsid w:val="00C4225F"/>
    <w:rsid w:val="00C42FC7"/>
    <w:rsid w:val="00C471E1"/>
    <w:rsid w:val="00C50A69"/>
    <w:rsid w:val="00C5255F"/>
    <w:rsid w:val="00C53FBD"/>
    <w:rsid w:val="00C60673"/>
    <w:rsid w:val="00C63277"/>
    <w:rsid w:val="00C63B9E"/>
    <w:rsid w:val="00C65CB0"/>
    <w:rsid w:val="00C65D01"/>
    <w:rsid w:val="00C65E90"/>
    <w:rsid w:val="00C67601"/>
    <w:rsid w:val="00C67775"/>
    <w:rsid w:val="00C67B83"/>
    <w:rsid w:val="00C70A5E"/>
    <w:rsid w:val="00C7524C"/>
    <w:rsid w:val="00C75411"/>
    <w:rsid w:val="00C839B4"/>
    <w:rsid w:val="00C84952"/>
    <w:rsid w:val="00C84D47"/>
    <w:rsid w:val="00C93B59"/>
    <w:rsid w:val="00C93D4F"/>
    <w:rsid w:val="00C94BC6"/>
    <w:rsid w:val="00C94F1D"/>
    <w:rsid w:val="00C9506D"/>
    <w:rsid w:val="00C959A2"/>
    <w:rsid w:val="00C9620B"/>
    <w:rsid w:val="00C9625D"/>
    <w:rsid w:val="00C97EAF"/>
    <w:rsid w:val="00CA070F"/>
    <w:rsid w:val="00CA15CE"/>
    <w:rsid w:val="00CA2D9E"/>
    <w:rsid w:val="00CA318A"/>
    <w:rsid w:val="00CA34F1"/>
    <w:rsid w:val="00CA4410"/>
    <w:rsid w:val="00CA46AE"/>
    <w:rsid w:val="00CA4FD4"/>
    <w:rsid w:val="00CA70FB"/>
    <w:rsid w:val="00CA7511"/>
    <w:rsid w:val="00CA7A42"/>
    <w:rsid w:val="00CB02B8"/>
    <w:rsid w:val="00CB2CC5"/>
    <w:rsid w:val="00CB4F03"/>
    <w:rsid w:val="00CB5931"/>
    <w:rsid w:val="00CB6F77"/>
    <w:rsid w:val="00CC4EA3"/>
    <w:rsid w:val="00CC4ED4"/>
    <w:rsid w:val="00CC5F29"/>
    <w:rsid w:val="00CC621D"/>
    <w:rsid w:val="00CC6511"/>
    <w:rsid w:val="00CC7726"/>
    <w:rsid w:val="00CD0B6F"/>
    <w:rsid w:val="00CD3A98"/>
    <w:rsid w:val="00CD6A1D"/>
    <w:rsid w:val="00CE0747"/>
    <w:rsid w:val="00CE4E4C"/>
    <w:rsid w:val="00CE7043"/>
    <w:rsid w:val="00CE768D"/>
    <w:rsid w:val="00CF1E9C"/>
    <w:rsid w:val="00CF23E4"/>
    <w:rsid w:val="00CF410B"/>
    <w:rsid w:val="00CF583D"/>
    <w:rsid w:val="00CF59E4"/>
    <w:rsid w:val="00CF61D9"/>
    <w:rsid w:val="00CF62FD"/>
    <w:rsid w:val="00CF7A7B"/>
    <w:rsid w:val="00D01C6F"/>
    <w:rsid w:val="00D0206F"/>
    <w:rsid w:val="00D031BC"/>
    <w:rsid w:val="00D04C4F"/>
    <w:rsid w:val="00D05F51"/>
    <w:rsid w:val="00D12AB9"/>
    <w:rsid w:val="00D14521"/>
    <w:rsid w:val="00D16F76"/>
    <w:rsid w:val="00D2061E"/>
    <w:rsid w:val="00D21DE9"/>
    <w:rsid w:val="00D237B0"/>
    <w:rsid w:val="00D248BB"/>
    <w:rsid w:val="00D249AB"/>
    <w:rsid w:val="00D259FE"/>
    <w:rsid w:val="00D30970"/>
    <w:rsid w:val="00D32D50"/>
    <w:rsid w:val="00D331DF"/>
    <w:rsid w:val="00D379A7"/>
    <w:rsid w:val="00D43027"/>
    <w:rsid w:val="00D43755"/>
    <w:rsid w:val="00D4414C"/>
    <w:rsid w:val="00D444BC"/>
    <w:rsid w:val="00D45530"/>
    <w:rsid w:val="00D456F9"/>
    <w:rsid w:val="00D50254"/>
    <w:rsid w:val="00D5084F"/>
    <w:rsid w:val="00D51F07"/>
    <w:rsid w:val="00D5286F"/>
    <w:rsid w:val="00D52D1F"/>
    <w:rsid w:val="00D535AF"/>
    <w:rsid w:val="00D53B91"/>
    <w:rsid w:val="00D54E05"/>
    <w:rsid w:val="00D554CD"/>
    <w:rsid w:val="00D565F2"/>
    <w:rsid w:val="00D57497"/>
    <w:rsid w:val="00D60504"/>
    <w:rsid w:val="00D615E9"/>
    <w:rsid w:val="00D672A0"/>
    <w:rsid w:val="00D70562"/>
    <w:rsid w:val="00D71F8B"/>
    <w:rsid w:val="00D7272C"/>
    <w:rsid w:val="00D73185"/>
    <w:rsid w:val="00D76ECE"/>
    <w:rsid w:val="00D77C23"/>
    <w:rsid w:val="00D811F2"/>
    <w:rsid w:val="00D83B7F"/>
    <w:rsid w:val="00D9059D"/>
    <w:rsid w:val="00D92969"/>
    <w:rsid w:val="00D93858"/>
    <w:rsid w:val="00D958CD"/>
    <w:rsid w:val="00D959B4"/>
    <w:rsid w:val="00D95C3B"/>
    <w:rsid w:val="00D963F9"/>
    <w:rsid w:val="00D96DDF"/>
    <w:rsid w:val="00DA0284"/>
    <w:rsid w:val="00DA063D"/>
    <w:rsid w:val="00DA40F8"/>
    <w:rsid w:val="00DA420A"/>
    <w:rsid w:val="00DA50AC"/>
    <w:rsid w:val="00DA5618"/>
    <w:rsid w:val="00DA634B"/>
    <w:rsid w:val="00DA6C0F"/>
    <w:rsid w:val="00DB03D2"/>
    <w:rsid w:val="00DB14BA"/>
    <w:rsid w:val="00DB2288"/>
    <w:rsid w:val="00DB35D4"/>
    <w:rsid w:val="00DB593B"/>
    <w:rsid w:val="00DB5F4D"/>
    <w:rsid w:val="00DB6A01"/>
    <w:rsid w:val="00DC6742"/>
    <w:rsid w:val="00DC79D4"/>
    <w:rsid w:val="00DD0108"/>
    <w:rsid w:val="00DD1786"/>
    <w:rsid w:val="00DD2AC5"/>
    <w:rsid w:val="00DD3505"/>
    <w:rsid w:val="00DD3BFA"/>
    <w:rsid w:val="00DD4318"/>
    <w:rsid w:val="00DD4452"/>
    <w:rsid w:val="00DD46A7"/>
    <w:rsid w:val="00DD4F37"/>
    <w:rsid w:val="00DD6429"/>
    <w:rsid w:val="00DD70CA"/>
    <w:rsid w:val="00DE0D67"/>
    <w:rsid w:val="00DE3173"/>
    <w:rsid w:val="00DE6C12"/>
    <w:rsid w:val="00DE6D33"/>
    <w:rsid w:val="00DE7B60"/>
    <w:rsid w:val="00DF204F"/>
    <w:rsid w:val="00DF22F6"/>
    <w:rsid w:val="00DF55BA"/>
    <w:rsid w:val="00DF694E"/>
    <w:rsid w:val="00DF7401"/>
    <w:rsid w:val="00E03CA1"/>
    <w:rsid w:val="00E03DB5"/>
    <w:rsid w:val="00E05D65"/>
    <w:rsid w:val="00E06925"/>
    <w:rsid w:val="00E150A4"/>
    <w:rsid w:val="00E15E3A"/>
    <w:rsid w:val="00E17CFF"/>
    <w:rsid w:val="00E20AD3"/>
    <w:rsid w:val="00E22E72"/>
    <w:rsid w:val="00E23B93"/>
    <w:rsid w:val="00E253DD"/>
    <w:rsid w:val="00E2654C"/>
    <w:rsid w:val="00E26DB7"/>
    <w:rsid w:val="00E26E23"/>
    <w:rsid w:val="00E27A1A"/>
    <w:rsid w:val="00E310C9"/>
    <w:rsid w:val="00E32EF5"/>
    <w:rsid w:val="00E33265"/>
    <w:rsid w:val="00E33DE5"/>
    <w:rsid w:val="00E35C3C"/>
    <w:rsid w:val="00E423DC"/>
    <w:rsid w:val="00E425C4"/>
    <w:rsid w:val="00E44ED6"/>
    <w:rsid w:val="00E4505F"/>
    <w:rsid w:val="00E45753"/>
    <w:rsid w:val="00E45AD3"/>
    <w:rsid w:val="00E534D6"/>
    <w:rsid w:val="00E5503E"/>
    <w:rsid w:val="00E56228"/>
    <w:rsid w:val="00E56347"/>
    <w:rsid w:val="00E566EB"/>
    <w:rsid w:val="00E612D1"/>
    <w:rsid w:val="00E63464"/>
    <w:rsid w:val="00E653D8"/>
    <w:rsid w:val="00E65D03"/>
    <w:rsid w:val="00E70065"/>
    <w:rsid w:val="00E718D5"/>
    <w:rsid w:val="00E71B77"/>
    <w:rsid w:val="00E71ED4"/>
    <w:rsid w:val="00E72FF1"/>
    <w:rsid w:val="00E734B3"/>
    <w:rsid w:val="00E74B8F"/>
    <w:rsid w:val="00E75C53"/>
    <w:rsid w:val="00E767B3"/>
    <w:rsid w:val="00E77EA8"/>
    <w:rsid w:val="00E81442"/>
    <w:rsid w:val="00E84866"/>
    <w:rsid w:val="00E90BC4"/>
    <w:rsid w:val="00E91106"/>
    <w:rsid w:val="00E938A3"/>
    <w:rsid w:val="00EA0C89"/>
    <w:rsid w:val="00EA30FC"/>
    <w:rsid w:val="00EA3105"/>
    <w:rsid w:val="00EA3C70"/>
    <w:rsid w:val="00EA5015"/>
    <w:rsid w:val="00EA5A30"/>
    <w:rsid w:val="00EB32FE"/>
    <w:rsid w:val="00EB40B6"/>
    <w:rsid w:val="00EB4BDD"/>
    <w:rsid w:val="00EB4DA3"/>
    <w:rsid w:val="00EB5D92"/>
    <w:rsid w:val="00EC79C4"/>
    <w:rsid w:val="00EC7D8A"/>
    <w:rsid w:val="00ED1E25"/>
    <w:rsid w:val="00ED4484"/>
    <w:rsid w:val="00ED5033"/>
    <w:rsid w:val="00ED54BE"/>
    <w:rsid w:val="00ED6638"/>
    <w:rsid w:val="00ED72B8"/>
    <w:rsid w:val="00EE0513"/>
    <w:rsid w:val="00EE11C0"/>
    <w:rsid w:val="00EE24BC"/>
    <w:rsid w:val="00EE5CF9"/>
    <w:rsid w:val="00EE60B2"/>
    <w:rsid w:val="00EE6ADF"/>
    <w:rsid w:val="00EF3F20"/>
    <w:rsid w:val="00EF4221"/>
    <w:rsid w:val="00EF5432"/>
    <w:rsid w:val="00EF6961"/>
    <w:rsid w:val="00EF6CB2"/>
    <w:rsid w:val="00EF70D4"/>
    <w:rsid w:val="00EF7A4F"/>
    <w:rsid w:val="00F03595"/>
    <w:rsid w:val="00F054C9"/>
    <w:rsid w:val="00F12052"/>
    <w:rsid w:val="00F16177"/>
    <w:rsid w:val="00F1744A"/>
    <w:rsid w:val="00F21644"/>
    <w:rsid w:val="00F25B85"/>
    <w:rsid w:val="00F33AFC"/>
    <w:rsid w:val="00F342EA"/>
    <w:rsid w:val="00F35520"/>
    <w:rsid w:val="00F36A93"/>
    <w:rsid w:val="00F417AC"/>
    <w:rsid w:val="00F42A62"/>
    <w:rsid w:val="00F42C0A"/>
    <w:rsid w:val="00F5100A"/>
    <w:rsid w:val="00F518BC"/>
    <w:rsid w:val="00F52A48"/>
    <w:rsid w:val="00F52E10"/>
    <w:rsid w:val="00F547AA"/>
    <w:rsid w:val="00F556AE"/>
    <w:rsid w:val="00F5651A"/>
    <w:rsid w:val="00F57F1B"/>
    <w:rsid w:val="00F57FCC"/>
    <w:rsid w:val="00F6039A"/>
    <w:rsid w:val="00F60629"/>
    <w:rsid w:val="00F60C7F"/>
    <w:rsid w:val="00F613FA"/>
    <w:rsid w:val="00F649E4"/>
    <w:rsid w:val="00F65AAC"/>
    <w:rsid w:val="00F6667C"/>
    <w:rsid w:val="00F72A72"/>
    <w:rsid w:val="00F72C08"/>
    <w:rsid w:val="00F72C4A"/>
    <w:rsid w:val="00F74862"/>
    <w:rsid w:val="00F812AE"/>
    <w:rsid w:val="00F83454"/>
    <w:rsid w:val="00F85A8B"/>
    <w:rsid w:val="00F86DB5"/>
    <w:rsid w:val="00F9020A"/>
    <w:rsid w:val="00F90322"/>
    <w:rsid w:val="00F93980"/>
    <w:rsid w:val="00F93EE7"/>
    <w:rsid w:val="00F948BE"/>
    <w:rsid w:val="00F94F27"/>
    <w:rsid w:val="00F9747E"/>
    <w:rsid w:val="00FA0124"/>
    <w:rsid w:val="00FA0536"/>
    <w:rsid w:val="00FA0EA9"/>
    <w:rsid w:val="00FA1B1B"/>
    <w:rsid w:val="00FB10B9"/>
    <w:rsid w:val="00FB2D17"/>
    <w:rsid w:val="00FB40F4"/>
    <w:rsid w:val="00FC1AC9"/>
    <w:rsid w:val="00FD3625"/>
    <w:rsid w:val="00FD4AD4"/>
    <w:rsid w:val="00FE0BF0"/>
    <w:rsid w:val="00FE0DF2"/>
    <w:rsid w:val="00FE2543"/>
    <w:rsid w:val="00FE2C55"/>
    <w:rsid w:val="00FE5DE7"/>
    <w:rsid w:val="00FE6C50"/>
    <w:rsid w:val="00FF06CA"/>
    <w:rsid w:val="00FF0AEF"/>
    <w:rsid w:val="00FF1756"/>
    <w:rsid w:val="00FF2474"/>
    <w:rsid w:val="00FF3794"/>
    <w:rsid w:val="00FF483B"/>
    <w:rsid w:val="00FF5CF4"/>
  </w:rsids>
  <m:mathPr>
    <m:mathFont m:val="Cambria Math"/>
    <m:brkBin m:val="before"/>
    <m:brkBinSub m:val="--"/>
    <m:smallFrac m:val="0"/>
    <m:dispDef/>
    <m:lMargin m:val="0"/>
    <m:rMargin m:val="0"/>
    <m:defJc m:val="centerGroup"/>
    <m:wrapIndent m:val="1440"/>
    <m:intLim m:val="subSup"/>
    <m:naryLim m:val="undOvr"/>
  </m:mathPr>
  <w:themeFontLang w:val="ca-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08C1E"/>
  <w15:chartTrackingRefBased/>
  <w15:docId w15:val="{EA54BDBF-0CC4-4B3D-A8C4-384C61F83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32A4"/>
    <w:pPr>
      <w:spacing w:after="200" w:line="276" w:lineRule="auto"/>
    </w:pPr>
    <w:rPr>
      <w:rFonts w:ascii="Calibri" w:eastAsia="Calibri" w:hAnsi="Calibri" w:cs="Times New Roman"/>
    </w:rPr>
  </w:style>
  <w:style w:type="paragraph" w:styleId="Ttol1">
    <w:name w:val="heading 1"/>
    <w:basedOn w:val="Normal"/>
    <w:link w:val="Ttol1Car"/>
    <w:uiPriority w:val="9"/>
    <w:qFormat/>
    <w:rsid w:val="000C548C"/>
    <w:pPr>
      <w:spacing w:before="100" w:beforeAutospacing="1" w:after="100" w:afterAutospacing="1" w:line="240" w:lineRule="auto"/>
      <w:outlineLvl w:val="0"/>
    </w:pPr>
    <w:rPr>
      <w:rFonts w:ascii="Times New Roman" w:eastAsia="Times New Roman" w:hAnsi="Times New Roman"/>
      <w:b/>
      <w:bCs/>
      <w:kern w:val="36"/>
      <w:sz w:val="48"/>
      <w:szCs w:val="48"/>
      <w:lang w:eastAsia="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Enlla">
    <w:name w:val="Hyperlink"/>
    <w:basedOn w:val="Lletraperdefectedelpargraf"/>
    <w:uiPriority w:val="99"/>
    <w:rsid w:val="005832A4"/>
    <w:rPr>
      <w:rFonts w:cs="Times New Roman"/>
      <w:color w:val="0000FF"/>
      <w:u w:val="single"/>
    </w:rPr>
  </w:style>
  <w:style w:type="character" w:styleId="Mencisenseresoldre">
    <w:name w:val="Unresolved Mention"/>
    <w:basedOn w:val="Lletraperdefectedelpargraf"/>
    <w:uiPriority w:val="99"/>
    <w:semiHidden/>
    <w:unhideWhenUsed/>
    <w:rsid w:val="008705FE"/>
    <w:rPr>
      <w:color w:val="605E5C"/>
      <w:shd w:val="clear" w:color="auto" w:fill="E1DFDD"/>
    </w:rPr>
  </w:style>
  <w:style w:type="paragraph" w:styleId="Pargrafdellista">
    <w:name w:val="List Paragraph"/>
    <w:basedOn w:val="Normal"/>
    <w:uiPriority w:val="34"/>
    <w:qFormat/>
    <w:rsid w:val="008705FE"/>
    <w:pPr>
      <w:ind w:left="720"/>
      <w:contextualSpacing/>
    </w:pPr>
  </w:style>
  <w:style w:type="table" w:styleId="Taulaambquadrcula">
    <w:name w:val="Table Grid"/>
    <w:basedOn w:val="Taulanormal"/>
    <w:uiPriority w:val="39"/>
    <w:rsid w:val="001F3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nciadecomentari">
    <w:name w:val="annotation reference"/>
    <w:basedOn w:val="Lletraperdefectedelpargraf"/>
    <w:uiPriority w:val="99"/>
    <w:semiHidden/>
    <w:unhideWhenUsed/>
    <w:rsid w:val="00DB03D2"/>
    <w:rPr>
      <w:sz w:val="16"/>
      <w:szCs w:val="16"/>
    </w:rPr>
  </w:style>
  <w:style w:type="paragraph" w:styleId="Textdecomentari">
    <w:name w:val="annotation text"/>
    <w:basedOn w:val="Normal"/>
    <w:link w:val="TextdecomentariCar"/>
    <w:uiPriority w:val="99"/>
    <w:unhideWhenUsed/>
    <w:rsid w:val="00DB03D2"/>
    <w:pPr>
      <w:spacing w:line="240" w:lineRule="auto"/>
    </w:pPr>
    <w:rPr>
      <w:sz w:val="20"/>
      <w:szCs w:val="20"/>
    </w:rPr>
  </w:style>
  <w:style w:type="character" w:customStyle="1" w:styleId="TextdecomentariCar">
    <w:name w:val="Text de comentari Car"/>
    <w:basedOn w:val="Lletraperdefectedelpargraf"/>
    <w:link w:val="Textdecomentari"/>
    <w:uiPriority w:val="99"/>
    <w:rsid w:val="00DB03D2"/>
    <w:rPr>
      <w:rFonts w:ascii="Calibri" w:eastAsia="Calibri" w:hAnsi="Calibri" w:cs="Times New Roman"/>
      <w:sz w:val="20"/>
      <w:szCs w:val="20"/>
    </w:rPr>
  </w:style>
  <w:style w:type="paragraph" w:styleId="Temadelcomentari">
    <w:name w:val="annotation subject"/>
    <w:basedOn w:val="Textdecomentari"/>
    <w:next w:val="Textdecomentari"/>
    <w:link w:val="TemadelcomentariCar"/>
    <w:uiPriority w:val="99"/>
    <w:semiHidden/>
    <w:unhideWhenUsed/>
    <w:rsid w:val="00DB03D2"/>
    <w:rPr>
      <w:b/>
      <w:bCs/>
    </w:rPr>
  </w:style>
  <w:style w:type="character" w:customStyle="1" w:styleId="TemadelcomentariCar">
    <w:name w:val="Tema del comentari Car"/>
    <w:basedOn w:val="TextdecomentariCar"/>
    <w:link w:val="Temadelcomentari"/>
    <w:uiPriority w:val="99"/>
    <w:semiHidden/>
    <w:rsid w:val="00DB03D2"/>
    <w:rPr>
      <w:rFonts w:ascii="Calibri" w:eastAsia="Calibri" w:hAnsi="Calibri" w:cs="Times New Roman"/>
      <w:b/>
      <w:bCs/>
      <w:sz w:val="20"/>
      <w:szCs w:val="20"/>
    </w:rPr>
  </w:style>
  <w:style w:type="paragraph" w:styleId="Textdeglobus">
    <w:name w:val="Balloon Text"/>
    <w:basedOn w:val="Normal"/>
    <w:link w:val="TextdeglobusCar"/>
    <w:uiPriority w:val="99"/>
    <w:semiHidden/>
    <w:unhideWhenUsed/>
    <w:rsid w:val="00DB03D2"/>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DB03D2"/>
    <w:rPr>
      <w:rFonts w:ascii="Segoe UI" w:eastAsia="Calibri" w:hAnsi="Segoe UI" w:cs="Segoe UI"/>
      <w:sz w:val="18"/>
      <w:szCs w:val="18"/>
    </w:rPr>
  </w:style>
  <w:style w:type="character" w:styleId="mfasi">
    <w:name w:val="Emphasis"/>
    <w:basedOn w:val="Lletraperdefectedelpargraf"/>
    <w:uiPriority w:val="20"/>
    <w:qFormat/>
    <w:rsid w:val="00413EA2"/>
    <w:rPr>
      <w:i/>
      <w:iCs/>
    </w:rPr>
  </w:style>
  <w:style w:type="paragraph" w:styleId="Revisi">
    <w:name w:val="Revision"/>
    <w:hidden/>
    <w:uiPriority w:val="99"/>
    <w:semiHidden/>
    <w:rsid w:val="00D331DF"/>
    <w:pPr>
      <w:spacing w:after="0" w:line="240" w:lineRule="auto"/>
    </w:pPr>
    <w:rPr>
      <w:rFonts w:ascii="Calibri" w:eastAsia="Calibri" w:hAnsi="Calibri" w:cs="Times New Roman"/>
    </w:rPr>
  </w:style>
  <w:style w:type="character" w:styleId="Textdelcontenidor">
    <w:name w:val="Placeholder Text"/>
    <w:basedOn w:val="Lletraperdefectedelpargraf"/>
    <w:uiPriority w:val="99"/>
    <w:semiHidden/>
    <w:rsid w:val="00CC4EA3"/>
    <w:rPr>
      <w:color w:val="808080"/>
    </w:rPr>
  </w:style>
  <w:style w:type="paragraph" w:styleId="Capalera">
    <w:name w:val="header"/>
    <w:basedOn w:val="Normal"/>
    <w:link w:val="CapaleraCar"/>
    <w:uiPriority w:val="99"/>
    <w:unhideWhenUsed/>
    <w:rsid w:val="00920808"/>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920808"/>
    <w:rPr>
      <w:rFonts w:ascii="Calibri" w:eastAsia="Calibri" w:hAnsi="Calibri" w:cs="Times New Roman"/>
    </w:rPr>
  </w:style>
  <w:style w:type="paragraph" w:styleId="Peu">
    <w:name w:val="footer"/>
    <w:basedOn w:val="Normal"/>
    <w:link w:val="PeuCar"/>
    <w:uiPriority w:val="99"/>
    <w:unhideWhenUsed/>
    <w:rsid w:val="00920808"/>
    <w:pPr>
      <w:tabs>
        <w:tab w:val="center" w:pos="4252"/>
        <w:tab w:val="right" w:pos="8504"/>
      </w:tabs>
      <w:spacing w:after="0" w:line="240" w:lineRule="auto"/>
    </w:pPr>
  </w:style>
  <w:style w:type="character" w:customStyle="1" w:styleId="PeuCar">
    <w:name w:val="Peu Car"/>
    <w:basedOn w:val="Lletraperdefectedelpargraf"/>
    <w:link w:val="Peu"/>
    <w:uiPriority w:val="99"/>
    <w:rsid w:val="00920808"/>
    <w:rPr>
      <w:rFonts w:ascii="Calibri" w:eastAsia="Calibri" w:hAnsi="Calibri" w:cs="Times New Roman"/>
    </w:rPr>
  </w:style>
  <w:style w:type="character" w:customStyle="1" w:styleId="highlight">
    <w:name w:val="highlight"/>
    <w:basedOn w:val="Lletraperdefectedelpargraf"/>
    <w:rsid w:val="005B2598"/>
  </w:style>
  <w:style w:type="character" w:customStyle="1" w:styleId="Ttol1Car">
    <w:name w:val="Títol 1 Car"/>
    <w:basedOn w:val="Lletraperdefectedelpargraf"/>
    <w:link w:val="Ttol1"/>
    <w:uiPriority w:val="9"/>
    <w:rsid w:val="000C548C"/>
    <w:rPr>
      <w:rFonts w:ascii="Times New Roman" w:eastAsia="Times New Roman" w:hAnsi="Times New Roman" w:cs="Times New Roman"/>
      <w:b/>
      <w:bCs/>
      <w:kern w:val="36"/>
      <w:sz w:val="48"/>
      <w:szCs w:val="48"/>
      <w:lang w:eastAsia="ca-ES"/>
    </w:rPr>
  </w:style>
  <w:style w:type="character" w:customStyle="1" w:styleId="authors-list-item">
    <w:name w:val="authors-list-item"/>
    <w:basedOn w:val="Lletraperdefectedelpargraf"/>
    <w:rsid w:val="000C548C"/>
  </w:style>
  <w:style w:type="character" w:customStyle="1" w:styleId="author-sup-separator">
    <w:name w:val="author-sup-separator"/>
    <w:basedOn w:val="Lletraperdefectedelpargraf"/>
    <w:rsid w:val="000C548C"/>
  </w:style>
  <w:style w:type="character" w:customStyle="1" w:styleId="comma">
    <w:name w:val="comma"/>
    <w:basedOn w:val="Lletraperdefectedelpargraf"/>
    <w:rsid w:val="000C548C"/>
  </w:style>
  <w:style w:type="character" w:styleId="Textennegreta">
    <w:name w:val="Strong"/>
    <w:basedOn w:val="Lletraperdefectedelpargraf"/>
    <w:uiPriority w:val="22"/>
    <w:qFormat/>
    <w:rsid w:val="00E150A4"/>
    <w:rPr>
      <w:b/>
      <w:bCs/>
    </w:rPr>
  </w:style>
  <w:style w:type="paragraph" w:styleId="NormalWeb">
    <w:name w:val="Normal (Web)"/>
    <w:basedOn w:val="Normal"/>
    <w:uiPriority w:val="99"/>
    <w:semiHidden/>
    <w:unhideWhenUsed/>
    <w:rsid w:val="00A50CF8"/>
    <w:pPr>
      <w:spacing w:before="100" w:beforeAutospacing="1" w:after="100" w:afterAutospacing="1" w:line="240" w:lineRule="auto"/>
    </w:pPr>
    <w:rPr>
      <w:rFonts w:ascii="Times New Roman" w:eastAsia="Times New Roman" w:hAnsi="Times New Roman"/>
      <w:sz w:val="24"/>
      <w:szCs w:val="24"/>
      <w:lang w:eastAsia="ca-ES"/>
    </w:rPr>
  </w:style>
  <w:style w:type="character" w:customStyle="1" w:styleId="identifier">
    <w:name w:val="identifier"/>
    <w:basedOn w:val="Lletraperdefectedelpargraf"/>
    <w:rsid w:val="00877DF4"/>
  </w:style>
  <w:style w:type="character" w:customStyle="1" w:styleId="id-label">
    <w:name w:val="id-label"/>
    <w:basedOn w:val="Lletraperdefectedelpargraf"/>
    <w:rsid w:val="00DD0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61700">
      <w:bodyDiv w:val="1"/>
      <w:marLeft w:val="0"/>
      <w:marRight w:val="0"/>
      <w:marTop w:val="0"/>
      <w:marBottom w:val="0"/>
      <w:divBdr>
        <w:top w:val="none" w:sz="0" w:space="0" w:color="auto"/>
        <w:left w:val="none" w:sz="0" w:space="0" w:color="auto"/>
        <w:bottom w:val="none" w:sz="0" w:space="0" w:color="auto"/>
        <w:right w:val="none" w:sz="0" w:space="0" w:color="auto"/>
      </w:divBdr>
    </w:div>
    <w:div w:id="42603630">
      <w:bodyDiv w:val="1"/>
      <w:marLeft w:val="0"/>
      <w:marRight w:val="0"/>
      <w:marTop w:val="0"/>
      <w:marBottom w:val="0"/>
      <w:divBdr>
        <w:top w:val="none" w:sz="0" w:space="0" w:color="auto"/>
        <w:left w:val="none" w:sz="0" w:space="0" w:color="auto"/>
        <w:bottom w:val="none" w:sz="0" w:space="0" w:color="auto"/>
        <w:right w:val="none" w:sz="0" w:space="0" w:color="auto"/>
      </w:divBdr>
    </w:div>
    <w:div w:id="52168897">
      <w:bodyDiv w:val="1"/>
      <w:marLeft w:val="0"/>
      <w:marRight w:val="0"/>
      <w:marTop w:val="0"/>
      <w:marBottom w:val="0"/>
      <w:divBdr>
        <w:top w:val="none" w:sz="0" w:space="0" w:color="auto"/>
        <w:left w:val="none" w:sz="0" w:space="0" w:color="auto"/>
        <w:bottom w:val="none" w:sz="0" w:space="0" w:color="auto"/>
        <w:right w:val="none" w:sz="0" w:space="0" w:color="auto"/>
      </w:divBdr>
      <w:divsChild>
        <w:div w:id="2033415810">
          <w:marLeft w:val="640"/>
          <w:marRight w:val="0"/>
          <w:marTop w:val="0"/>
          <w:marBottom w:val="0"/>
          <w:divBdr>
            <w:top w:val="none" w:sz="0" w:space="0" w:color="auto"/>
            <w:left w:val="none" w:sz="0" w:space="0" w:color="auto"/>
            <w:bottom w:val="none" w:sz="0" w:space="0" w:color="auto"/>
            <w:right w:val="none" w:sz="0" w:space="0" w:color="auto"/>
          </w:divBdr>
        </w:div>
        <w:div w:id="107773920">
          <w:marLeft w:val="640"/>
          <w:marRight w:val="0"/>
          <w:marTop w:val="0"/>
          <w:marBottom w:val="0"/>
          <w:divBdr>
            <w:top w:val="none" w:sz="0" w:space="0" w:color="auto"/>
            <w:left w:val="none" w:sz="0" w:space="0" w:color="auto"/>
            <w:bottom w:val="none" w:sz="0" w:space="0" w:color="auto"/>
            <w:right w:val="none" w:sz="0" w:space="0" w:color="auto"/>
          </w:divBdr>
        </w:div>
        <w:div w:id="1508445154">
          <w:marLeft w:val="640"/>
          <w:marRight w:val="0"/>
          <w:marTop w:val="0"/>
          <w:marBottom w:val="0"/>
          <w:divBdr>
            <w:top w:val="none" w:sz="0" w:space="0" w:color="auto"/>
            <w:left w:val="none" w:sz="0" w:space="0" w:color="auto"/>
            <w:bottom w:val="none" w:sz="0" w:space="0" w:color="auto"/>
            <w:right w:val="none" w:sz="0" w:space="0" w:color="auto"/>
          </w:divBdr>
        </w:div>
        <w:div w:id="1503230611">
          <w:marLeft w:val="640"/>
          <w:marRight w:val="0"/>
          <w:marTop w:val="0"/>
          <w:marBottom w:val="0"/>
          <w:divBdr>
            <w:top w:val="none" w:sz="0" w:space="0" w:color="auto"/>
            <w:left w:val="none" w:sz="0" w:space="0" w:color="auto"/>
            <w:bottom w:val="none" w:sz="0" w:space="0" w:color="auto"/>
            <w:right w:val="none" w:sz="0" w:space="0" w:color="auto"/>
          </w:divBdr>
        </w:div>
        <w:div w:id="2063826211">
          <w:marLeft w:val="640"/>
          <w:marRight w:val="0"/>
          <w:marTop w:val="0"/>
          <w:marBottom w:val="0"/>
          <w:divBdr>
            <w:top w:val="none" w:sz="0" w:space="0" w:color="auto"/>
            <w:left w:val="none" w:sz="0" w:space="0" w:color="auto"/>
            <w:bottom w:val="none" w:sz="0" w:space="0" w:color="auto"/>
            <w:right w:val="none" w:sz="0" w:space="0" w:color="auto"/>
          </w:divBdr>
        </w:div>
        <w:div w:id="1546410020">
          <w:marLeft w:val="640"/>
          <w:marRight w:val="0"/>
          <w:marTop w:val="0"/>
          <w:marBottom w:val="0"/>
          <w:divBdr>
            <w:top w:val="none" w:sz="0" w:space="0" w:color="auto"/>
            <w:left w:val="none" w:sz="0" w:space="0" w:color="auto"/>
            <w:bottom w:val="none" w:sz="0" w:space="0" w:color="auto"/>
            <w:right w:val="none" w:sz="0" w:space="0" w:color="auto"/>
          </w:divBdr>
        </w:div>
        <w:div w:id="299314054">
          <w:marLeft w:val="640"/>
          <w:marRight w:val="0"/>
          <w:marTop w:val="0"/>
          <w:marBottom w:val="0"/>
          <w:divBdr>
            <w:top w:val="none" w:sz="0" w:space="0" w:color="auto"/>
            <w:left w:val="none" w:sz="0" w:space="0" w:color="auto"/>
            <w:bottom w:val="none" w:sz="0" w:space="0" w:color="auto"/>
            <w:right w:val="none" w:sz="0" w:space="0" w:color="auto"/>
          </w:divBdr>
        </w:div>
        <w:div w:id="1182890503">
          <w:marLeft w:val="640"/>
          <w:marRight w:val="0"/>
          <w:marTop w:val="0"/>
          <w:marBottom w:val="0"/>
          <w:divBdr>
            <w:top w:val="none" w:sz="0" w:space="0" w:color="auto"/>
            <w:left w:val="none" w:sz="0" w:space="0" w:color="auto"/>
            <w:bottom w:val="none" w:sz="0" w:space="0" w:color="auto"/>
            <w:right w:val="none" w:sz="0" w:space="0" w:color="auto"/>
          </w:divBdr>
        </w:div>
        <w:div w:id="323095356">
          <w:marLeft w:val="640"/>
          <w:marRight w:val="0"/>
          <w:marTop w:val="0"/>
          <w:marBottom w:val="0"/>
          <w:divBdr>
            <w:top w:val="none" w:sz="0" w:space="0" w:color="auto"/>
            <w:left w:val="none" w:sz="0" w:space="0" w:color="auto"/>
            <w:bottom w:val="none" w:sz="0" w:space="0" w:color="auto"/>
            <w:right w:val="none" w:sz="0" w:space="0" w:color="auto"/>
          </w:divBdr>
        </w:div>
        <w:div w:id="2081099903">
          <w:marLeft w:val="640"/>
          <w:marRight w:val="0"/>
          <w:marTop w:val="0"/>
          <w:marBottom w:val="0"/>
          <w:divBdr>
            <w:top w:val="none" w:sz="0" w:space="0" w:color="auto"/>
            <w:left w:val="none" w:sz="0" w:space="0" w:color="auto"/>
            <w:bottom w:val="none" w:sz="0" w:space="0" w:color="auto"/>
            <w:right w:val="none" w:sz="0" w:space="0" w:color="auto"/>
          </w:divBdr>
        </w:div>
        <w:div w:id="1828201208">
          <w:marLeft w:val="640"/>
          <w:marRight w:val="0"/>
          <w:marTop w:val="0"/>
          <w:marBottom w:val="0"/>
          <w:divBdr>
            <w:top w:val="none" w:sz="0" w:space="0" w:color="auto"/>
            <w:left w:val="none" w:sz="0" w:space="0" w:color="auto"/>
            <w:bottom w:val="none" w:sz="0" w:space="0" w:color="auto"/>
            <w:right w:val="none" w:sz="0" w:space="0" w:color="auto"/>
          </w:divBdr>
        </w:div>
        <w:div w:id="603345174">
          <w:marLeft w:val="640"/>
          <w:marRight w:val="0"/>
          <w:marTop w:val="0"/>
          <w:marBottom w:val="0"/>
          <w:divBdr>
            <w:top w:val="none" w:sz="0" w:space="0" w:color="auto"/>
            <w:left w:val="none" w:sz="0" w:space="0" w:color="auto"/>
            <w:bottom w:val="none" w:sz="0" w:space="0" w:color="auto"/>
            <w:right w:val="none" w:sz="0" w:space="0" w:color="auto"/>
          </w:divBdr>
        </w:div>
        <w:div w:id="1375154505">
          <w:marLeft w:val="640"/>
          <w:marRight w:val="0"/>
          <w:marTop w:val="0"/>
          <w:marBottom w:val="0"/>
          <w:divBdr>
            <w:top w:val="none" w:sz="0" w:space="0" w:color="auto"/>
            <w:left w:val="none" w:sz="0" w:space="0" w:color="auto"/>
            <w:bottom w:val="none" w:sz="0" w:space="0" w:color="auto"/>
            <w:right w:val="none" w:sz="0" w:space="0" w:color="auto"/>
          </w:divBdr>
        </w:div>
        <w:div w:id="1424835725">
          <w:marLeft w:val="640"/>
          <w:marRight w:val="0"/>
          <w:marTop w:val="0"/>
          <w:marBottom w:val="0"/>
          <w:divBdr>
            <w:top w:val="none" w:sz="0" w:space="0" w:color="auto"/>
            <w:left w:val="none" w:sz="0" w:space="0" w:color="auto"/>
            <w:bottom w:val="none" w:sz="0" w:space="0" w:color="auto"/>
            <w:right w:val="none" w:sz="0" w:space="0" w:color="auto"/>
          </w:divBdr>
        </w:div>
        <w:div w:id="1860200457">
          <w:marLeft w:val="640"/>
          <w:marRight w:val="0"/>
          <w:marTop w:val="0"/>
          <w:marBottom w:val="0"/>
          <w:divBdr>
            <w:top w:val="none" w:sz="0" w:space="0" w:color="auto"/>
            <w:left w:val="none" w:sz="0" w:space="0" w:color="auto"/>
            <w:bottom w:val="none" w:sz="0" w:space="0" w:color="auto"/>
            <w:right w:val="none" w:sz="0" w:space="0" w:color="auto"/>
          </w:divBdr>
        </w:div>
        <w:div w:id="1422142061">
          <w:marLeft w:val="640"/>
          <w:marRight w:val="0"/>
          <w:marTop w:val="0"/>
          <w:marBottom w:val="0"/>
          <w:divBdr>
            <w:top w:val="none" w:sz="0" w:space="0" w:color="auto"/>
            <w:left w:val="none" w:sz="0" w:space="0" w:color="auto"/>
            <w:bottom w:val="none" w:sz="0" w:space="0" w:color="auto"/>
            <w:right w:val="none" w:sz="0" w:space="0" w:color="auto"/>
          </w:divBdr>
        </w:div>
        <w:div w:id="429397592">
          <w:marLeft w:val="640"/>
          <w:marRight w:val="0"/>
          <w:marTop w:val="0"/>
          <w:marBottom w:val="0"/>
          <w:divBdr>
            <w:top w:val="none" w:sz="0" w:space="0" w:color="auto"/>
            <w:left w:val="none" w:sz="0" w:space="0" w:color="auto"/>
            <w:bottom w:val="none" w:sz="0" w:space="0" w:color="auto"/>
            <w:right w:val="none" w:sz="0" w:space="0" w:color="auto"/>
          </w:divBdr>
        </w:div>
        <w:div w:id="902520136">
          <w:marLeft w:val="640"/>
          <w:marRight w:val="0"/>
          <w:marTop w:val="0"/>
          <w:marBottom w:val="0"/>
          <w:divBdr>
            <w:top w:val="none" w:sz="0" w:space="0" w:color="auto"/>
            <w:left w:val="none" w:sz="0" w:space="0" w:color="auto"/>
            <w:bottom w:val="none" w:sz="0" w:space="0" w:color="auto"/>
            <w:right w:val="none" w:sz="0" w:space="0" w:color="auto"/>
          </w:divBdr>
        </w:div>
        <w:div w:id="1093894003">
          <w:marLeft w:val="640"/>
          <w:marRight w:val="0"/>
          <w:marTop w:val="0"/>
          <w:marBottom w:val="0"/>
          <w:divBdr>
            <w:top w:val="none" w:sz="0" w:space="0" w:color="auto"/>
            <w:left w:val="none" w:sz="0" w:space="0" w:color="auto"/>
            <w:bottom w:val="none" w:sz="0" w:space="0" w:color="auto"/>
            <w:right w:val="none" w:sz="0" w:space="0" w:color="auto"/>
          </w:divBdr>
        </w:div>
        <w:div w:id="221257390">
          <w:marLeft w:val="640"/>
          <w:marRight w:val="0"/>
          <w:marTop w:val="0"/>
          <w:marBottom w:val="0"/>
          <w:divBdr>
            <w:top w:val="none" w:sz="0" w:space="0" w:color="auto"/>
            <w:left w:val="none" w:sz="0" w:space="0" w:color="auto"/>
            <w:bottom w:val="none" w:sz="0" w:space="0" w:color="auto"/>
            <w:right w:val="none" w:sz="0" w:space="0" w:color="auto"/>
          </w:divBdr>
        </w:div>
        <w:div w:id="2131506562">
          <w:marLeft w:val="640"/>
          <w:marRight w:val="0"/>
          <w:marTop w:val="0"/>
          <w:marBottom w:val="0"/>
          <w:divBdr>
            <w:top w:val="none" w:sz="0" w:space="0" w:color="auto"/>
            <w:left w:val="none" w:sz="0" w:space="0" w:color="auto"/>
            <w:bottom w:val="none" w:sz="0" w:space="0" w:color="auto"/>
            <w:right w:val="none" w:sz="0" w:space="0" w:color="auto"/>
          </w:divBdr>
        </w:div>
        <w:div w:id="1257909709">
          <w:marLeft w:val="640"/>
          <w:marRight w:val="0"/>
          <w:marTop w:val="0"/>
          <w:marBottom w:val="0"/>
          <w:divBdr>
            <w:top w:val="none" w:sz="0" w:space="0" w:color="auto"/>
            <w:left w:val="none" w:sz="0" w:space="0" w:color="auto"/>
            <w:bottom w:val="none" w:sz="0" w:space="0" w:color="auto"/>
            <w:right w:val="none" w:sz="0" w:space="0" w:color="auto"/>
          </w:divBdr>
        </w:div>
        <w:div w:id="692802862">
          <w:marLeft w:val="640"/>
          <w:marRight w:val="0"/>
          <w:marTop w:val="0"/>
          <w:marBottom w:val="0"/>
          <w:divBdr>
            <w:top w:val="none" w:sz="0" w:space="0" w:color="auto"/>
            <w:left w:val="none" w:sz="0" w:space="0" w:color="auto"/>
            <w:bottom w:val="none" w:sz="0" w:space="0" w:color="auto"/>
            <w:right w:val="none" w:sz="0" w:space="0" w:color="auto"/>
          </w:divBdr>
        </w:div>
        <w:div w:id="1904215674">
          <w:marLeft w:val="640"/>
          <w:marRight w:val="0"/>
          <w:marTop w:val="0"/>
          <w:marBottom w:val="0"/>
          <w:divBdr>
            <w:top w:val="none" w:sz="0" w:space="0" w:color="auto"/>
            <w:left w:val="none" w:sz="0" w:space="0" w:color="auto"/>
            <w:bottom w:val="none" w:sz="0" w:space="0" w:color="auto"/>
            <w:right w:val="none" w:sz="0" w:space="0" w:color="auto"/>
          </w:divBdr>
        </w:div>
        <w:div w:id="173497454">
          <w:marLeft w:val="640"/>
          <w:marRight w:val="0"/>
          <w:marTop w:val="0"/>
          <w:marBottom w:val="0"/>
          <w:divBdr>
            <w:top w:val="none" w:sz="0" w:space="0" w:color="auto"/>
            <w:left w:val="none" w:sz="0" w:space="0" w:color="auto"/>
            <w:bottom w:val="none" w:sz="0" w:space="0" w:color="auto"/>
            <w:right w:val="none" w:sz="0" w:space="0" w:color="auto"/>
          </w:divBdr>
        </w:div>
        <w:div w:id="323899735">
          <w:marLeft w:val="640"/>
          <w:marRight w:val="0"/>
          <w:marTop w:val="0"/>
          <w:marBottom w:val="0"/>
          <w:divBdr>
            <w:top w:val="none" w:sz="0" w:space="0" w:color="auto"/>
            <w:left w:val="none" w:sz="0" w:space="0" w:color="auto"/>
            <w:bottom w:val="none" w:sz="0" w:space="0" w:color="auto"/>
            <w:right w:val="none" w:sz="0" w:space="0" w:color="auto"/>
          </w:divBdr>
        </w:div>
        <w:div w:id="195700188">
          <w:marLeft w:val="640"/>
          <w:marRight w:val="0"/>
          <w:marTop w:val="0"/>
          <w:marBottom w:val="0"/>
          <w:divBdr>
            <w:top w:val="none" w:sz="0" w:space="0" w:color="auto"/>
            <w:left w:val="none" w:sz="0" w:space="0" w:color="auto"/>
            <w:bottom w:val="none" w:sz="0" w:space="0" w:color="auto"/>
            <w:right w:val="none" w:sz="0" w:space="0" w:color="auto"/>
          </w:divBdr>
        </w:div>
      </w:divsChild>
    </w:div>
    <w:div w:id="173541581">
      <w:bodyDiv w:val="1"/>
      <w:marLeft w:val="0"/>
      <w:marRight w:val="0"/>
      <w:marTop w:val="0"/>
      <w:marBottom w:val="0"/>
      <w:divBdr>
        <w:top w:val="none" w:sz="0" w:space="0" w:color="auto"/>
        <w:left w:val="none" w:sz="0" w:space="0" w:color="auto"/>
        <w:bottom w:val="none" w:sz="0" w:space="0" w:color="auto"/>
        <w:right w:val="none" w:sz="0" w:space="0" w:color="auto"/>
      </w:divBdr>
      <w:divsChild>
        <w:div w:id="2131165626">
          <w:marLeft w:val="640"/>
          <w:marRight w:val="0"/>
          <w:marTop w:val="0"/>
          <w:marBottom w:val="0"/>
          <w:divBdr>
            <w:top w:val="none" w:sz="0" w:space="0" w:color="auto"/>
            <w:left w:val="none" w:sz="0" w:space="0" w:color="auto"/>
            <w:bottom w:val="none" w:sz="0" w:space="0" w:color="auto"/>
            <w:right w:val="none" w:sz="0" w:space="0" w:color="auto"/>
          </w:divBdr>
        </w:div>
        <w:div w:id="852568084">
          <w:marLeft w:val="640"/>
          <w:marRight w:val="0"/>
          <w:marTop w:val="0"/>
          <w:marBottom w:val="0"/>
          <w:divBdr>
            <w:top w:val="none" w:sz="0" w:space="0" w:color="auto"/>
            <w:left w:val="none" w:sz="0" w:space="0" w:color="auto"/>
            <w:bottom w:val="none" w:sz="0" w:space="0" w:color="auto"/>
            <w:right w:val="none" w:sz="0" w:space="0" w:color="auto"/>
          </w:divBdr>
        </w:div>
        <w:div w:id="685981562">
          <w:marLeft w:val="640"/>
          <w:marRight w:val="0"/>
          <w:marTop w:val="0"/>
          <w:marBottom w:val="0"/>
          <w:divBdr>
            <w:top w:val="none" w:sz="0" w:space="0" w:color="auto"/>
            <w:left w:val="none" w:sz="0" w:space="0" w:color="auto"/>
            <w:bottom w:val="none" w:sz="0" w:space="0" w:color="auto"/>
            <w:right w:val="none" w:sz="0" w:space="0" w:color="auto"/>
          </w:divBdr>
        </w:div>
        <w:div w:id="1042678257">
          <w:marLeft w:val="640"/>
          <w:marRight w:val="0"/>
          <w:marTop w:val="0"/>
          <w:marBottom w:val="0"/>
          <w:divBdr>
            <w:top w:val="none" w:sz="0" w:space="0" w:color="auto"/>
            <w:left w:val="none" w:sz="0" w:space="0" w:color="auto"/>
            <w:bottom w:val="none" w:sz="0" w:space="0" w:color="auto"/>
            <w:right w:val="none" w:sz="0" w:space="0" w:color="auto"/>
          </w:divBdr>
        </w:div>
        <w:div w:id="259148167">
          <w:marLeft w:val="640"/>
          <w:marRight w:val="0"/>
          <w:marTop w:val="0"/>
          <w:marBottom w:val="0"/>
          <w:divBdr>
            <w:top w:val="none" w:sz="0" w:space="0" w:color="auto"/>
            <w:left w:val="none" w:sz="0" w:space="0" w:color="auto"/>
            <w:bottom w:val="none" w:sz="0" w:space="0" w:color="auto"/>
            <w:right w:val="none" w:sz="0" w:space="0" w:color="auto"/>
          </w:divBdr>
        </w:div>
        <w:div w:id="1492283867">
          <w:marLeft w:val="640"/>
          <w:marRight w:val="0"/>
          <w:marTop w:val="0"/>
          <w:marBottom w:val="0"/>
          <w:divBdr>
            <w:top w:val="none" w:sz="0" w:space="0" w:color="auto"/>
            <w:left w:val="none" w:sz="0" w:space="0" w:color="auto"/>
            <w:bottom w:val="none" w:sz="0" w:space="0" w:color="auto"/>
            <w:right w:val="none" w:sz="0" w:space="0" w:color="auto"/>
          </w:divBdr>
        </w:div>
        <w:div w:id="2008290643">
          <w:marLeft w:val="640"/>
          <w:marRight w:val="0"/>
          <w:marTop w:val="0"/>
          <w:marBottom w:val="0"/>
          <w:divBdr>
            <w:top w:val="none" w:sz="0" w:space="0" w:color="auto"/>
            <w:left w:val="none" w:sz="0" w:space="0" w:color="auto"/>
            <w:bottom w:val="none" w:sz="0" w:space="0" w:color="auto"/>
            <w:right w:val="none" w:sz="0" w:space="0" w:color="auto"/>
          </w:divBdr>
        </w:div>
        <w:div w:id="583801236">
          <w:marLeft w:val="640"/>
          <w:marRight w:val="0"/>
          <w:marTop w:val="0"/>
          <w:marBottom w:val="0"/>
          <w:divBdr>
            <w:top w:val="none" w:sz="0" w:space="0" w:color="auto"/>
            <w:left w:val="none" w:sz="0" w:space="0" w:color="auto"/>
            <w:bottom w:val="none" w:sz="0" w:space="0" w:color="auto"/>
            <w:right w:val="none" w:sz="0" w:space="0" w:color="auto"/>
          </w:divBdr>
        </w:div>
        <w:div w:id="1561671635">
          <w:marLeft w:val="640"/>
          <w:marRight w:val="0"/>
          <w:marTop w:val="0"/>
          <w:marBottom w:val="0"/>
          <w:divBdr>
            <w:top w:val="none" w:sz="0" w:space="0" w:color="auto"/>
            <w:left w:val="none" w:sz="0" w:space="0" w:color="auto"/>
            <w:bottom w:val="none" w:sz="0" w:space="0" w:color="auto"/>
            <w:right w:val="none" w:sz="0" w:space="0" w:color="auto"/>
          </w:divBdr>
        </w:div>
        <w:div w:id="738677107">
          <w:marLeft w:val="640"/>
          <w:marRight w:val="0"/>
          <w:marTop w:val="0"/>
          <w:marBottom w:val="0"/>
          <w:divBdr>
            <w:top w:val="none" w:sz="0" w:space="0" w:color="auto"/>
            <w:left w:val="none" w:sz="0" w:space="0" w:color="auto"/>
            <w:bottom w:val="none" w:sz="0" w:space="0" w:color="auto"/>
            <w:right w:val="none" w:sz="0" w:space="0" w:color="auto"/>
          </w:divBdr>
        </w:div>
        <w:div w:id="1450278756">
          <w:marLeft w:val="640"/>
          <w:marRight w:val="0"/>
          <w:marTop w:val="0"/>
          <w:marBottom w:val="0"/>
          <w:divBdr>
            <w:top w:val="none" w:sz="0" w:space="0" w:color="auto"/>
            <w:left w:val="none" w:sz="0" w:space="0" w:color="auto"/>
            <w:bottom w:val="none" w:sz="0" w:space="0" w:color="auto"/>
            <w:right w:val="none" w:sz="0" w:space="0" w:color="auto"/>
          </w:divBdr>
        </w:div>
        <w:div w:id="984354766">
          <w:marLeft w:val="640"/>
          <w:marRight w:val="0"/>
          <w:marTop w:val="0"/>
          <w:marBottom w:val="0"/>
          <w:divBdr>
            <w:top w:val="none" w:sz="0" w:space="0" w:color="auto"/>
            <w:left w:val="none" w:sz="0" w:space="0" w:color="auto"/>
            <w:bottom w:val="none" w:sz="0" w:space="0" w:color="auto"/>
            <w:right w:val="none" w:sz="0" w:space="0" w:color="auto"/>
          </w:divBdr>
        </w:div>
        <w:div w:id="1757049704">
          <w:marLeft w:val="640"/>
          <w:marRight w:val="0"/>
          <w:marTop w:val="0"/>
          <w:marBottom w:val="0"/>
          <w:divBdr>
            <w:top w:val="none" w:sz="0" w:space="0" w:color="auto"/>
            <w:left w:val="none" w:sz="0" w:space="0" w:color="auto"/>
            <w:bottom w:val="none" w:sz="0" w:space="0" w:color="auto"/>
            <w:right w:val="none" w:sz="0" w:space="0" w:color="auto"/>
          </w:divBdr>
        </w:div>
        <w:div w:id="331417380">
          <w:marLeft w:val="640"/>
          <w:marRight w:val="0"/>
          <w:marTop w:val="0"/>
          <w:marBottom w:val="0"/>
          <w:divBdr>
            <w:top w:val="none" w:sz="0" w:space="0" w:color="auto"/>
            <w:left w:val="none" w:sz="0" w:space="0" w:color="auto"/>
            <w:bottom w:val="none" w:sz="0" w:space="0" w:color="auto"/>
            <w:right w:val="none" w:sz="0" w:space="0" w:color="auto"/>
          </w:divBdr>
        </w:div>
        <w:div w:id="154302597">
          <w:marLeft w:val="640"/>
          <w:marRight w:val="0"/>
          <w:marTop w:val="0"/>
          <w:marBottom w:val="0"/>
          <w:divBdr>
            <w:top w:val="none" w:sz="0" w:space="0" w:color="auto"/>
            <w:left w:val="none" w:sz="0" w:space="0" w:color="auto"/>
            <w:bottom w:val="none" w:sz="0" w:space="0" w:color="auto"/>
            <w:right w:val="none" w:sz="0" w:space="0" w:color="auto"/>
          </w:divBdr>
        </w:div>
        <w:div w:id="831409571">
          <w:marLeft w:val="640"/>
          <w:marRight w:val="0"/>
          <w:marTop w:val="0"/>
          <w:marBottom w:val="0"/>
          <w:divBdr>
            <w:top w:val="none" w:sz="0" w:space="0" w:color="auto"/>
            <w:left w:val="none" w:sz="0" w:space="0" w:color="auto"/>
            <w:bottom w:val="none" w:sz="0" w:space="0" w:color="auto"/>
            <w:right w:val="none" w:sz="0" w:space="0" w:color="auto"/>
          </w:divBdr>
        </w:div>
        <w:div w:id="94325320">
          <w:marLeft w:val="640"/>
          <w:marRight w:val="0"/>
          <w:marTop w:val="0"/>
          <w:marBottom w:val="0"/>
          <w:divBdr>
            <w:top w:val="none" w:sz="0" w:space="0" w:color="auto"/>
            <w:left w:val="none" w:sz="0" w:space="0" w:color="auto"/>
            <w:bottom w:val="none" w:sz="0" w:space="0" w:color="auto"/>
            <w:right w:val="none" w:sz="0" w:space="0" w:color="auto"/>
          </w:divBdr>
        </w:div>
        <w:div w:id="1054424014">
          <w:marLeft w:val="640"/>
          <w:marRight w:val="0"/>
          <w:marTop w:val="0"/>
          <w:marBottom w:val="0"/>
          <w:divBdr>
            <w:top w:val="none" w:sz="0" w:space="0" w:color="auto"/>
            <w:left w:val="none" w:sz="0" w:space="0" w:color="auto"/>
            <w:bottom w:val="none" w:sz="0" w:space="0" w:color="auto"/>
            <w:right w:val="none" w:sz="0" w:space="0" w:color="auto"/>
          </w:divBdr>
        </w:div>
        <w:div w:id="1844316344">
          <w:marLeft w:val="640"/>
          <w:marRight w:val="0"/>
          <w:marTop w:val="0"/>
          <w:marBottom w:val="0"/>
          <w:divBdr>
            <w:top w:val="none" w:sz="0" w:space="0" w:color="auto"/>
            <w:left w:val="none" w:sz="0" w:space="0" w:color="auto"/>
            <w:bottom w:val="none" w:sz="0" w:space="0" w:color="auto"/>
            <w:right w:val="none" w:sz="0" w:space="0" w:color="auto"/>
          </w:divBdr>
        </w:div>
        <w:div w:id="1922061751">
          <w:marLeft w:val="640"/>
          <w:marRight w:val="0"/>
          <w:marTop w:val="0"/>
          <w:marBottom w:val="0"/>
          <w:divBdr>
            <w:top w:val="none" w:sz="0" w:space="0" w:color="auto"/>
            <w:left w:val="none" w:sz="0" w:space="0" w:color="auto"/>
            <w:bottom w:val="none" w:sz="0" w:space="0" w:color="auto"/>
            <w:right w:val="none" w:sz="0" w:space="0" w:color="auto"/>
          </w:divBdr>
        </w:div>
        <w:div w:id="1609044535">
          <w:marLeft w:val="640"/>
          <w:marRight w:val="0"/>
          <w:marTop w:val="0"/>
          <w:marBottom w:val="0"/>
          <w:divBdr>
            <w:top w:val="none" w:sz="0" w:space="0" w:color="auto"/>
            <w:left w:val="none" w:sz="0" w:space="0" w:color="auto"/>
            <w:bottom w:val="none" w:sz="0" w:space="0" w:color="auto"/>
            <w:right w:val="none" w:sz="0" w:space="0" w:color="auto"/>
          </w:divBdr>
        </w:div>
        <w:div w:id="1311517836">
          <w:marLeft w:val="640"/>
          <w:marRight w:val="0"/>
          <w:marTop w:val="0"/>
          <w:marBottom w:val="0"/>
          <w:divBdr>
            <w:top w:val="none" w:sz="0" w:space="0" w:color="auto"/>
            <w:left w:val="none" w:sz="0" w:space="0" w:color="auto"/>
            <w:bottom w:val="none" w:sz="0" w:space="0" w:color="auto"/>
            <w:right w:val="none" w:sz="0" w:space="0" w:color="auto"/>
          </w:divBdr>
        </w:div>
        <w:div w:id="30306641">
          <w:marLeft w:val="640"/>
          <w:marRight w:val="0"/>
          <w:marTop w:val="0"/>
          <w:marBottom w:val="0"/>
          <w:divBdr>
            <w:top w:val="none" w:sz="0" w:space="0" w:color="auto"/>
            <w:left w:val="none" w:sz="0" w:space="0" w:color="auto"/>
            <w:bottom w:val="none" w:sz="0" w:space="0" w:color="auto"/>
            <w:right w:val="none" w:sz="0" w:space="0" w:color="auto"/>
          </w:divBdr>
        </w:div>
        <w:div w:id="1396512830">
          <w:marLeft w:val="640"/>
          <w:marRight w:val="0"/>
          <w:marTop w:val="0"/>
          <w:marBottom w:val="0"/>
          <w:divBdr>
            <w:top w:val="none" w:sz="0" w:space="0" w:color="auto"/>
            <w:left w:val="none" w:sz="0" w:space="0" w:color="auto"/>
            <w:bottom w:val="none" w:sz="0" w:space="0" w:color="auto"/>
            <w:right w:val="none" w:sz="0" w:space="0" w:color="auto"/>
          </w:divBdr>
        </w:div>
        <w:div w:id="592124697">
          <w:marLeft w:val="640"/>
          <w:marRight w:val="0"/>
          <w:marTop w:val="0"/>
          <w:marBottom w:val="0"/>
          <w:divBdr>
            <w:top w:val="none" w:sz="0" w:space="0" w:color="auto"/>
            <w:left w:val="none" w:sz="0" w:space="0" w:color="auto"/>
            <w:bottom w:val="none" w:sz="0" w:space="0" w:color="auto"/>
            <w:right w:val="none" w:sz="0" w:space="0" w:color="auto"/>
          </w:divBdr>
        </w:div>
        <w:div w:id="271671229">
          <w:marLeft w:val="640"/>
          <w:marRight w:val="0"/>
          <w:marTop w:val="0"/>
          <w:marBottom w:val="0"/>
          <w:divBdr>
            <w:top w:val="none" w:sz="0" w:space="0" w:color="auto"/>
            <w:left w:val="none" w:sz="0" w:space="0" w:color="auto"/>
            <w:bottom w:val="none" w:sz="0" w:space="0" w:color="auto"/>
            <w:right w:val="none" w:sz="0" w:space="0" w:color="auto"/>
          </w:divBdr>
        </w:div>
      </w:divsChild>
    </w:div>
    <w:div w:id="339356927">
      <w:bodyDiv w:val="1"/>
      <w:marLeft w:val="0"/>
      <w:marRight w:val="0"/>
      <w:marTop w:val="0"/>
      <w:marBottom w:val="0"/>
      <w:divBdr>
        <w:top w:val="none" w:sz="0" w:space="0" w:color="auto"/>
        <w:left w:val="none" w:sz="0" w:space="0" w:color="auto"/>
        <w:bottom w:val="none" w:sz="0" w:space="0" w:color="auto"/>
        <w:right w:val="none" w:sz="0" w:space="0" w:color="auto"/>
      </w:divBdr>
    </w:div>
    <w:div w:id="770979933">
      <w:bodyDiv w:val="1"/>
      <w:marLeft w:val="0"/>
      <w:marRight w:val="0"/>
      <w:marTop w:val="0"/>
      <w:marBottom w:val="0"/>
      <w:divBdr>
        <w:top w:val="none" w:sz="0" w:space="0" w:color="auto"/>
        <w:left w:val="none" w:sz="0" w:space="0" w:color="auto"/>
        <w:bottom w:val="none" w:sz="0" w:space="0" w:color="auto"/>
        <w:right w:val="none" w:sz="0" w:space="0" w:color="auto"/>
      </w:divBdr>
    </w:div>
    <w:div w:id="870191531">
      <w:bodyDiv w:val="1"/>
      <w:marLeft w:val="0"/>
      <w:marRight w:val="0"/>
      <w:marTop w:val="0"/>
      <w:marBottom w:val="0"/>
      <w:divBdr>
        <w:top w:val="none" w:sz="0" w:space="0" w:color="auto"/>
        <w:left w:val="none" w:sz="0" w:space="0" w:color="auto"/>
        <w:bottom w:val="none" w:sz="0" w:space="0" w:color="auto"/>
        <w:right w:val="none" w:sz="0" w:space="0" w:color="auto"/>
      </w:divBdr>
      <w:divsChild>
        <w:div w:id="542445334">
          <w:marLeft w:val="640"/>
          <w:marRight w:val="0"/>
          <w:marTop w:val="0"/>
          <w:marBottom w:val="0"/>
          <w:divBdr>
            <w:top w:val="none" w:sz="0" w:space="0" w:color="auto"/>
            <w:left w:val="none" w:sz="0" w:space="0" w:color="auto"/>
            <w:bottom w:val="none" w:sz="0" w:space="0" w:color="auto"/>
            <w:right w:val="none" w:sz="0" w:space="0" w:color="auto"/>
          </w:divBdr>
        </w:div>
        <w:div w:id="1094279334">
          <w:marLeft w:val="640"/>
          <w:marRight w:val="0"/>
          <w:marTop w:val="0"/>
          <w:marBottom w:val="0"/>
          <w:divBdr>
            <w:top w:val="none" w:sz="0" w:space="0" w:color="auto"/>
            <w:left w:val="none" w:sz="0" w:space="0" w:color="auto"/>
            <w:bottom w:val="none" w:sz="0" w:space="0" w:color="auto"/>
            <w:right w:val="none" w:sz="0" w:space="0" w:color="auto"/>
          </w:divBdr>
        </w:div>
        <w:div w:id="1929851140">
          <w:marLeft w:val="640"/>
          <w:marRight w:val="0"/>
          <w:marTop w:val="0"/>
          <w:marBottom w:val="0"/>
          <w:divBdr>
            <w:top w:val="none" w:sz="0" w:space="0" w:color="auto"/>
            <w:left w:val="none" w:sz="0" w:space="0" w:color="auto"/>
            <w:bottom w:val="none" w:sz="0" w:space="0" w:color="auto"/>
            <w:right w:val="none" w:sz="0" w:space="0" w:color="auto"/>
          </w:divBdr>
        </w:div>
        <w:div w:id="165441894">
          <w:marLeft w:val="640"/>
          <w:marRight w:val="0"/>
          <w:marTop w:val="0"/>
          <w:marBottom w:val="0"/>
          <w:divBdr>
            <w:top w:val="none" w:sz="0" w:space="0" w:color="auto"/>
            <w:left w:val="none" w:sz="0" w:space="0" w:color="auto"/>
            <w:bottom w:val="none" w:sz="0" w:space="0" w:color="auto"/>
            <w:right w:val="none" w:sz="0" w:space="0" w:color="auto"/>
          </w:divBdr>
        </w:div>
        <w:div w:id="2100179768">
          <w:marLeft w:val="640"/>
          <w:marRight w:val="0"/>
          <w:marTop w:val="0"/>
          <w:marBottom w:val="0"/>
          <w:divBdr>
            <w:top w:val="none" w:sz="0" w:space="0" w:color="auto"/>
            <w:left w:val="none" w:sz="0" w:space="0" w:color="auto"/>
            <w:bottom w:val="none" w:sz="0" w:space="0" w:color="auto"/>
            <w:right w:val="none" w:sz="0" w:space="0" w:color="auto"/>
          </w:divBdr>
        </w:div>
        <w:div w:id="2069188698">
          <w:marLeft w:val="640"/>
          <w:marRight w:val="0"/>
          <w:marTop w:val="0"/>
          <w:marBottom w:val="0"/>
          <w:divBdr>
            <w:top w:val="none" w:sz="0" w:space="0" w:color="auto"/>
            <w:left w:val="none" w:sz="0" w:space="0" w:color="auto"/>
            <w:bottom w:val="none" w:sz="0" w:space="0" w:color="auto"/>
            <w:right w:val="none" w:sz="0" w:space="0" w:color="auto"/>
          </w:divBdr>
        </w:div>
        <w:div w:id="556287397">
          <w:marLeft w:val="640"/>
          <w:marRight w:val="0"/>
          <w:marTop w:val="0"/>
          <w:marBottom w:val="0"/>
          <w:divBdr>
            <w:top w:val="none" w:sz="0" w:space="0" w:color="auto"/>
            <w:left w:val="none" w:sz="0" w:space="0" w:color="auto"/>
            <w:bottom w:val="none" w:sz="0" w:space="0" w:color="auto"/>
            <w:right w:val="none" w:sz="0" w:space="0" w:color="auto"/>
          </w:divBdr>
        </w:div>
        <w:div w:id="1871718739">
          <w:marLeft w:val="640"/>
          <w:marRight w:val="0"/>
          <w:marTop w:val="0"/>
          <w:marBottom w:val="0"/>
          <w:divBdr>
            <w:top w:val="none" w:sz="0" w:space="0" w:color="auto"/>
            <w:left w:val="none" w:sz="0" w:space="0" w:color="auto"/>
            <w:bottom w:val="none" w:sz="0" w:space="0" w:color="auto"/>
            <w:right w:val="none" w:sz="0" w:space="0" w:color="auto"/>
          </w:divBdr>
        </w:div>
        <w:div w:id="1831865759">
          <w:marLeft w:val="640"/>
          <w:marRight w:val="0"/>
          <w:marTop w:val="0"/>
          <w:marBottom w:val="0"/>
          <w:divBdr>
            <w:top w:val="none" w:sz="0" w:space="0" w:color="auto"/>
            <w:left w:val="none" w:sz="0" w:space="0" w:color="auto"/>
            <w:bottom w:val="none" w:sz="0" w:space="0" w:color="auto"/>
            <w:right w:val="none" w:sz="0" w:space="0" w:color="auto"/>
          </w:divBdr>
        </w:div>
        <w:div w:id="523589858">
          <w:marLeft w:val="640"/>
          <w:marRight w:val="0"/>
          <w:marTop w:val="0"/>
          <w:marBottom w:val="0"/>
          <w:divBdr>
            <w:top w:val="none" w:sz="0" w:space="0" w:color="auto"/>
            <w:left w:val="none" w:sz="0" w:space="0" w:color="auto"/>
            <w:bottom w:val="none" w:sz="0" w:space="0" w:color="auto"/>
            <w:right w:val="none" w:sz="0" w:space="0" w:color="auto"/>
          </w:divBdr>
        </w:div>
        <w:div w:id="104615055">
          <w:marLeft w:val="640"/>
          <w:marRight w:val="0"/>
          <w:marTop w:val="0"/>
          <w:marBottom w:val="0"/>
          <w:divBdr>
            <w:top w:val="none" w:sz="0" w:space="0" w:color="auto"/>
            <w:left w:val="none" w:sz="0" w:space="0" w:color="auto"/>
            <w:bottom w:val="none" w:sz="0" w:space="0" w:color="auto"/>
            <w:right w:val="none" w:sz="0" w:space="0" w:color="auto"/>
          </w:divBdr>
        </w:div>
        <w:div w:id="562330718">
          <w:marLeft w:val="640"/>
          <w:marRight w:val="0"/>
          <w:marTop w:val="0"/>
          <w:marBottom w:val="0"/>
          <w:divBdr>
            <w:top w:val="none" w:sz="0" w:space="0" w:color="auto"/>
            <w:left w:val="none" w:sz="0" w:space="0" w:color="auto"/>
            <w:bottom w:val="none" w:sz="0" w:space="0" w:color="auto"/>
            <w:right w:val="none" w:sz="0" w:space="0" w:color="auto"/>
          </w:divBdr>
        </w:div>
        <w:div w:id="1299922513">
          <w:marLeft w:val="640"/>
          <w:marRight w:val="0"/>
          <w:marTop w:val="0"/>
          <w:marBottom w:val="0"/>
          <w:divBdr>
            <w:top w:val="none" w:sz="0" w:space="0" w:color="auto"/>
            <w:left w:val="none" w:sz="0" w:space="0" w:color="auto"/>
            <w:bottom w:val="none" w:sz="0" w:space="0" w:color="auto"/>
            <w:right w:val="none" w:sz="0" w:space="0" w:color="auto"/>
          </w:divBdr>
        </w:div>
        <w:div w:id="1299383223">
          <w:marLeft w:val="640"/>
          <w:marRight w:val="0"/>
          <w:marTop w:val="0"/>
          <w:marBottom w:val="0"/>
          <w:divBdr>
            <w:top w:val="none" w:sz="0" w:space="0" w:color="auto"/>
            <w:left w:val="none" w:sz="0" w:space="0" w:color="auto"/>
            <w:bottom w:val="none" w:sz="0" w:space="0" w:color="auto"/>
            <w:right w:val="none" w:sz="0" w:space="0" w:color="auto"/>
          </w:divBdr>
        </w:div>
        <w:div w:id="2043283966">
          <w:marLeft w:val="640"/>
          <w:marRight w:val="0"/>
          <w:marTop w:val="0"/>
          <w:marBottom w:val="0"/>
          <w:divBdr>
            <w:top w:val="none" w:sz="0" w:space="0" w:color="auto"/>
            <w:left w:val="none" w:sz="0" w:space="0" w:color="auto"/>
            <w:bottom w:val="none" w:sz="0" w:space="0" w:color="auto"/>
            <w:right w:val="none" w:sz="0" w:space="0" w:color="auto"/>
          </w:divBdr>
        </w:div>
        <w:div w:id="1295718543">
          <w:marLeft w:val="640"/>
          <w:marRight w:val="0"/>
          <w:marTop w:val="0"/>
          <w:marBottom w:val="0"/>
          <w:divBdr>
            <w:top w:val="none" w:sz="0" w:space="0" w:color="auto"/>
            <w:left w:val="none" w:sz="0" w:space="0" w:color="auto"/>
            <w:bottom w:val="none" w:sz="0" w:space="0" w:color="auto"/>
            <w:right w:val="none" w:sz="0" w:space="0" w:color="auto"/>
          </w:divBdr>
        </w:div>
        <w:div w:id="882525264">
          <w:marLeft w:val="640"/>
          <w:marRight w:val="0"/>
          <w:marTop w:val="0"/>
          <w:marBottom w:val="0"/>
          <w:divBdr>
            <w:top w:val="none" w:sz="0" w:space="0" w:color="auto"/>
            <w:left w:val="none" w:sz="0" w:space="0" w:color="auto"/>
            <w:bottom w:val="none" w:sz="0" w:space="0" w:color="auto"/>
            <w:right w:val="none" w:sz="0" w:space="0" w:color="auto"/>
          </w:divBdr>
        </w:div>
        <w:div w:id="1407721740">
          <w:marLeft w:val="640"/>
          <w:marRight w:val="0"/>
          <w:marTop w:val="0"/>
          <w:marBottom w:val="0"/>
          <w:divBdr>
            <w:top w:val="none" w:sz="0" w:space="0" w:color="auto"/>
            <w:left w:val="none" w:sz="0" w:space="0" w:color="auto"/>
            <w:bottom w:val="none" w:sz="0" w:space="0" w:color="auto"/>
            <w:right w:val="none" w:sz="0" w:space="0" w:color="auto"/>
          </w:divBdr>
        </w:div>
        <w:div w:id="1234311327">
          <w:marLeft w:val="640"/>
          <w:marRight w:val="0"/>
          <w:marTop w:val="0"/>
          <w:marBottom w:val="0"/>
          <w:divBdr>
            <w:top w:val="none" w:sz="0" w:space="0" w:color="auto"/>
            <w:left w:val="none" w:sz="0" w:space="0" w:color="auto"/>
            <w:bottom w:val="none" w:sz="0" w:space="0" w:color="auto"/>
            <w:right w:val="none" w:sz="0" w:space="0" w:color="auto"/>
          </w:divBdr>
        </w:div>
        <w:div w:id="566190203">
          <w:marLeft w:val="640"/>
          <w:marRight w:val="0"/>
          <w:marTop w:val="0"/>
          <w:marBottom w:val="0"/>
          <w:divBdr>
            <w:top w:val="none" w:sz="0" w:space="0" w:color="auto"/>
            <w:left w:val="none" w:sz="0" w:space="0" w:color="auto"/>
            <w:bottom w:val="none" w:sz="0" w:space="0" w:color="auto"/>
            <w:right w:val="none" w:sz="0" w:space="0" w:color="auto"/>
          </w:divBdr>
        </w:div>
        <w:div w:id="1858931654">
          <w:marLeft w:val="640"/>
          <w:marRight w:val="0"/>
          <w:marTop w:val="0"/>
          <w:marBottom w:val="0"/>
          <w:divBdr>
            <w:top w:val="none" w:sz="0" w:space="0" w:color="auto"/>
            <w:left w:val="none" w:sz="0" w:space="0" w:color="auto"/>
            <w:bottom w:val="none" w:sz="0" w:space="0" w:color="auto"/>
            <w:right w:val="none" w:sz="0" w:space="0" w:color="auto"/>
          </w:divBdr>
        </w:div>
        <w:div w:id="862786104">
          <w:marLeft w:val="640"/>
          <w:marRight w:val="0"/>
          <w:marTop w:val="0"/>
          <w:marBottom w:val="0"/>
          <w:divBdr>
            <w:top w:val="none" w:sz="0" w:space="0" w:color="auto"/>
            <w:left w:val="none" w:sz="0" w:space="0" w:color="auto"/>
            <w:bottom w:val="none" w:sz="0" w:space="0" w:color="auto"/>
            <w:right w:val="none" w:sz="0" w:space="0" w:color="auto"/>
          </w:divBdr>
        </w:div>
        <w:div w:id="90199691">
          <w:marLeft w:val="640"/>
          <w:marRight w:val="0"/>
          <w:marTop w:val="0"/>
          <w:marBottom w:val="0"/>
          <w:divBdr>
            <w:top w:val="none" w:sz="0" w:space="0" w:color="auto"/>
            <w:left w:val="none" w:sz="0" w:space="0" w:color="auto"/>
            <w:bottom w:val="none" w:sz="0" w:space="0" w:color="auto"/>
            <w:right w:val="none" w:sz="0" w:space="0" w:color="auto"/>
          </w:divBdr>
        </w:div>
        <w:div w:id="808715036">
          <w:marLeft w:val="640"/>
          <w:marRight w:val="0"/>
          <w:marTop w:val="0"/>
          <w:marBottom w:val="0"/>
          <w:divBdr>
            <w:top w:val="none" w:sz="0" w:space="0" w:color="auto"/>
            <w:left w:val="none" w:sz="0" w:space="0" w:color="auto"/>
            <w:bottom w:val="none" w:sz="0" w:space="0" w:color="auto"/>
            <w:right w:val="none" w:sz="0" w:space="0" w:color="auto"/>
          </w:divBdr>
        </w:div>
        <w:div w:id="1297834149">
          <w:marLeft w:val="640"/>
          <w:marRight w:val="0"/>
          <w:marTop w:val="0"/>
          <w:marBottom w:val="0"/>
          <w:divBdr>
            <w:top w:val="none" w:sz="0" w:space="0" w:color="auto"/>
            <w:left w:val="none" w:sz="0" w:space="0" w:color="auto"/>
            <w:bottom w:val="none" w:sz="0" w:space="0" w:color="auto"/>
            <w:right w:val="none" w:sz="0" w:space="0" w:color="auto"/>
          </w:divBdr>
        </w:div>
      </w:divsChild>
    </w:div>
    <w:div w:id="873810610">
      <w:bodyDiv w:val="1"/>
      <w:marLeft w:val="0"/>
      <w:marRight w:val="0"/>
      <w:marTop w:val="0"/>
      <w:marBottom w:val="0"/>
      <w:divBdr>
        <w:top w:val="none" w:sz="0" w:space="0" w:color="auto"/>
        <w:left w:val="none" w:sz="0" w:space="0" w:color="auto"/>
        <w:bottom w:val="none" w:sz="0" w:space="0" w:color="auto"/>
        <w:right w:val="none" w:sz="0" w:space="0" w:color="auto"/>
      </w:divBdr>
    </w:div>
    <w:div w:id="893352525">
      <w:bodyDiv w:val="1"/>
      <w:marLeft w:val="0"/>
      <w:marRight w:val="0"/>
      <w:marTop w:val="0"/>
      <w:marBottom w:val="0"/>
      <w:divBdr>
        <w:top w:val="none" w:sz="0" w:space="0" w:color="auto"/>
        <w:left w:val="none" w:sz="0" w:space="0" w:color="auto"/>
        <w:bottom w:val="none" w:sz="0" w:space="0" w:color="auto"/>
        <w:right w:val="none" w:sz="0" w:space="0" w:color="auto"/>
      </w:divBdr>
      <w:divsChild>
        <w:div w:id="2002270523">
          <w:marLeft w:val="640"/>
          <w:marRight w:val="0"/>
          <w:marTop w:val="0"/>
          <w:marBottom w:val="0"/>
          <w:divBdr>
            <w:top w:val="none" w:sz="0" w:space="0" w:color="auto"/>
            <w:left w:val="none" w:sz="0" w:space="0" w:color="auto"/>
            <w:bottom w:val="none" w:sz="0" w:space="0" w:color="auto"/>
            <w:right w:val="none" w:sz="0" w:space="0" w:color="auto"/>
          </w:divBdr>
        </w:div>
        <w:div w:id="510220524">
          <w:marLeft w:val="640"/>
          <w:marRight w:val="0"/>
          <w:marTop w:val="0"/>
          <w:marBottom w:val="0"/>
          <w:divBdr>
            <w:top w:val="none" w:sz="0" w:space="0" w:color="auto"/>
            <w:left w:val="none" w:sz="0" w:space="0" w:color="auto"/>
            <w:bottom w:val="none" w:sz="0" w:space="0" w:color="auto"/>
            <w:right w:val="none" w:sz="0" w:space="0" w:color="auto"/>
          </w:divBdr>
        </w:div>
        <w:div w:id="1797290629">
          <w:marLeft w:val="640"/>
          <w:marRight w:val="0"/>
          <w:marTop w:val="0"/>
          <w:marBottom w:val="0"/>
          <w:divBdr>
            <w:top w:val="none" w:sz="0" w:space="0" w:color="auto"/>
            <w:left w:val="none" w:sz="0" w:space="0" w:color="auto"/>
            <w:bottom w:val="none" w:sz="0" w:space="0" w:color="auto"/>
            <w:right w:val="none" w:sz="0" w:space="0" w:color="auto"/>
          </w:divBdr>
        </w:div>
        <w:div w:id="2145846624">
          <w:marLeft w:val="640"/>
          <w:marRight w:val="0"/>
          <w:marTop w:val="0"/>
          <w:marBottom w:val="0"/>
          <w:divBdr>
            <w:top w:val="none" w:sz="0" w:space="0" w:color="auto"/>
            <w:left w:val="none" w:sz="0" w:space="0" w:color="auto"/>
            <w:bottom w:val="none" w:sz="0" w:space="0" w:color="auto"/>
            <w:right w:val="none" w:sz="0" w:space="0" w:color="auto"/>
          </w:divBdr>
        </w:div>
        <w:div w:id="1334453221">
          <w:marLeft w:val="640"/>
          <w:marRight w:val="0"/>
          <w:marTop w:val="0"/>
          <w:marBottom w:val="0"/>
          <w:divBdr>
            <w:top w:val="none" w:sz="0" w:space="0" w:color="auto"/>
            <w:left w:val="none" w:sz="0" w:space="0" w:color="auto"/>
            <w:bottom w:val="none" w:sz="0" w:space="0" w:color="auto"/>
            <w:right w:val="none" w:sz="0" w:space="0" w:color="auto"/>
          </w:divBdr>
        </w:div>
        <w:div w:id="169757514">
          <w:marLeft w:val="640"/>
          <w:marRight w:val="0"/>
          <w:marTop w:val="0"/>
          <w:marBottom w:val="0"/>
          <w:divBdr>
            <w:top w:val="none" w:sz="0" w:space="0" w:color="auto"/>
            <w:left w:val="none" w:sz="0" w:space="0" w:color="auto"/>
            <w:bottom w:val="none" w:sz="0" w:space="0" w:color="auto"/>
            <w:right w:val="none" w:sz="0" w:space="0" w:color="auto"/>
          </w:divBdr>
        </w:div>
        <w:div w:id="1749644758">
          <w:marLeft w:val="640"/>
          <w:marRight w:val="0"/>
          <w:marTop w:val="0"/>
          <w:marBottom w:val="0"/>
          <w:divBdr>
            <w:top w:val="none" w:sz="0" w:space="0" w:color="auto"/>
            <w:left w:val="none" w:sz="0" w:space="0" w:color="auto"/>
            <w:bottom w:val="none" w:sz="0" w:space="0" w:color="auto"/>
            <w:right w:val="none" w:sz="0" w:space="0" w:color="auto"/>
          </w:divBdr>
        </w:div>
        <w:div w:id="1041634877">
          <w:marLeft w:val="640"/>
          <w:marRight w:val="0"/>
          <w:marTop w:val="0"/>
          <w:marBottom w:val="0"/>
          <w:divBdr>
            <w:top w:val="none" w:sz="0" w:space="0" w:color="auto"/>
            <w:left w:val="none" w:sz="0" w:space="0" w:color="auto"/>
            <w:bottom w:val="none" w:sz="0" w:space="0" w:color="auto"/>
            <w:right w:val="none" w:sz="0" w:space="0" w:color="auto"/>
          </w:divBdr>
        </w:div>
        <w:div w:id="630090216">
          <w:marLeft w:val="640"/>
          <w:marRight w:val="0"/>
          <w:marTop w:val="0"/>
          <w:marBottom w:val="0"/>
          <w:divBdr>
            <w:top w:val="none" w:sz="0" w:space="0" w:color="auto"/>
            <w:left w:val="none" w:sz="0" w:space="0" w:color="auto"/>
            <w:bottom w:val="none" w:sz="0" w:space="0" w:color="auto"/>
            <w:right w:val="none" w:sz="0" w:space="0" w:color="auto"/>
          </w:divBdr>
        </w:div>
        <w:div w:id="145782487">
          <w:marLeft w:val="640"/>
          <w:marRight w:val="0"/>
          <w:marTop w:val="0"/>
          <w:marBottom w:val="0"/>
          <w:divBdr>
            <w:top w:val="none" w:sz="0" w:space="0" w:color="auto"/>
            <w:left w:val="none" w:sz="0" w:space="0" w:color="auto"/>
            <w:bottom w:val="none" w:sz="0" w:space="0" w:color="auto"/>
            <w:right w:val="none" w:sz="0" w:space="0" w:color="auto"/>
          </w:divBdr>
        </w:div>
        <w:div w:id="1378048089">
          <w:marLeft w:val="640"/>
          <w:marRight w:val="0"/>
          <w:marTop w:val="0"/>
          <w:marBottom w:val="0"/>
          <w:divBdr>
            <w:top w:val="none" w:sz="0" w:space="0" w:color="auto"/>
            <w:left w:val="none" w:sz="0" w:space="0" w:color="auto"/>
            <w:bottom w:val="none" w:sz="0" w:space="0" w:color="auto"/>
            <w:right w:val="none" w:sz="0" w:space="0" w:color="auto"/>
          </w:divBdr>
        </w:div>
        <w:div w:id="1796098406">
          <w:marLeft w:val="640"/>
          <w:marRight w:val="0"/>
          <w:marTop w:val="0"/>
          <w:marBottom w:val="0"/>
          <w:divBdr>
            <w:top w:val="none" w:sz="0" w:space="0" w:color="auto"/>
            <w:left w:val="none" w:sz="0" w:space="0" w:color="auto"/>
            <w:bottom w:val="none" w:sz="0" w:space="0" w:color="auto"/>
            <w:right w:val="none" w:sz="0" w:space="0" w:color="auto"/>
          </w:divBdr>
        </w:div>
        <w:div w:id="2130539596">
          <w:marLeft w:val="640"/>
          <w:marRight w:val="0"/>
          <w:marTop w:val="0"/>
          <w:marBottom w:val="0"/>
          <w:divBdr>
            <w:top w:val="none" w:sz="0" w:space="0" w:color="auto"/>
            <w:left w:val="none" w:sz="0" w:space="0" w:color="auto"/>
            <w:bottom w:val="none" w:sz="0" w:space="0" w:color="auto"/>
            <w:right w:val="none" w:sz="0" w:space="0" w:color="auto"/>
          </w:divBdr>
        </w:div>
        <w:div w:id="888685387">
          <w:marLeft w:val="640"/>
          <w:marRight w:val="0"/>
          <w:marTop w:val="0"/>
          <w:marBottom w:val="0"/>
          <w:divBdr>
            <w:top w:val="none" w:sz="0" w:space="0" w:color="auto"/>
            <w:left w:val="none" w:sz="0" w:space="0" w:color="auto"/>
            <w:bottom w:val="none" w:sz="0" w:space="0" w:color="auto"/>
            <w:right w:val="none" w:sz="0" w:space="0" w:color="auto"/>
          </w:divBdr>
        </w:div>
        <w:div w:id="920060630">
          <w:marLeft w:val="640"/>
          <w:marRight w:val="0"/>
          <w:marTop w:val="0"/>
          <w:marBottom w:val="0"/>
          <w:divBdr>
            <w:top w:val="none" w:sz="0" w:space="0" w:color="auto"/>
            <w:left w:val="none" w:sz="0" w:space="0" w:color="auto"/>
            <w:bottom w:val="none" w:sz="0" w:space="0" w:color="auto"/>
            <w:right w:val="none" w:sz="0" w:space="0" w:color="auto"/>
          </w:divBdr>
        </w:div>
        <w:div w:id="1432047792">
          <w:marLeft w:val="640"/>
          <w:marRight w:val="0"/>
          <w:marTop w:val="0"/>
          <w:marBottom w:val="0"/>
          <w:divBdr>
            <w:top w:val="none" w:sz="0" w:space="0" w:color="auto"/>
            <w:left w:val="none" w:sz="0" w:space="0" w:color="auto"/>
            <w:bottom w:val="none" w:sz="0" w:space="0" w:color="auto"/>
            <w:right w:val="none" w:sz="0" w:space="0" w:color="auto"/>
          </w:divBdr>
        </w:div>
        <w:div w:id="570699392">
          <w:marLeft w:val="640"/>
          <w:marRight w:val="0"/>
          <w:marTop w:val="0"/>
          <w:marBottom w:val="0"/>
          <w:divBdr>
            <w:top w:val="none" w:sz="0" w:space="0" w:color="auto"/>
            <w:left w:val="none" w:sz="0" w:space="0" w:color="auto"/>
            <w:bottom w:val="none" w:sz="0" w:space="0" w:color="auto"/>
            <w:right w:val="none" w:sz="0" w:space="0" w:color="auto"/>
          </w:divBdr>
        </w:div>
        <w:div w:id="108866730">
          <w:marLeft w:val="640"/>
          <w:marRight w:val="0"/>
          <w:marTop w:val="0"/>
          <w:marBottom w:val="0"/>
          <w:divBdr>
            <w:top w:val="none" w:sz="0" w:space="0" w:color="auto"/>
            <w:left w:val="none" w:sz="0" w:space="0" w:color="auto"/>
            <w:bottom w:val="none" w:sz="0" w:space="0" w:color="auto"/>
            <w:right w:val="none" w:sz="0" w:space="0" w:color="auto"/>
          </w:divBdr>
        </w:div>
        <w:div w:id="241068511">
          <w:marLeft w:val="640"/>
          <w:marRight w:val="0"/>
          <w:marTop w:val="0"/>
          <w:marBottom w:val="0"/>
          <w:divBdr>
            <w:top w:val="none" w:sz="0" w:space="0" w:color="auto"/>
            <w:left w:val="none" w:sz="0" w:space="0" w:color="auto"/>
            <w:bottom w:val="none" w:sz="0" w:space="0" w:color="auto"/>
            <w:right w:val="none" w:sz="0" w:space="0" w:color="auto"/>
          </w:divBdr>
        </w:div>
        <w:div w:id="754664999">
          <w:marLeft w:val="640"/>
          <w:marRight w:val="0"/>
          <w:marTop w:val="0"/>
          <w:marBottom w:val="0"/>
          <w:divBdr>
            <w:top w:val="none" w:sz="0" w:space="0" w:color="auto"/>
            <w:left w:val="none" w:sz="0" w:space="0" w:color="auto"/>
            <w:bottom w:val="none" w:sz="0" w:space="0" w:color="auto"/>
            <w:right w:val="none" w:sz="0" w:space="0" w:color="auto"/>
          </w:divBdr>
        </w:div>
        <w:div w:id="1851721553">
          <w:marLeft w:val="640"/>
          <w:marRight w:val="0"/>
          <w:marTop w:val="0"/>
          <w:marBottom w:val="0"/>
          <w:divBdr>
            <w:top w:val="none" w:sz="0" w:space="0" w:color="auto"/>
            <w:left w:val="none" w:sz="0" w:space="0" w:color="auto"/>
            <w:bottom w:val="none" w:sz="0" w:space="0" w:color="auto"/>
            <w:right w:val="none" w:sz="0" w:space="0" w:color="auto"/>
          </w:divBdr>
        </w:div>
        <w:div w:id="806825692">
          <w:marLeft w:val="640"/>
          <w:marRight w:val="0"/>
          <w:marTop w:val="0"/>
          <w:marBottom w:val="0"/>
          <w:divBdr>
            <w:top w:val="none" w:sz="0" w:space="0" w:color="auto"/>
            <w:left w:val="none" w:sz="0" w:space="0" w:color="auto"/>
            <w:bottom w:val="none" w:sz="0" w:space="0" w:color="auto"/>
            <w:right w:val="none" w:sz="0" w:space="0" w:color="auto"/>
          </w:divBdr>
        </w:div>
        <w:div w:id="1308826174">
          <w:marLeft w:val="640"/>
          <w:marRight w:val="0"/>
          <w:marTop w:val="0"/>
          <w:marBottom w:val="0"/>
          <w:divBdr>
            <w:top w:val="none" w:sz="0" w:space="0" w:color="auto"/>
            <w:left w:val="none" w:sz="0" w:space="0" w:color="auto"/>
            <w:bottom w:val="none" w:sz="0" w:space="0" w:color="auto"/>
            <w:right w:val="none" w:sz="0" w:space="0" w:color="auto"/>
          </w:divBdr>
        </w:div>
        <w:div w:id="1401489540">
          <w:marLeft w:val="640"/>
          <w:marRight w:val="0"/>
          <w:marTop w:val="0"/>
          <w:marBottom w:val="0"/>
          <w:divBdr>
            <w:top w:val="none" w:sz="0" w:space="0" w:color="auto"/>
            <w:left w:val="none" w:sz="0" w:space="0" w:color="auto"/>
            <w:bottom w:val="none" w:sz="0" w:space="0" w:color="auto"/>
            <w:right w:val="none" w:sz="0" w:space="0" w:color="auto"/>
          </w:divBdr>
        </w:div>
        <w:div w:id="918099394">
          <w:marLeft w:val="640"/>
          <w:marRight w:val="0"/>
          <w:marTop w:val="0"/>
          <w:marBottom w:val="0"/>
          <w:divBdr>
            <w:top w:val="none" w:sz="0" w:space="0" w:color="auto"/>
            <w:left w:val="none" w:sz="0" w:space="0" w:color="auto"/>
            <w:bottom w:val="none" w:sz="0" w:space="0" w:color="auto"/>
            <w:right w:val="none" w:sz="0" w:space="0" w:color="auto"/>
          </w:divBdr>
        </w:div>
        <w:div w:id="1403287712">
          <w:marLeft w:val="640"/>
          <w:marRight w:val="0"/>
          <w:marTop w:val="0"/>
          <w:marBottom w:val="0"/>
          <w:divBdr>
            <w:top w:val="none" w:sz="0" w:space="0" w:color="auto"/>
            <w:left w:val="none" w:sz="0" w:space="0" w:color="auto"/>
            <w:bottom w:val="none" w:sz="0" w:space="0" w:color="auto"/>
            <w:right w:val="none" w:sz="0" w:space="0" w:color="auto"/>
          </w:divBdr>
        </w:div>
      </w:divsChild>
    </w:div>
    <w:div w:id="942880614">
      <w:bodyDiv w:val="1"/>
      <w:marLeft w:val="0"/>
      <w:marRight w:val="0"/>
      <w:marTop w:val="0"/>
      <w:marBottom w:val="0"/>
      <w:divBdr>
        <w:top w:val="none" w:sz="0" w:space="0" w:color="auto"/>
        <w:left w:val="none" w:sz="0" w:space="0" w:color="auto"/>
        <w:bottom w:val="none" w:sz="0" w:space="0" w:color="auto"/>
        <w:right w:val="none" w:sz="0" w:space="0" w:color="auto"/>
      </w:divBdr>
    </w:div>
    <w:div w:id="1052584275">
      <w:bodyDiv w:val="1"/>
      <w:marLeft w:val="0"/>
      <w:marRight w:val="0"/>
      <w:marTop w:val="0"/>
      <w:marBottom w:val="0"/>
      <w:divBdr>
        <w:top w:val="none" w:sz="0" w:space="0" w:color="auto"/>
        <w:left w:val="none" w:sz="0" w:space="0" w:color="auto"/>
        <w:bottom w:val="none" w:sz="0" w:space="0" w:color="auto"/>
        <w:right w:val="none" w:sz="0" w:space="0" w:color="auto"/>
      </w:divBdr>
    </w:div>
    <w:div w:id="1058170983">
      <w:bodyDiv w:val="1"/>
      <w:marLeft w:val="0"/>
      <w:marRight w:val="0"/>
      <w:marTop w:val="0"/>
      <w:marBottom w:val="0"/>
      <w:divBdr>
        <w:top w:val="none" w:sz="0" w:space="0" w:color="auto"/>
        <w:left w:val="none" w:sz="0" w:space="0" w:color="auto"/>
        <w:bottom w:val="none" w:sz="0" w:space="0" w:color="auto"/>
        <w:right w:val="none" w:sz="0" w:space="0" w:color="auto"/>
      </w:divBdr>
    </w:div>
    <w:div w:id="1087459625">
      <w:bodyDiv w:val="1"/>
      <w:marLeft w:val="0"/>
      <w:marRight w:val="0"/>
      <w:marTop w:val="0"/>
      <w:marBottom w:val="0"/>
      <w:divBdr>
        <w:top w:val="none" w:sz="0" w:space="0" w:color="auto"/>
        <w:left w:val="none" w:sz="0" w:space="0" w:color="auto"/>
        <w:bottom w:val="none" w:sz="0" w:space="0" w:color="auto"/>
        <w:right w:val="none" w:sz="0" w:space="0" w:color="auto"/>
      </w:divBdr>
      <w:divsChild>
        <w:div w:id="1613392363">
          <w:marLeft w:val="640"/>
          <w:marRight w:val="0"/>
          <w:marTop w:val="0"/>
          <w:marBottom w:val="0"/>
          <w:divBdr>
            <w:top w:val="none" w:sz="0" w:space="0" w:color="auto"/>
            <w:left w:val="none" w:sz="0" w:space="0" w:color="auto"/>
            <w:bottom w:val="none" w:sz="0" w:space="0" w:color="auto"/>
            <w:right w:val="none" w:sz="0" w:space="0" w:color="auto"/>
          </w:divBdr>
        </w:div>
        <w:div w:id="1902323629">
          <w:marLeft w:val="640"/>
          <w:marRight w:val="0"/>
          <w:marTop w:val="0"/>
          <w:marBottom w:val="0"/>
          <w:divBdr>
            <w:top w:val="none" w:sz="0" w:space="0" w:color="auto"/>
            <w:left w:val="none" w:sz="0" w:space="0" w:color="auto"/>
            <w:bottom w:val="none" w:sz="0" w:space="0" w:color="auto"/>
            <w:right w:val="none" w:sz="0" w:space="0" w:color="auto"/>
          </w:divBdr>
        </w:div>
        <w:div w:id="790367503">
          <w:marLeft w:val="640"/>
          <w:marRight w:val="0"/>
          <w:marTop w:val="0"/>
          <w:marBottom w:val="0"/>
          <w:divBdr>
            <w:top w:val="none" w:sz="0" w:space="0" w:color="auto"/>
            <w:left w:val="none" w:sz="0" w:space="0" w:color="auto"/>
            <w:bottom w:val="none" w:sz="0" w:space="0" w:color="auto"/>
            <w:right w:val="none" w:sz="0" w:space="0" w:color="auto"/>
          </w:divBdr>
        </w:div>
        <w:div w:id="205605704">
          <w:marLeft w:val="640"/>
          <w:marRight w:val="0"/>
          <w:marTop w:val="0"/>
          <w:marBottom w:val="0"/>
          <w:divBdr>
            <w:top w:val="none" w:sz="0" w:space="0" w:color="auto"/>
            <w:left w:val="none" w:sz="0" w:space="0" w:color="auto"/>
            <w:bottom w:val="none" w:sz="0" w:space="0" w:color="auto"/>
            <w:right w:val="none" w:sz="0" w:space="0" w:color="auto"/>
          </w:divBdr>
        </w:div>
        <w:div w:id="650325940">
          <w:marLeft w:val="640"/>
          <w:marRight w:val="0"/>
          <w:marTop w:val="0"/>
          <w:marBottom w:val="0"/>
          <w:divBdr>
            <w:top w:val="none" w:sz="0" w:space="0" w:color="auto"/>
            <w:left w:val="none" w:sz="0" w:space="0" w:color="auto"/>
            <w:bottom w:val="none" w:sz="0" w:space="0" w:color="auto"/>
            <w:right w:val="none" w:sz="0" w:space="0" w:color="auto"/>
          </w:divBdr>
        </w:div>
        <w:div w:id="462508273">
          <w:marLeft w:val="640"/>
          <w:marRight w:val="0"/>
          <w:marTop w:val="0"/>
          <w:marBottom w:val="0"/>
          <w:divBdr>
            <w:top w:val="none" w:sz="0" w:space="0" w:color="auto"/>
            <w:left w:val="none" w:sz="0" w:space="0" w:color="auto"/>
            <w:bottom w:val="none" w:sz="0" w:space="0" w:color="auto"/>
            <w:right w:val="none" w:sz="0" w:space="0" w:color="auto"/>
          </w:divBdr>
        </w:div>
        <w:div w:id="1153256627">
          <w:marLeft w:val="640"/>
          <w:marRight w:val="0"/>
          <w:marTop w:val="0"/>
          <w:marBottom w:val="0"/>
          <w:divBdr>
            <w:top w:val="none" w:sz="0" w:space="0" w:color="auto"/>
            <w:left w:val="none" w:sz="0" w:space="0" w:color="auto"/>
            <w:bottom w:val="none" w:sz="0" w:space="0" w:color="auto"/>
            <w:right w:val="none" w:sz="0" w:space="0" w:color="auto"/>
          </w:divBdr>
        </w:div>
        <w:div w:id="2115856263">
          <w:marLeft w:val="640"/>
          <w:marRight w:val="0"/>
          <w:marTop w:val="0"/>
          <w:marBottom w:val="0"/>
          <w:divBdr>
            <w:top w:val="none" w:sz="0" w:space="0" w:color="auto"/>
            <w:left w:val="none" w:sz="0" w:space="0" w:color="auto"/>
            <w:bottom w:val="none" w:sz="0" w:space="0" w:color="auto"/>
            <w:right w:val="none" w:sz="0" w:space="0" w:color="auto"/>
          </w:divBdr>
        </w:div>
        <w:div w:id="1104685719">
          <w:marLeft w:val="640"/>
          <w:marRight w:val="0"/>
          <w:marTop w:val="0"/>
          <w:marBottom w:val="0"/>
          <w:divBdr>
            <w:top w:val="none" w:sz="0" w:space="0" w:color="auto"/>
            <w:left w:val="none" w:sz="0" w:space="0" w:color="auto"/>
            <w:bottom w:val="none" w:sz="0" w:space="0" w:color="auto"/>
            <w:right w:val="none" w:sz="0" w:space="0" w:color="auto"/>
          </w:divBdr>
        </w:div>
        <w:div w:id="1995647925">
          <w:marLeft w:val="640"/>
          <w:marRight w:val="0"/>
          <w:marTop w:val="0"/>
          <w:marBottom w:val="0"/>
          <w:divBdr>
            <w:top w:val="none" w:sz="0" w:space="0" w:color="auto"/>
            <w:left w:val="none" w:sz="0" w:space="0" w:color="auto"/>
            <w:bottom w:val="none" w:sz="0" w:space="0" w:color="auto"/>
            <w:right w:val="none" w:sz="0" w:space="0" w:color="auto"/>
          </w:divBdr>
        </w:div>
        <w:div w:id="1251891361">
          <w:marLeft w:val="640"/>
          <w:marRight w:val="0"/>
          <w:marTop w:val="0"/>
          <w:marBottom w:val="0"/>
          <w:divBdr>
            <w:top w:val="none" w:sz="0" w:space="0" w:color="auto"/>
            <w:left w:val="none" w:sz="0" w:space="0" w:color="auto"/>
            <w:bottom w:val="none" w:sz="0" w:space="0" w:color="auto"/>
            <w:right w:val="none" w:sz="0" w:space="0" w:color="auto"/>
          </w:divBdr>
        </w:div>
        <w:div w:id="996573156">
          <w:marLeft w:val="640"/>
          <w:marRight w:val="0"/>
          <w:marTop w:val="0"/>
          <w:marBottom w:val="0"/>
          <w:divBdr>
            <w:top w:val="none" w:sz="0" w:space="0" w:color="auto"/>
            <w:left w:val="none" w:sz="0" w:space="0" w:color="auto"/>
            <w:bottom w:val="none" w:sz="0" w:space="0" w:color="auto"/>
            <w:right w:val="none" w:sz="0" w:space="0" w:color="auto"/>
          </w:divBdr>
        </w:div>
        <w:div w:id="27413469">
          <w:marLeft w:val="640"/>
          <w:marRight w:val="0"/>
          <w:marTop w:val="0"/>
          <w:marBottom w:val="0"/>
          <w:divBdr>
            <w:top w:val="none" w:sz="0" w:space="0" w:color="auto"/>
            <w:left w:val="none" w:sz="0" w:space="0" w:color="auto"/>
            <w:bottom w:val="none" w:sz="0" w:space="0" w:color="auto"/>
            <w:right w:val="none" w:sz="0" w:space="0" w:color="auto"/>
          </w:divBdr>
        </w:div>
        <w:div w:id="1953046308">
          <w:marLeft w:val="640"/>
          <w:marRight w:val="0"/>
          <w:marTop w:val="0"/>
          <w:marBottom w:val="0"/>
          <w:divBdr>
            <w:top w:val="none" w:sz="0" w:space="0" w:color="auto"/>
            <w:left w:val="none" w:sz="0" w:space="0" w:color="auto"/>
            <w:bottom w:val="none" w:sz="0" w:space="0" w:color="auto"/>
            <w:right w:val="none" w:sz="0" w:space="0" w:color="auto"/>
          </w:divBdr>
        </w:div>
        <w:div w:id="669795463">
          <w:marLeft w:val="640"/>
          <w:marRight w:val="0"/>
          <w:marTop w:val="0"/>
          <w:marBottom w:val="0"/>
          <w:divBdr>
            <w:top w:val="none" w:sz="0" w:space="0" w:color="auto"/>
            <w:left w:val="none" w:sz="0" w:space="0" w:color="auto"/>
            <w:bottom w:val="none" w:sz="0" w:space="0" w:color="auto"/>
            <w:right w:val="none" w:sz="0" w:space="0" w:color="auto"/>
          </w:divBdr>
        </w:div>
        <w:div w:id="296188187">
          <w:marLeft w:val="640"/>
          <w:marRight w:val="0"/>
          <w:marTop w:val="0"/>
          <w:marBottom w:val="0"/>
          <w:divBdr>
            <w:top w:val="none" w:sz="0" w:space="0" w:color="auto"/>
            <w:left w:val="none" w:sz="0" w:space="0" w:color="auto"/>
            <w:bottom w:val="none" w:sz="0" w:space="0" w:color="auto"/>
            <w:right w:val="none" w:sz="0" w:space="0" w:color="auto"/>
          </w:divBdr>
        </w:div>
        <w:div w:id="567107995">
          <w:marLeft w:val="640"/>
          <w:marRight w:val="0"/>
          <w:marTop w:val="0"/>
          <w:marBottom w:val="0"/>
          <w:divBdr>
            <w:top w:val="none" w:sz="0" w:space="0" w:color="auto"/>
            <w:left w:val="none" w:sz="0" w:space="0" w:color="auto"/>
            <w:bottom w:val="none" w:sz="0" w:space="0" w:color="auto"/>
            <w:right w:val="none" w:sz="0" w:space="0" w:color="auto"/>
          </w:divBdr>
        </w:div>
        <w:div w:id="697782885">
          <w:marLeft w:val="640"/>
          <w:marRight w:val="0"/>
          <w:marTop w:val="0"/>
          <w:marBottom w:val="0"/>
          <w:divBdr>
            <w:top w:val="none" w:sz="0" w:space="0" w:color="auto"/>
            <w:left w:val="none" w:sz="0" w:space="0" w:color="auto"/>
            <w:bottom w:val="none" w:sz="0" w:space="0" w:color="auto"/>
            <w:right w:val="none" w:sz="0" w:space="0" w:color="auto"/>
          </w:divBdr>
        </w:div>
        <w:div w:id="140999189">
          <w:marLeft w:val="640"/>
          <w:marRight w:val="0"/>
          <w:marTop w:val="0"/>
          <w:marBottom w:val="0"/>
          <w:divBdr>
            <w:top w:val="none" w:sz="0" w:space="0" w:color="auto"/>
            <w:left w:val="none" w:sz="0" w:space="0" w:color="auto"/>
            <w:bottom w:val="none" w:sz="0" w:space="0" w:color="auto"/>
            <w:right w:val="none" w:sz="0" w:space="0" w:color="auto"/>
          </w:divBdr>
        </w:div>
        <w:div w:id="604311592">
          <w:marLeft w:val="640"/>
          <w:marRight w:val="0"/>
          <w:marTop w:val="0"/>
          <w:marBottom w:val="0"/>
          <w:divBdr>
            <w:top w:val="none" w:sz="0" w:space="0" w:color="auto"/>
            <w:left w:val="none" w:sz="0" w:space="0" w:color="auto"/>
            <w:bottom w:val="none" w:sz="0" w:space="0" w:color="auto"/>
            <w:right w:val="none" w:sz="0" w:space="0" w:color="auto"/>
          </w:divBdr>
        </w:div>
        <w:div w:id="1801917343">
          <w:marLeft w:val="640"/>
          <w:marRight w:val="0"/>
          <w:marTop w:val="0"/>
          <w:marBottom w:val="0"/>
          <w:divBdr>
            <w:top w:val="none" w:sz="0" w:space="0" w:color="auto"/>
            <w:left w:val="none" w:sz="0" w:space="0" w:color="auto"/>
            <w:bottom w:val="none" w:sz="0" w:space="0" w:color="auto"/>
            <w:right w:val="none" w:sz="0" w:space="0" w:color="auto"/>
          </w:divBdr>
        </w:div>
        <w:div w:id="1135610397">
          <w:marLeft w:val="640"/>
          <w:marRight w:val="0"/>
          <w:marTop w:val="0"/>
          <w:marBottom w:val="0"/>
          <w:divBdr>
            <w:top w:val="none" w:sz="0" w:space="0" w:color="auto"/>
            <w:left w:val="none" w:sz="0" w:space="0" w:color="auto"/>
            <w:bottom w:val="none" w:sz="0" w:space="0" w:color="auto"/>
            <w:right w:val="none" w:sz="0" w:space="0" w:color="auto"/>
          </w:divBdr>
        </w:div>
        <w:div w:id="12078484">
          <w:marLeft w:val="640"/>
          <w:marRight w:val="0"/>
          <w:marTop w:val="0"/>
          <w:marBottom w:val="0"/>
          <w:divBdr>
            <w:top w:val="none" w:sz="0" w:space="0" w:color="auto"/>
            <w:left w:val="none" w:sz="0" w:space="0" w:color="auto"/>
            <w:bottom w:val="none" w:sz="0" w:space="0" w:color="auto"/>
            <w:right w:val="none" w:sz="0" w:space="0" w:color="auto"/>
          </w:divBdr>
        </w:div>
        <w:div w:id="1074819463">
          <w:marLeft w:val="640"/>
          <w:marRight w:val="0"/>
          <w:marTop w:val="0"/>
          <w:marBottom w:val="0"/>
          <w:divBdr>
            <w:top w:val="none" w:sz="0" w:space="0" w:color="auto"/>
            <w:left w:val="none" w:sz="0" w:space="0" w:color="auto"/>
            <w:bottom w:val="none" w:sz="0" w:space="0" w:color="auto"/>
            <w:right w:val="none" w:sz="0" w:space="0" w:color="auto"/>
          </w:divBdr>
        </w:div>
        <w:div w:id="2106536978">
          <w:marLeft w:val="640"/>
          <w:marRight w:val="0"/>
          <w:marTop w:val="0"/>
          <w:marBottom w:val="0"/>
          <w:divBdr>
            <w:top w:val="none" w:sz="0" w:space="0" w:color="auto"/>
            <w:left w:val="none" w:sz="0" w:space="0" w:color="auto"/>
            <w:bottom w:val="none" w:sz="0" w:space="0" w:color="auto"/>
            <w:right w:val="none" w:sz="0" w:space="0" w:color="auto"/>
          </w:divBdr>
        </w:div>
      </w:divsChild>
    </w:div>
    <w:div w:id="1163013997">
      <w:bodyDiv w:val="1"/>
      <w:marLeft w:val="0"/>
      <w:marRight w:val="0"/>
      <w:marTop w:val="0"/>
      <w:marBottom w:val="0"/>
      <w:divBdr>
        <w:top w:val="none" w:sz="0" w:space="0" w:color="auto"/>
        <w:left w:val="none" w:sz="0" w:space="0" w:color="auto"/>
        <w:bottom w:val="none" w:sz="0" w:space="0" w:color="auto"/>
        <w:right w:val="none" w:sz="0" w:space="0" w:color="auto"/>
      </w:divBdr>
    </w:div>
    <w:div w:id="1335689311">
      <w:bodyDiv w:val="1"/>
      <w:marLeft w:val="0"/>
      <w:marRight w:val="0"/>
      <w:marTop w:val="0"/>
      <w:marBottom w:val="0"/>
      <w:divBdr>
        <w:top w:val="none" w:sz="0" w:space="0" w:color="auto"/>
        <w:left w:val="none" w:sz="0" w:space="0" w:color="auto"/>
        <w:bottom w:val="none" w:sz="0" w:space="0" w:color="auto"/>
        <w:right w:val="none" w:sz="0" w:space="0" w:color="auto"/>
      </w:divBdr>
    </w:div>
    <w:div w:id="1351492465">
      <w:bodyDiv w:val="1"/>
      <w:marLeft w:val="0"/>
      <w:marRight w:val="0"/>
      <w:marTop w:val="0"/>
      <w:marBottom w:val="0"/>
      <w:divBdr>
        <w:top w:val="none" w:sz="0" w:space="0" w:color="auto"/>
        <w:left w:val="none" w:sz="0" w:space="0" w:color="auto"/>
        <w:bottom w:val="none" w:sz="0" w:space="0" w:color="auto"/>
        <w:right w:val="none" w:sz="0" w:space="0" w:color="auto"/>
      </w:divBdr>
      <w:divsChild>
        <w:div w:id="1182276461">
          <w:marLeft w:val="640"/>
          <w:marRight w:val="0"/>
          <w:marTop w:val="0"/>
          <w:marBottom w:val="0"/>
          <w:divBdr>
            <w:top w:val="none" w:sz="0" w:space="0" w:color="auto"/>
            <w:left w:val="none" w:sz="0" w:space="0" w:color="auto"/>
            <w:bottom w:val="none" w:sz="0" w:space="0" w:color="auto"/>
            <w:right w:val="none" w:sz="0" w:space="0" w:color="auto"/>
          </w:divBdr>
        </w:div>
        <w:div w:id="972559995">
          <w:marLeft w:val="640"/>
          <w:marRight w:val="0"/>
          <w:marTop w:val="0"/>
          <w:marBottom w:val="0"/>
          <w:divBdr>
            <w:top w:val="none" w:sz="0" w:space="0" w:color="auto"/>
            <w:left w:val="none" w:sz="0" w:space="0" w:color="auto"/>
            <w:bottom w:val="none" w:sz="0" w:space="0" w:color="auto"/>
            <w:right w:val="none" w:sz="0" w:space="0" w:color="auto"/>
          </w:divBdr>
        </w:div>
        <w:div w:id="88015494">
          <w:marLeft w:val="640"/>
          <w:marRight w:val="0"/>
          <w:marTop w:val="0"/>
          <w:marBottom w:val="0"/>
          <w:divBdr>
            <w:top w:val="none" w:sz="0" w:space="0" w:color="auto"/>
            <w:left w:val="none" w:sz="0" w:space="0" w:color="auto"/>
            <w:bottom w:val="none" w:sz="0" w:space="0" w:color="auto"/>
            <w:right w:val="none" w:sz="0" w:space="0" w:color="auto"/>
          </w:divBdr>
        </w:div>
        <w:div w:id="1214538813">
          <w:marLeft w:val="640"/>
          <w:marRight w:val="0"/>
          <w:marTop w:val="0"/>
          <w:marBottom w:val="0"/>
          <w:divBdr>
            <w:top w:val="none" w:sz="0" w:space="0" w:color="auto"/>
            <w:left w:val="none" w:sz="0" w:space="0" w:color="auto"/>
            <w:bottom w:val="none" w:sz="0" w:space="0" w:color="auto"/>
            <w:right w:val="none" w:sz="0" w:space="0" w:color="auto"/>
          </w:divBdr>
        </w:div>
        <w:div w:id="209419836">
          <w:marLeft w:val="640"/>
          <w:marRight w:val="0"/>
          <w:marTop w:val="0"/>
          <w:marBottom w:val="0"/>
          <w:divBdr>
            <w:top w:val="none" w:sz="0" w:space="0" w:color="auto"/>
            <w:left w:val="none" w:sz="0" w:space="0" w:color="auto"/>
            <w:bottom w:val="none" w:sz="0" w:space="0" w:color="auto"/>
            <w:right w:val="none" w:sz="0" w:space="0" w:color="auto"/>
          </w:divBdr>
        </w:div>
        <w:div w:id="1768504630">
          <w:marLeft w:val="640"/>
          <w:marRight w:val="0"/>
          <w:marTop w:val="0"/>
          <w:marBottom w:val="0"/>
          <w:divBdr>
            <w:top w:val="none" w:sz="0" w:space="0" w:color="auto"/>
            <w:left w:val="none" w:sz="0" w:space="0" w:color="auto"/>
            <w:bottom w:val="none" w:sz="0" w:space="0" w:color="auto"/>
            <w:right w:val="none" w:sz="0" w:space="0" w:color="auto"/>
          </w:divBdr>
        </w:div>
        <w:div w:id="1680737342">
          <w:marLeft w:val="640"/>
          <w:marRight w:val="0"/>
          <w:marTop w:val="0"/>
          <w:marBottom w:val="0"/>
          <w:divBdr>
            <w:top w:val="none" w:sz="0" w:space="0" w:color="auto"/>
            <w:left w:val="none" w:sz="0" w:space="0" w:color="auto"/>
            <w:bottom w:val="none" w:sz="0" w:space="0" w:color="auto"/>
            <w:right w:val="none" w:sz="0" w:space="0" w:color="auto"/>
          </w:divBdr>
        </w:div>
        <w:div w:id="1253663848">
          <w:marLeft w:val="640"/>
          <w:marRight w:val="0"/>
          <w:marTop w:val="0"/>
          <w:marBottom w:val="0"/>
          <w:divBdr>
            <w:top w:val="none" w:sz="0" w:space="0" w:color="auto"/>
            <w:left w:val="none" w:sz="0" w:space="0" w:color="auto"/>
            <w:bottom w:val="none" w:sz="0" w:space="0" w:color="auto"/>
            <w:right w:val="none" w:sz="0" w:space="0" w:color="auto"/>
          </w:divBdr>
        </w:div>
        <w:div w:id="496651935">
          <w:marLeft w:val="640"/>
          <w:marRight w:val="0"/>
          <w:marTop w:val="0"/>
          <w:marBottom w:val="0"/>
          <w:divBdr>
            <w:top w:val="none" w:sz="0" w:space="0" w:color="auto"/>
            <w:left w:val="none" w:sz="0" w:space="0" w:color="auto"/>
            <w:bottom w:val="none" w:sz="0" w:space="0" w:color="auto"/>
            <w:right w:val="none" w:sz="0" w:space="0" w:color="auto"/>
          </w:divBdr>
        </w:div>
        <w:div w:id="950862876">
          <w:marLeft w:val="640"/>
          <w:marRight w:val="0"/>
          <w:marTop w:val="0"/>
          <w:marBottom w:val="0"/>
          <w:divBdr>
            <w:top w:val="none" w:sz="0" w:space="0" w:color="auto"/>
            <w:left w:val="none" w:sz="0" w:space="0" w:color="auto"/>
            <w:bottom w:val="none" w:sz="0" w:space="0" w:color="auto"/>
            <w:right w:val="none" w:sz="0" w:space="0" w:color="auto"/>
          </w:divBdr>
        </w:div>
        <w:div w:id="1111050654">
          <w:marLeft w:val="640"/>
          <w:marRight w:val="0"/>
          <w:marTop w:val="0"/>
          <w:marBottom w:val="0"/>
          <w:divBdr>
            <w:top w:val="none" w:sz="0" w:space="0" w:color="auto"/>
            <w:left w:val="none" w:sz="0" w:space="0" w:color="auto"/>
            <w:bottom w:val="none" w:sz="0" w:space="0" w:color="auto"/>
            <w:right w:val="none" w:sz="0" w:space="0" w:color="auto"/>
          </w:divBdr>
        </w:div>
        <w:div w:id="1299187415">
          <w:marLeft w:val="640"/>
          <w:marRight w:val="0"/>
          <w:marTop w:val="0"/>
          <w:marBottom w:val="0"/>
          <w:divBdr>
            <w:top w:val="none" w:sz="0" w:space="0" w:color="auto"/>
            <w:left w:val="none" w:sz="0" w:space="0" w:color="auto"/>
            <w:bottom w:val="none" w:sz="0" w:space="0" w:color="auto"/>
            <w:right w:val="none" w:sz="0" w:space="0" w:color="auto"/>
          </w:divBdr>
        </w:div>
        <w:div w:id="2019886312">
          <w:marLeft w:val="640"/>
          <w:marRight w:val="0"/>
          <w:marTop w:val="0"/>
          <w:marBottom w:val="0"/>
          <w:divBdr>
            <w:top w:val="none" w:sz="0" w:space="0" w:color="auto"/>
            <w:left w:val="none" w:sz="0" w:space="0" w:color="auto"/>
            <w:bottom w:val="none" w:sz="0" w:space="0" w:color="auto"/>
            <w:right w:val="none" w:sz="0" w:space="0" w:color="auto"/>
          </w:divBdr>
        </w:div>
        <w:div w:id="1091387047">
          <w:marLeft w:val="640"/>
          <w:marRight w:val="0"/>
          <w:marTop w:val="0"/>
          <w:marBottom w:val="0"/>
          <w:divBdr>
            <w:top w:val="none" w:sz="0" w:space="0" w:color="auto"/>
            <w:left w:val="none" w:sz="0" w:space="0" w:color="auto"/>
            <w:bottom w:val="none" w:sz="0" w:space="0" w:color="auto"/>
            <w:right w:val="none" w:sz="0" w:space="0" w:color="auto"/>
          </w:divBdr>
        </w:div>
        <w:div w:id="426076042">
          <w:marLeft w:val="640"/>
          <w:marRight w:val="0"/>
          <w:marTop w:val="0"/>
          <w:marBottom w:val="0"/>
          <w:divBdr>
            <w:top w:val="none" w:sz="0" w:space="0" w:color="auto"/>
            <w:left w:val="none" w:sz="0" w:space="0" w:color="auto"/>
            <w:bottom w:val="none" w:sz="0" w:space="0" w:color="auto"/>
            <w:right w:val="none" w:sz="0" w:space="0" w:color="auto"/>
          </w:divBdr>
        </w:div>
        <w:div w:id="812411039">
          <w:marLeft w:val="640"/>
          <w:marRight w:val="0"/>
          <w:marTop w:val="0"/>
          <w:marBottom w:val="0"/>
          <w:divBdr>
            <w:top w:val="none" w:sz="0" w:space="0" w:color="auto"/>
            <w:left w:val="none" w:sz="0" w:space="0" w:color="auto"/>
            <w:bottom w:val="none" w:sz="0" w:space="0" w:color="auto"/>
            <w:right w:val="none" w:sz="0" w:space="0" w:color="auto"/>
          </w:divBdr>
        </w:div>
        <w:div w:id="1184444668">
          <w:marLeft w:val="640"/>
          <w:marRight w:val="0"/>
          <w:marTop w:val="0"/>
          <w:marBottom w:val="0"/>
          <w:divBdr>
            <w:top w:val="none" w:sz="0" w:space="0" w:color="auto"/>
            <w:left w:val="none" w:sz="0" w:space="0" w:color="auto"/>
            <w:bottom w:val="none" w:sz="0" w:space="0" w:color="auto"/>
            <w:right w:val="none" w:sz="0" w:space="0" w:color="auto"/>
          </w:divBdr>
        </w:div>
        <w:div w:id="1151603523">
          <w:marLeft w:val="640"/>
          <w:marRight w:val="0"/>
          <w:marTop w:val="0"/>
          <w:marBottom w:val="0"/>
          <w:divBdr>
            <w:top w:val="none" w:sz="0" w:space="0" w:color="auto"/>
            <w:left w:val="none" w:sz="0" w:space="0" w:color="auto"/>
            <w:bottom w:val="none" w:sz="0" w:space="0" w:color="auto"/>
            <w:right w:val="none" w:sz="0" w:space="0" w:color="auto"/>
          </w:divBdr>
        </w:div>
        <w:div w:id="1864243602">
          <w:marLeft w:val="640"/>
          <w:marRight w:val="0"/>
          <w:marTop w:val="0"/>
          <w:marBottom w:val="0"/>
          <w:divBdr>
            <w:top w:val="none" w:sz="0" w:space="0" w:color="auto"/>
            <w:left w:val="none" w:sz="0" w:space="0" w:color="auto"/>
            <w:bottom w:val="none" w:sz="0" w:space="0" w:color="auto"/>
            <w:right w:val="none" w:sz="0" w:space="0" w:color="auto"/>
          </w:divBdr>
        </w:div>
        <w:div w:id="1928463469">
          <w:marLeft w:val="640"/>
          <w:marRight w:val="0"/>
          <w:marTop w:val="0"/>
          <w:marBottom w:val="0"/>
          <w:divBdr>
            <w:top w:val="none" w:sz="0" w:space="0" w:color="auto"/>
            <w:left w:val="none" w:sz="0" w:space="0" w:color="auto"/>
            <w:bottom w:val="none" w:sz="0" w:space="0" w:color="auto"/>
            <w:right w:val="none" w:sz="0" w:space="0" w:color="auto"/>
          </w:divBdr>
        </w:div>
        <w:div w:id="1652178928">
          <w:marLeft w:val="640"/>
          <w:marRight w:val="0"/>
          <w:marTop w:val="0"/>
          <w:marBottom w:val="0"/>
          <w:divBdr>
            <w:top w:val="none" w:sz="0" w:space="0" w:color="auto"/>
            <w:left w:val="none" w:sz="0" w:space="0" w:color="auto"/>
            <w:bottom w:val="none" w:sz="0" w:space="0" w:color="auto"/>
            <w:right w:val="none" w:sz="0" w:space="0" w:color="auto"/>
          </w:divBdr>
        </w:div>
        <w:div w:id="2141528462">
          <w:marLeft w:val="640"/>
          <w:marRight w:val="0"/>
          <w:marTop w:val="0"/>
          <w:marBottom w:val="0"/>
          <w:divBdr>
            <w:top w:val="none" w:sz="0" w:space="0" w:color="auto"/>
            <w:left w:val="none" w:sz="0" w:space="0" w:color="auto"/>
            <w:bottom w:val="none" w:sz="0" w:space="0" w:color="auto"/>
            <w:right w:val="none" w:sz="0" w:space="0" w:color="auto"/>
          </w:divBdr>
        </w:div>
        <w:div w:id="1244996235">
          <w:marLeft w:val="640"/>
          <w:marRight w:val="0"/>
          <w:marTop w:val="0"/>
          <w:marBottom w:val="0"/>
          <w:divBdr>
            <w:top w:val="none" w:sz="0" w:space="0" w:color="auto"/>
            <w:left w:val="none" w:sz="0" w:space="0" w:color="auto"/>
            <w:bottom w:val="none" w:sz="0" w:space="0" w:color="auto"/>
            <w:right w:val="none" w:sz="0" w:space="0" w:color="auto"/>
          </w:divBdr>
        </w:div>
        <w:div w:id="959068077">
          <w:marLeft w:val="640"/>
          <w:marRight w:val="0"/>
          <w:marTop w:val="0"/>
          <w:marBottom w:val="0"/>
          <w:divBdr>
            <w:top w:val="none" w:sz="0" w:space="0" w:color="auto"/>
            <w:left w:val="none" w:sz="0" w:space="0" w:color="auto"/>
            <w:bottom w:val="none" w:sz="0" w:space="0" w:color="auto"/>
            <w:right w:val="none" w:sz="0" w:space="0" w:color="auto"/>
          </w:divBdr>
        </w:div>
        <w:div w:id="313069438">
          <w:marLeft w:val="640"/>
          <w:marRight w:val="0"/>
          <w:marTop w:val="0"/>
          <w:marBottom w:val="0"/>
          <w:divBdr>
            <w:top w:val="none" w:sz="0" w:space="0" w:color="auto"/>
            <w:left w:val="none" w:sz="0" w:space="0" w:color="auto"/>
            <w:bottom w:val="none" w:sz="0" w:space="0" w:color="auto"/>
            <w:right w:val="none" w:sz="0" w:space="0" w:color="auto"/>
          </w:divBdr>
        </w:div>
      </w:divsChild>
    </w:div>
    <w:div w:id="1407068159">
      <w:bodyDiv w:val="1"/>
      <w:marLeft w:val="0"/>
      <w:marRight w:val="0"/>
      <w:marTop w:val="0"/>
      <w:marBottom w:val="0"/>
      <w:divBdr>
        <w:top w:val="none" w:sz="0" w:space="0" w:color="auto"/>
        <w:left w:val="none" w:sz="0" w:space="0" w:color="auto"/>
        <w:bottom w:val="none" w:sz="0" w:space="0" w:color="auto"/>
        <w:right w:val="none" w:sz="0" w:space="0" w:color="auto"/>
      </w:divBdr>
      <w:divsChild>
        <w:div w:id="1484010827">
          <w:marLeft w:val="640"/>
          <w:marRight w:val="0"/>
          <w:marTop w:val="0"/>
          <w:marBottom w:val="0"/>
          <w:divBdr>
            <w:top w:val="none" w:sz="0" w:space="0" w:color="auto"/>
            <w:left w:val="none" w:sz="0" w:space="0" w:color="auto"/>
            <w:bottom w:val="none" w:sz="0" w:space="0" w:color="auto"/>
            <w:right w:val="none" w:sz="0" w:space="0" w:color="auto"/>
          </w:divBdr>
        </w:div>
        <w:div w:id="93913489">
          <w:marLeft w:val="640"/>
          <w:marRight w:val="0"/>
          <w:marTop w:val="0"/>
          <w:marBottom w:val="0"/>
          <w:divBdr>
            <w:top w:val="none" w:sz="0" w:space="0" w:color="auto"/>
            <w:left w:val="none" w:sz="0" w:space="0" w:color="auto"/>
            <w:bottom w:val="none" w:sz="0" w:space="0" w:color="auto"/>
            <w:right w:val="none" w:sz="0" w:space="0" w:color="auto"/>
          </w:divBdr>
        </w:div>
        <w:div w:id="375204836">
          <w:marLeft w:val="640"/>
          <w:marRight w:val="0"/>
          <w:marTop w:val="0"/>
          <w:marBottom w:val="0"/>
          <w:divBdr>
            <w:top w:val="none" w:sz="0" w:space="0" w:color="auto"/>
            <w:left w:val="none" w:sz="0" w:space="0" w:color="auto"/>
            <w:bottom w:val="none" w:sz="0" w:space="0" w:color="auto"/>
            <w:right w:val="none" w:sz="0" w:space="0" w:color="auto"/>
          </w:divBdr>
        </w:div>
        <w:div w:id="1362780861">
          <w:marLeft w:val="640"/>
          <w:marRight w:val="0"/>
          <w:marTop w:val="0"/>
          <w:marBottom w:val="0"/>
          <w:divBdr>
            <w:top w:val="none" w:sz="0" w:space="0" w:color="auto"/>
            <w:left w:val="none" w:sz="0" w:space="0" w:color="auto"/>
            <w:bottom w:val="none" w:sz="0" w:space="0" w:color="auto"/>
            <w:right w:val="none" w:sz="0" w:space="0" w:color="auto"/>
          </w:divBdr>
        </w:div>
        <w:div w:id="313028840">
          <w:marLeft w:val="640"/>
          <w:marRight w:val="0"/>
          <w:marTop w:val="0"/>
          <w:marBottom w:val="0"/>
          <w:divBdr>
            <w:top w:val="none" w:sz="0" w:space="0" w:color="auto"/>
            <w:left w:val="none" w:sz="0" w:space="0" w:color="auto"/>
            <w:bottom w:val="none" w:sz="0" w:space="0" w:color="auto"/>
            <w:right w:val="none" w:sz="0" w:space="0" w:color="auto"/>
          </w:divBdr>
        </w:div>
        <w:div w:id="811992531">
          <w:marLeft w:val="640"/>
          <w:marRight w:val="0"/>
          <w:marTop w:val="0"/>
          <w:marBottom w:val="0"/>
          <w:divBdr>
            <w:top w:val="none" w:sz="0" w:space="0" w:color="auto"/>
            <w:left w:val="none" w:sz="0" w:space="0" w:color="auto"/>
            <w:bottom w:val="none" w:sz="0" w:space="0" w:color="auto"/>
            <w:right w:val="none" w:sz="0" w:space="0" w:color="auto"/>
          </w:divBdr>
        </w:div>
        <w:div w:id="1973827945">
          <w:marLeft w:val="640"/>
          <w:marRight w:val="0"/>
          <w:marTop w:val="0"/>
          <w:marBottom w:val="0"/>
          <w:divBdr>
            <w:top w:val="none" w:sz="0" w:space="0" w:color="auto"/>
            <w:left w:val="none" w:sz="0" w:space="0" w:color="auto"/>
            <w:bottom w:val="none" w:sz="0" w:space="0" w:color="auto"/>
            <w:right w:val="none" w:sz="0" w:space="0" w:color="auto"/>
          </w:divBdr>
        </w:div>
        <w:div w:id="272634022">
          <w:marLeft w:val="640"/>
          <w:marRight w:val="0"/>
          <w:marTop w:val="0"/>
          <w:marBottom w:val="0"/>
          <w:divBdr>
            <w:top w:val="none" w:sz="0" w:space="0" w:color="auto"/>
            <w:left w:val="none" w:sz="0" w:space="0" w:color="auto"/>
            <w:bottom w:val="none" w:sz="0" w:space="0" w:color="auto"/>
            <w:right w:val="none" w:sz="0" w:space="0" w:color="auto"/>
          </w:divBdr>
        </w:div>
        <w:div w:id="707070736">
          <w:marLeft w:val="640"/>
          <w:marRight w:val="0"/>
          <w:marTop w:val="0"/>
          <w:marBottom w:val="0"/>
          <w:divBdr>
            <w:top w:val="none" w:sz="0" w:space="0" w:color="auto"/>
            <w:left w:val="none" w:sz="0" w:space="0" w:color="auto"/>
            <w:bottom w:val="none" w:sz="0" w:space="0" w:color="auto"/>
            <w:right w:val="none" w:sz="0" w:space="0" w:color="auto"/>
          </w:divBdr>
        </w:div>
        <w:div w:id="2125615141">
          <w:marLeft w:val="640"/>
          <w:marRight w:val="0"/>
          <w:marTop w:val="0"/>
          <w:marBottom w:val="0"/>
          <w:divBdr>
            <w:top w:val="none" w:sz="0" w:space="0" w:color="auto"/>
            <w:left w:val="none" w:sz="0" w:space="0" w:color="auto"/>
            <w:bottom w:val="none" w:sz="0" w:space="0" w:color="auto"/>
            <w:right w:val="none" w:sz="0" w:space="0" w:color="auto"/>
          </w:divBdr>
        </w:div>
        <w:div w:id="879904376">
          <w:marLeft w:val="640"/>
          <w:marRight w:val="0"/>
          <w:marTop w:val="0"/>
          <w:marBottom w:val="0"/>
          <w:divBdr>
            <w:top w:val="none" w:sz="0" w:space="0" w:color="auto"/>
            <w:left w:val="none" w:sz="0" w:space="0" w:color="auto"/>
            <w:bottom w:val="none" w:sz="0" w:space="0" w:color="auto"/>
            <w:right w:val="none" w:sz="0" w:space="0" w:color="auto"/>
          </w:divBdr>
        </w:div>
        <w:div w:id="2086797956">
          <w:marLeft w:val="640"/>
          <w:marRight w:val="0"/>
          <w:marTop w:val="0"/>
          <w:marBottom w:val="0"/>
          <w:divBdr>
            <w:top w:val="none" w:sz="0" w:space="0" w:color="auto"/>
            <w:left w:val="none" w:sz="0" w:space="0" w:color="auto"/>
            <w:bottom w:val="none" w:sz="0" w:space="0" w:color="auto"/>
            <w:right w:val="none" w:sz="0" w:space="0" w:color="auto"/>
          </w:divBdr>
        </w:div>
        <w:div w:id="402609023">
          <w:marLeft w:val="640"/>
          <w:marRight w:val="0"/>
          <w:marTop w:val="0"/>
          <w:marBottom w:val="0"/>
          <w:divBdr>
            <w:top w:val="none" w:sz="0" w:space="0" w:color="auto"/>
            <w:left w:val="none" w:sz="0" w:space="0" w:color="auto"/>
            <w:bottom w:val="none" w:sz="0" w:space="0" w:color="auto"/>
            <w:right w:val="none" w:sz="0" w:space="0" w:color="auto"/>
          </w:divBdr>
        </w:div>
        <w:div w:id="1304385054">
          <w:marLeft w:val="640"/>
          <w:marRight w:val="0"/>
          <w:marTop w:val="0"/>
          <w:marBottom w:val="0"/>
          <w:divBdr>
            <w:top w:val="none" w:sz="0" w:space="0" w:color="auto"/>
            <w:left w:val="none" w:sz="0" w:space="0" w:color="auto"/>
            <w:bottom w:val="none" w:sz="0" w:space="0" w:color="auto"/>
            <w:right w:val="none" w:sz="0" w:space="0" w:color="auto"/>
          </w:divBdr>
        </w:div>
        <w:div w:id="1826776685">
          <w:marLeft w:val="640"/>
          <w:marRight w:val="0"/>
          <w:marTop w:val="0"/>
          <w:marBottom w:val="0"/>
          <w:divBdr>
            <w:top w:val="none" w:sz="0" w:space="0" w:color="auto"/>
            <w:left w:val="none" w:sz="0" w:space="0" w:color="auto"/>
            <w:bottom w:val="none" w:sz="0" w:space="0" w:color="auto"/>
            <w:right w:val="none" w:sz="0" w:space="0" w:color="auto"/>
          </w:divBdr>
        </w:div>
        <w:div w:id="242497414">
          <w:marLeft w:val="640"/>
          <w:marRight w:val="0"/>
          <w:marTop w:val="0"/>
          <w:marBottom w:val="0"/>
          <w:divBdr>
            <w:top w:val="none" w:sz="0" w:space="0" w:color="auto"/>
            <w:left w:val="none" w:sz="0" w:space="0" w:color="auto"/>
            <w:bottom w:val="none" w:sz="0" w:space="0" w:color="auto"/>
            <w:right w:val="none" w:sz="0" w:space="0" w:color="auto"/>
          </w:divBdr>
        </w:div>
        <w:div w:id="621116489">
          <w:marLeft w:val="640"/>
          <w:marRight w:val="0"/>
          <w:marTop w:val="0"/>
          <w:marBottom w:val="0"/>
          <w:divBdr>
            <w:top w:val="none" w:sz="0" w:space="0" w:color="auto"/>
            <w:left w:val="none" w:sz="0" w:space="0" w:color="auto"/>
            <w:bottom w:val="none" w:sz="0" w:space="0" w:color="auto"/>
            <w:right w:val="none" w:sz="0" w:space="0" w:color="auto"/>
          </w:divBdr>
        </w:div>
        <w:div w:id="935750475">
          <w:marLeft w:val="640"/>
          <w:marRight w:val="0"/>
          <w:marTop w:val="0"/>
          <w:marBottom w:val="0"/>
          <w:divBdr>
            <w:top w:val="none" w:sz="0" w:space="0" w:color="auto"/>
            <w:left w:val="none" w:sz="0" w:space="0" w:color="auto"/>
            <w:bottom w:val="none" w:sz="0" w:space="0" w:color="auto"/>
            <w:right w:val="none" w:sz="0" w:space="0" w:color="auto"/>
          </w:divBdr>
        </w:div>
        <w:div w:id="1184515376">
          <w:marLeft w:val="640"/>
          <w:marRight w:val="0"/>
          <w:marTop w:val="0"/>
          <w:marBottom w:val="0"/>
          <w:divBdr>
            <w:top w:val="none" w:sz="0" w:space="0" w:color="auto"/>
            <w:left w:val="none" w:sz="0" w:space="0" w:color="auto"/>
            <w:bottom w:val="none" w:sz="0" w:space="0" w:color="auto"/>
            <w:right w:val="none" w:sz="0" w:space="0" w:color="auto"/>
          </w:divBdr>
        </w:div>
        <w:div w:id="1716392198">
          <w:marLeft w:val="640"/>
          <w:marRight w:val="0"/>
          <w:marTop w:val="0"/>
          <w:marBottom w:val="0"/>
          <w:divBdr>
            <w:top w:val="none" w:sz="0" w:space="0" w:color="auto"/>
            <w:left w:val="none" w:sz="0" w:space="0" w:color="auto"/>
            <w:bottom w:val="none" w:sz="0" w:space="0" w:color="auto"/>
            <w:right w:val="none" w:sz="0" w:space="0" w:color="auto"/>
          </w:divBdr>
        </w:div>
        <w:div w:id="237175101">
          <w:marLeft w:val="640"/>
          <w:marRight w:val="0"/>
          <w:marTop w:val="0"/>
          <w:marBottom w:val="0"/>
          <w:divBdr>
            <w:top w:val="none" w:sz="0" w:space="0" w:color="auto"/>
            <w:left w:val="none" w:sz="0" w:space="0" w:color="auto"/>
            <w:bottom w:val="none" w:sz="0" w:space="0" w:color="auto"/>
            <w:right w:val="none" w:sz="0" w:space="0" w:color="auto"/>
          </w:divBdr>
        </w:div>
        <w:div w:id="459958824">
          <w:marLeft w:val="640"/>
          <w:marRight w:val="0"/>
          <w:marTop w:val="0"/>
          <w:marBottom w:val="0"/>
          <w:divBdr>
            <w:top w:val="none" w:sz="0" w:space="0" w:color="auto"/>
            <w:left w:val="none" w:sz="0" w:space="0" w:color="auto"/>
            <w:bottom w:val="none" w:sz="0" w:space="0" w:color="auto"/>
            <w:right w:val="none" w:sz="0" w:space="0" w:color="auto"/>
          </w:divBdr>
        </w:div>
        <w:div w:id="790442798">
          <w:marLeft w:val="640"/>
          <w:marRight w:val="0"/>
          <w:marTop w:val="0"/>
          <w:marBottom w:val="0"/>
          <w:divBdr>
            <w:top w:val="none" w:sz="0" w:space="0" w:color="auto"/>
            <w:left w:val="none" w:sz="0" w:space="0" w:color="auto"/>
            <w:bottom w:val="none" w:sz="0" w:space="0" w:color="auto"/>
            <w:right w:val="none" w:sz="0" w:space="0" w:color="auto"/>
          </w:divBdr>
        </w:div>
        <w:div w:id="2143305938">
          <w:marLeft w:val="640"/>
          <w:marRight w:val="0"/>
          <w:marTop w:val="0"/>
          <w:marBottom w:val="0"/>
          <w:divBdr>
            <w:top w:val="none" w:sz="0" w:space="0" w:color="auto"/>
            <w:left w:val="none" w:sz="0" w:space="0" w:color="auto"/>
            <w:bottom w:val="none" w:sz="0" w:space="0" w:color="auto"/>
            <w:right w:val="none" w:sz="0" w:space="0" w:color="auto"/>
          </w:divBdr>
        </w:div>
        <w:div w:id="1256085650">
          <w:marLeft w:val="640"/>
          <w:marRight w:val="0"/>
          <w:marTop w:val="0"/>
          <w:marBottom w:val="0"/>
          <w:divBdr>
            <w:top w:val="none" w:sz="0" w:space="0" w:color="auto"/>
            <w:left w:val="none" w:sz="0" w:space="0" w:color="auto"/>
            <w:bottom w:val="none" w:sz="0" w:space="0" w:color="auto"/>
            <w:right w:val="none" w:sz="0" w:space="0" w:color="auto"/>
          </w:divBdr>
        </w:div>
        <w:div w:id="1798139774">
          <w:marLeft w:val="640"/>
          <w:marRight w:val="0"/>
          <w:marTop w:val="0"/>
          <w:marBottom w:val="0"/>
          <w:divBdr>
            <w:top w:val="none" w:sz="0" w:space="0" w:color="auto"/>
            <w:left w:val="none" w:sz="0" w:space="0" w:color="auto"/>
            <w:bottom w:val="none" w:sz="0" w:space="0" w:color="auto"/>
            <w:right w:val="none" w:sz="0" w:space="0" w:color="auto"/>
          </w:divBdr>
        </w:div>
      </w:divsChild>
    </w:div>
    <w:div w:id="1423141128">
      <w:bodyDiv w:val="1"/>
      <w:marLeft w:val="0"/>
      <w:marRight w:val="0"/>
      <w:marTop w:val="0"/>
      <w:marBottom w:val="0"/>
      <w:divBdr>
        <w:top w:val="none" w:sz="0" w:space="0" w:color="auto"/>
        <w:left w:val="none" w:sz="0" w:space="0" w:color="auto"/>
        <w:bottom w:val="none" w:sz="0" w:space="0" w:color="auto"/>
        <w:right w:val="none" w:sz="0" w:space="0" w:color="auto"/>
      </w:divBdr>
      <w:divsChild>
        <w:div w:id="334646596">
          <w:marLeft w:val="0"/>
          <w:marRight w:val="0"/>
          <w:marTop w:val="0"/>
          <w:marBottom w:val="0"/>
          <w:divBdr>
            <w:top w:val="none" w:sz="0" w:space="0" w:color="auto"/>
            <w:left w:val="none" w:sz="0" w:space="0" w:color="auto"/>
            <w:bottom w:val="none" w:sz="0" w:space="0" w:color="auto"/>
            <w:right w:val="none" w:sz="0" w:space="0" w:color="auto"/>
          </w:divBdr>
          <w:divsChild>
            <w:div w:id="1263295455">
              <w:marLeft w:val="0"/>
              <w:marRight w:val="0"/>
              <w:marTop w:val="0"/>
              <w:marBottom w:val="0"/>
              <w:divBdr>
                <w:top w:val="none" w:sz="0" w:space="0" w:color="auto"/>
                <w:left w:val="none" w:sz="0" w:space="0" w:color="auto"/>
                <w:bottom w:val="none" w:sz="0" w:space="0" w:color="auto"/>
                <w:right w:val="none" w:sz="0" w:space="0" w:color="auto"/>
              </w:divBdr>
              <w:divsChild>
                <w:div w:id="95494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11601">
      <w:bodyDiv w:val="1"/>
      <w:marLeft w:val="0"/>
      <w:marRight w:val="0"/>
      <w:marTop w:val="0"/>
      <w:marBottom w:val="0"/>
      <w:divBdr>
        <w:top w:val="none" w:sz="0" w:space="0" w:color="auto"/>
        <w:left w:val="none" w:sz="0" w:space="0" w:color="auto"/>
        <w:bottom w:val="none" w:sz="0" w:space="0" w:color="auto"/>
        <w:right w:val="none" w:sz="0" w:space="0" w:color="auto"/>
      </w:divBdr>
    </w:div>
    <w:div w:id="1530529916">
      <w:bodyDiv w:val="1"/>
      <w:marLeft w:val="0"/>
      <w:marRight w:val="0"/>
      <w:marTop w:val="0"/>
      <w:marBottom w:val="0"/>
      <w:divBdr>
        <w:top w:val="none" w:sz="0" w:space="0" w:color="auto"/>
        <w:left w:val="none" w:sz="0" w:space="0" w:color="auto"/>
        <w:bottom w:val="none" w:sz="0" w:space="0" w:color="auto"/>
        <w:right w:val="none" w:sz="0" w:space="0" w:color="auto"/>
      </w:divBdr>
    </w:div>
    <w:div w:id="1594973032">
      <w:bodyDiv w:val="1"/>
      <w:marLeft w:val="0"/>
      <w:marRight w:val="0"/>
      <w:marTop w:val="0"/>
      <w:marBottom w:val="0"/>
      <w:divBdr>
        <w:top w:val="none" w:sz="0" w:space="0" w:color="auto"/>
        <w:left w:val="none" w:sz="0" w:space="0" w:color="auto"/>
        <w:bottom w:val="none" w:sz="0" w:space="0" w:color="auto"/>
        <w:right w:val="none" w:sz="0" w:space="0" w:color="auto"/>
      </w:divBdr>
      <w:divsChild>
        <w:div w:id="55787577">
          <w:marLeft w:val="640"/>
          <w:marRight w:val="0"/>
          <w:marTop w:val="0"/>
          <w:marBottom w:val="0"/>
          <w:divBdr>
            <w:top w:val="none" w:sz="0" w:space="0" w:color="auto"/>
            <w:left w:val="none" w:sz="0" w:space="0" w:color="auto"/>
            <w:bottom w:val="none" w:sz="0" w:space="0" w:color="auto"/>
            <w:right w:val="none" w:sz="0" w:space="0" w:color="auto"/>
          </w:divBdr>
        </w:div>
        <w:div w:id="1800954398">
          <w:marLeft w:val="640"/>
          <w:marRight w:val="0"/>
          <w:marTop w:val="0"/>
          <w:marBottom w:val="0"/>
          <w:divBdr>
            <w:top w:val="none" w:sz="0" w:space="0" w:color="auto"/>
            <w:left w:val="none" w:sz="0" w:space="0" w:color="auto"/>
            <w:bottom w:val="none" w:sz="0" w:space="0" w:color="auto"/>
            <w:right w:val="none" w:sz="0" w:space="0" w:color="auto"/>
          </w:divBdr>
        </w:div>
        <w:div w:id="1196818884">
          <w:marLeft w:val="640"/>
          <w:marRight w:val="0"/>
          <w:marTop w:val="0"/>
          <w:marBottom w:val="0"/>
          <w:divBdr>
            <w:top w:val="none" w:sz="0" w:space="0" w:color="auto"/>
            <w:left w:val="none" w:sz="0" w:space="0" w:color="auto"/>
            <w:bottom w:val="none" w:sz="0" w:space="0" w:color="auto"/>
            <w:right w:val="none" w:sz="0" w:space="0" w:color="auto"/>
          </w:divBdr>
        </w:div>
        <w:div w:id="953754540">
          <w:marLeft w:val="640"/>
          <w:marRight w:val="0"/>
          <w:marTop w:val="0"/>
          <w:marBottom w:val="0"/>
          <w:divBdr>
            <w:top w:val="none" w:sz="0" w:space="0" w:color="auto"/>
            <w:left w:val="none" w:sz="0" w:space="0" w:color="auto"/>
            <w:bottom w:val="none" w:sz="0" w:space="0" w:color="auto"/>
            <w:right w:val="none" w:sz="0" w:space="0" w:color="auto"/>
          </w:divBdr>
        </w:div>
        <w:div w:id="276715429">
          <w:marLeft w:val="640"/>
          <w:marRight w:val="0"/>
          <w:marTop w:val="0"/>
          <w:marBottom w:val="0"/>
          <w:divBdr>
            <w:top w:val="none" w:sz="0" w:space="0" w:color="auto"/>
            <w:left w:val="none" w:sz="0" w:space="0" w:color="auto"/>
            <w:bottom w:val="none" w:sz="0" w:space="0" w:color="auto"/>
            <w:right w:val="none" w:sz="0" w:space="0" w:color="auto"/>
          </w:divBdr>
        </w:div>
        <w:div w:id="2088263139">
          <w:marLeft w:val="640"/>
          <w:marRight w:val="0"/>
          <w:marTop w:val="0"/>
          <w:marBottom w:val="0"/>
          <w:divBdr>
            <w:top w:val="none" w:sz="0" w:space="0" w:color="auto"/>
            <w:left w:val="none" w:sz="0" w:space="0" w:color="auto"/>
            <w:bottom w:val="none" w:sz="0" w:space="0" w:color="auto"/>
            <w:right w:val="none" w:sz="0" w:space="0" w:color="auto"/>
          </w:divBdr>
        </w:div>
        <w:div w:id="1910143368">
          <w:marLeft w:val="640"/>
          <w:marRight w:val="0"/>
          <w:marTop w:val="0"/>
          <w:marBottom w:val="0"/>
          <w:divBdr>
            <w:top w:val="none" w:sz="0" w:space="0" w:color="auto"/>
            <w:left w:val="none" w:sz="0" w:space="0" w:color="auto"/>
            <w:bottom w:val="none" w:sz="0" w:space="0" w:color="auto"/>
            <w:right w:val="none" w:sz="0" w:space="0" w:color="auto"/>
          </w:divBdr>
        </w:div>
        <w:div w:id="85197643">
          <w:marLeft w:val="640"/>
          <w:marRight w:val="0"/>
          <w:marTop w:val="0"/>
          <w:marBottom w:val="0"/>
          <w:divBdr>
            <w:top w:val="none" w:sz="0" w:space="0" w:color="auto"/>
            <w:left w:val="none" w:sz="0" w:space="0" w:color="auto"/>
            <w:bottom w:val="none" w:sz="0" w:space="0" w:color="auto"/>
            <w:right w:val="none" w:sz="0" w:space="0" w:color="auto"/>
          </w:divBdr>
        </w:div>
        <w:div w:id="1455295962">
          <w:marLeft w:val="640"/>
          <w:marRight w:val="0"/>
          <w:marTop w:val="0"/>
          <w:marBottom w:val="0"/>
          <w:divBdr>
            <w:top w:val="none" w:sz="0" w:space="0" w:color="auto"/>
            <w:left w:val="none" w:sz="0" w:space="0" w:color="auto"/>
            <w:bottom w:val="none" w:sz="0" w:space="0" w:color="auto"/>
            <w:right w:val="none" w:sz="0" w:space="0" w:color="auto"/>
          </w:divBdr>
        </w:div>
        <w:div w:id="1591038712">
          <w:marLeft w:val="640"/>
          <w:marRight w:val="0"/>
          <w:marTop w:val="0"/>
          <w:marBottom w:val="0"/>
          <w:divBdr>
            <w:top w:val="none" w:sz="0" w:space="0" w:color="auto"/>
            <w:left w:val="none" w:sz="0" w:space="0" w:color="auto"/>
            <w:bottom w:val="none" w:sz="0" w:space="0" w:color="auto"/>
            <w:right w:val="none" w:sz="0" w:space="0" w:color="auto"/>
          </w:divBdr>
        </w:div>
        <w:div w:id="375155664">
          <w:marLeft w:val="640"/>
          <w:marRight w:val="0"/>
          <w:marTop w:val="0"/>
          <w:marBottom w:val="0"/>
          <w:divBdr>
            <w:top w:val="none" w:sz="0" w:space="0" w:color="auto"/>
            <w:left w:val="none" w:sz="0" w:space="0" w:color="auto"/>
            <w:bottom w:val="none" w:sz="0" w:space="0" w:color="auto"/>
            <w:right w:val="none" w:sz="0" w:space="0" w:color="auto"/>
          </w:divBdr>
        </w:div>
        <w:div w:id="649871072">
          <w:marLeft w:val="640"/>
          <w:marRight w:val="0"/>
          <w:marTop w:val="0"/>
          <w:marBottom w:val="0"/>
          <w:divBdr>
            <w:top w:val="none" w:sz="0" w:space="0" w:color="auto"/>
            <w:left w:val="none" w:sz="0" w:space="0" w:color="auto"/>
            <w:bottom w:val="none" w:sz="0" w:space="0" w:color="auto"/>
            <w:right w:val="none" w:sz="0" w:space="0" w:color="auto"/>
          </w:divBdr>
        </w:div>
        <w:div w:id="771436098">
          <w:marLeft w:val="640"/>
          <w:marRight w:val="0"/>
          <w:marTop w:val="0"/>
          <w:marBottom w:val="0"/>
          <w:divBdr>
            <w:top w:val="none" w:sz="0" w:space="0" w:color="auto"/>
            <w:left w:val="none" w:sz="0" w:space="0" w:color="auto"/>
            <w:bottom w:val="none" w:sz="0" w:space="0" w:color="auto"/>
            <w:right w:val="none" w:sz="0" w:space="0" w:color="auto"/>
          </w:divBdr>
        </w:div>
        <w:div w:id="963464388">
          <w:marLeft w:val="640"/>
          <w:marRight w:val="0"/>
          <w:marTop w:val="0"/>
          <w:marBottom w:val="0"/>
          <w:divBdr>
            <w:top w:val="none" w:sz="0" w:space="0" w:color="auto"/>
            <w:left w:val="none" w:sz="0" w:space="0" w:color="auto"/>
            <w:bottom w:val="none" w:sz="0" w:space="0" w:color="auto"/>
            <w:right w:val="none" w:sz="0" w:space="0" w:color="auto"/>
          </w:divBdr>
        </w:div>
        <w:div w:id="217130115">
          <w:marLeft w:val="640"/>
          <w:marRight w:val="0"/>
          <w:marTop w:val="0"/>
          <w:marBottom w:val="0"/>
          <w:divBdr>
            <w:top w:val="none" w:sz="0" w:space="0" w:color="auto"/>
            <w:left w:val="none" w:sz="0" w:space="0" w:color="auto"/>
            <w:bottom w:val="none" w:sz="0" w:space="0" w:color="auto"/>
            <w:right w:val="none" w:sz="0" w:space="0" w:color="auto"/>
          </w:divBdr>
        </w:div>
        <w:div w:id="1220900891">
          <w:marLeft w:val="640"/>
          <w:marRight w:val="0"/>
          <w:marTop w:val="0"/>
          <w:marBottom w:val="0"/>
          <w:divBdr>
            <w:top w:val="none" w:sz="0" w:space="0" w:color="auto"/>
            <w:left w:val="none" w:sz="0" w:space="0" w:color="auto"/>
            <w:bottom w:val="none" w:sz="0" w:space="0" w:color="auto"/>
            <w:right w:val="none" w:sz="0" w:space="0" w:color="auto"/>
          </w:divBdr>
        </w:div>
        <w:div w:id="1203789106">
          <w:marLeft w:val="640"/>
          <w:marRight w:val="0"/>
          <w:marTop w:val="0"/>
          <w:marBottom w:val="0"/>
          <w:divBdr>
            <w:top w:val="none" w:sz="0" w:space="0" w:color="auto"/>
            <w:left w:val="none" w:sz="0" w:space="0" w:color="auto"/>
            <w:bottom w:val="none" w:sz="0" w:space="0" w:color="auto"/>
            <w:right w:val="none" w:sz="0" w:space="0" w:color="auto"/>
          </w:divBdr>
        </w:div>
        <w:div w:id="2066490952">
          <w:marLeft w:val="640"/>
          <w:marRight w:val="0"/>
          <w:marTop w:val="0"/>
          <w:marBottom w:val="0"/>
          <w:divBdr>
            <w:top w:val="none" w:sz="0" w:space="0" w:color="auto"/>
            <w:left w:val="none" w:sz="0" w:space="0" w:color="auto"/>
            <w:bottom w:val="none" w:sz="0" w:space="0" w:color="auto"/>
            <w:right w:val="none" w:sz="0" w:space="0" w:color="auto"/>
          </w:divBdr>
        </w:div>
        <w:div w:id="1041436037">
          <w:marLeft w:val="640"/>
          <w:marRight w:val="0"/>
          <w:marTop w:val="0"/>
          <w:marBottom w:val="0"/>
          <w:divBdr>
            <w:top w:val="none" w:sz="0" w:space="0" w:color="auto"/>
            <w:left w:val="none" w:sz="0" w:space="0" w:color="auto"/>
            <w:bottom w:val="none" w:sz="0" w:space="0" w:color="auto"/>
            <w:right w:val="none" w:sz="0" w:space="0" w:color="auto"/>
          </w:divBdr>
        </w:div>
        <w:div w:id="961303967">
          <w:marLeft w:val="640"/>
          <w:marRight w:val="0"/>
          <w:marTop w:val="0"/>
          <w:marBottom w:val="0"/>
          <w:divBdr>
            <w:top w:val="none" w:sz="0" w:space="0" w:color="auto"/>
            <w:left w:val="none" w:sz="0" w:space="0" w:color="auto"/>
            <w:bottom w:val="none" w:sz="0" w:space="0" w:color="auto"/>
            <w:right w:val="none" w:sz="0" w:space="0" w:color="auto"/>
          </w:divBdr>
        </w:div>
        <w:div w:id="1561672956">
          <w:marLeft w:val="640"/>
          <w:marRight w:val="0"/>
          <w:marTop w:val="0"/>
          <w:marBottom w:val="0"/>
          <w:divBdr>
            <w:top w:val="none" w:sz="0" w:space="0" w:color="auto"/>
            <w:left w:val="none" w:sz="0" w:space="0" w:color="auto"/>
            <w:bottom w:val="none" w:sz="0" w:space="0" w:color="auto"/>
            <w:right w:val="none" w:sz="0" w:space="0" w:color="auto"/>
          </w:divBdr>
        </w:div>
        <w:div w:id="938947392">
          <w:marLeft w:val="640"/>
          <w:marRight w:val="0"/>
          <w:marTop w:val="0"/>
          <w:marBottom w:val="0"/>
          <w:divBdr>
            <w:top w:val="none" w:sz="0" w:space="0" w:color="auto"/>
            <w:left w:val="none" w:sz="0" w:space="0" w:color="auto"/>
            <w:bottom w:val="none" w:sz="0" w:space="0" w:color="auto"/>
            <w:right w:val="none" w:sz="0" w:space="0" w:color="auto"/>
          </w:divBdr>
        </w:div>
        <w:div w:id="1032800092">
          <w:marLeft w:val="640"/>
          <w:marRight w:val="0"/>
          <w:marTop w:val="0"/>
          <w:marBottom w:val="0"/>
          <w:divBdr>
            <w:top w:val="none" w:sz="0" w:space="0" w:color="auto"/>
            <w:left w:val="none" w:sz="0" w:space="0" w:color="auto"/>
            <w:bottom w:val="none" w:sz="0" w:space="0" w:color="auto"/>
            <w:right w:val="none" w:sz="0" w:space="0" w:color="auto"/>
          </w:divBdr>
        </w:div>
        <w:div w:id="839544839">
          <w:marLeft w:val="640"/>
          <w:marRight w:val="0"/>
          <w:marTop w:val="0"/>
          <w:marBottom w:val="0"/>
          <w:divBdr>
            <w:top w:val="none" w:sz="0" w:space="0" w:color="auto"/>
            <w:left w:val="none" w:sz="0" w:space="0" w:color="auto"/>
            <w:bottom w:val="none" w:sz="0" w:space="0" w:color="auto"/>
            <w:right w:val="none" w:sz="0" w:space="0" w:color="auto"/>
          </w:divBdr>
        </w:div>
        <w:div w:id="1587878088">
          <w:marLeft w:val="640"/>
          <w:marRight w:val="0"/>
          <w:marTop w:val="0"/>
          <w:marBottom w:val="0"/>
          <w:divBdr>
            <w:top w:val="none" w:sz="0" w:space="0" w:color="auto"/>
            <w:left w:val="none" w:sz="0" w:space="0" w:color="auto"/>
            <w:bottom w:val="none" w:sz="0" w:space="0" w:color="auto"/>
            <w:right w:val="none" w:sz="0" w:space="0" w:color="auto"/>
          </w:divBdr>
        </w:div>
        <w:div w:id="1335374323">
          <w:marLeft w:val="640"/>
          <w:marRight w:val="0"/>
          <w:marTop w:val="0"/>
          <w:marBottom w:val="0"/>
          <w:divBdr>
            <w:top w:val="none" w:sz="0" w:space="0" w:color="auto"/>
            <w:left w:val="none" w:sz="0" w:space="0" w:color="auto"/>
            <w:bottom w:val="none" w:sz="0" w:space="0" w:color="auto"/>
            <w:right w:val="none" w:sz="0" w:space="0" w:color="auto"/>
          </w:divBdr>
        </w:div>
      </w:divsChild>
    </w:div>
    <w:div w:id="1610745771">
      <w:bodyDiv w:val="1"/>
      <w:marLeft w:val="0"/>
      <w:marRight w:val="0"/>
      <w:marTop w:val="0"/>
      <w:marBottom w:val="0"/>
      <w:divBdr>
        <w:top w:val="none" w:sz="0" w:space="0" w:color="auto"/>
        <w:left w:val="none" w:sz="0" w:space="0" w:color="auto"/>
        <w:bottom w:val="none" w:sz="0" w:space="0" w:color="auto"/>
        <w:right w:val="none" w:sz="0" w:space="0" w:color="auto"/>
      </w:divBdr>
      <w:divsChild>
        <w:div w:id="1128013726">
          <w:marLeft w:val="640"/>
          <w:marRight w:val="0"/>
          <w:marTop w:val="0"/>
          <w:marBottom w:val="0"/>
          <w:divBdr>
            <w:top w:val="none" w:sz="0" w:space="0" w:color="auto"/>
            <w:left w:val="none" w:sz="0" w:space="0" w:color="auto"/>
            <w:bottom w:val="none" w:sz="0" w:space="0" w:color="auto"/>
            <w:right w:val="none" w:sz="0" w:space="0" w:color="auto"/>
          </w:divBdr>
        </w:div>
        <w:div w:id="1937447026">
          <w:marLeft w:val="640"/>
          <w:marRight w:val="0"/>
          <w:marTop w:val="0"/>
          <w:marBottom w:val="0"/>
          <w:divBdr>
            <w:top w:val="none" w:sz="0" w:space="0" w:color="auto"/>
            <w:left w:val="none" w:sz="0" w:space="0" w:color="auto"/>
            <w:bottom w:val="none" w:sz="0" w:space="0" w:color="auto"/>
            <w:right w:val="none" w:sz="0" w:space="0" w:color="auto"/>
          </w:divBdr>
        </w:div>
        <w:div w:id="1491142871">
          <w:marLeft w:val="640"/>
          <w:marRight w:val="0"/>
          <w:marTop w:val="0"/>
          <w:marBottom w:val="0"/>
          <w:divBdr>
            <w:top w:val="none" w:sz="0" w:space="0" w:color="auto"/>
            <w:left w:val="none" w:sz="0" w:space="0" w:color="auto"/>
            <w:bottom w:val="none" w:sz="0" w:space="0" w:color="auto"/>
            <w:right w:val="none" w:sz="0" w:space="0" w:color="auto"/>
          </w:divBdr>
        </w:div>
        <w:div w:id="698044688">
          <w:marLeft w:val="640"/>
          <w:marRight w:val="0"/>
          <w:marTop w:val="0"/>
          <w:marBottom w:val="0"/>
          <w:divBdr>
            <w:top w:val="none" w:sz="0" w:space="0" w:color="auto"/>
            <w:left w:val="none" w:sz="0" w:space="0" w:color="auto"/>
            <w:bottom w:val="none" w:sz="0" w:space="0" w:color="auto"/>
            <w:right w:val="none" w:sz="0" w:space="0" w:color="auto"/>
          </w:divBdr>
        </w:div>
        <w:div w:id="1996564044">
          <w:marLeft w:val="640"/>
          <w:marRight w:val="0"/>
          <w:marTop w:val="0"/>
          <w:marBottom w:val="0"/>
          <w:divBdr>
            <w:top w:val="none" w:sz="0" w:space="0" w:color="auto"/>
            <w:left w:val="none" w:sz="0" w:space="0" w:color="auto"/>
            <w:bottom w:val="none" w:sz="0" w:space="0" w:color="auto"/>
            <w:right w:val="none" w:sz="0" w:space="0" w:color="auto"/>
          </w:divBdr>
        </w:div>
        <w:div w:id="899706681">
          <w:marLeft w:val="640"/>
          <w:marRight w:val="0"/>
          <w:marTop w:val="0"/>
          <w:marBottom w:val="0"/>
          <w:divBdr>
            <w:top w:val="none" w:sz="0" w:space="0" w:color="auto"/>
            <w:left w:val="none" w:sz="0" w:space="0" w:color="auto"/>
            <w:bottom w:val="none" w:sz="0" w:space="0" w:color="auto"/>
            <w:right w:val="none" w:sz="0" w:space="0" w:color="auto"/>
          </w:divBdr>
        </w:div>
        <w:div w:id="316306921">
          <w:marLeft w:val="640"/>
          <w:marRight w:val="0"/>
          <w:marTop w:val="0"/>
          <w:marBottom w:val="0"/>
          <w:divBdr>
            <w:top w:val="none" w:sz="0" w:space="0" w:color="auto"/>
            <w:left w:val="none" w:sz="0" w:space="0" w:color="auto"/>
            <w:bottom w:val="none" w:sz="0" w:space="0" w:color="auto"/>
            <w:right w:val="none" w:sz="0" w:space="0" w:color="auto"/>
          </w:divBdr>
        </w:div>
        <w:div w:id="125127818">
          <w:marLeft w:val="640"/>
          <w:marRight w:val="0"/>
          <w:marTop w:val="0"/>
          <w:marBottom w:val="0"/>
          <w:divBdr>
            <w:top w:val="none" w:sz="0" w:space="0" w:color="auto"/>
            <w:left w:val="none" w:sz="0" w:space="0" w:color="auto"/>
            <w:bottom w:val="none" w:sz="0" w:space="0" w:color="auto"/>
            <w:right w:val="none" w:sz="0" w:space="0" w:color="auto"/>
          </w:divBdr>
        </w:div>
        <w:div w:id="2064139634">
          <w:marLeft w:val="640"/>
          <w:marRight w:val="0"/>
          <w:marTop w:val="0"/>
          <w:marBottom w:val="0"/>
          <w:divBdr>
            <w:top w:val="none" w:sz="0" w:space="0" w:color="auto"/>
            <w:left w:val="none" w:sz="0" w:space="0" w:color="auto"/>
            <w:bottom w:val="none" w:sz="0" w:space="0" w:color="auto"/>
            <w:right w:val="none" w:sz="0" w:space="0" w:color="auto"/>
          </w:divBdr>
        </w:div>
        <w:div w:id="1410230113">
          <w:marLeft w:val="640"/>
          <w:marRight w:val="0"/>
          <w:marTop w:val="0"/>
          <w:marBottom w:val="0"/>
          <w:divBdr>
            <w:top w:val="none" w:sz="0" w:space="0" w:color="auto"/>
            <w:left w:val="none" w:sz="0" w:space="0" w:color="auto"/>
            <w:bottom w:val="none" w:sz="0" w:space="0" w:color="auto"/>
            <w:right w:val="none" w:sz="0" w:space="0" w:color="auto"/>
          </w:divBdr>
        </w:div>
        <w:div w:id="723453831">
          <w:marLeft w:val="640"/>
          <w:marRight w:val="0"/>
          <w:marTop w:val="0"/>
          <w:marBottom w:val="0"/>
          <w:divBdr>
            <w:top w:val="none" w:sz="0" w:space="0" w:color="auto"/>
            <w:left w:val="none" w:sz="0" w:space="0" w:color="auto"/>
            <w:bottom w:val="none" w:sz="0" w:space="0" w:color="auto"/>
            <w:right w:val="none" w:sz="0" w:space="0" w:color="auto"/>
          </w:divBdr>
        </w:div>
        <w:div w:id="1041395232">
          <w:marLeft w:val="640"/>
          <w:marRight w:val="0"/>
          <w:marTop w:val="0"/>
          <w:marBottom w:val="0"/>
          <w:divBdr>
            <w:top w:val="none" w:sz="0" w:space="0" w:color="auto"/>
            <w:left w:val="none" w:sz="0" w:space="0" w:color="auto"/>
            <w:bottom w:val="none" w:sz="0" w:space="0" w:color="auto"/>
            <w:right w:val="none" w:sz="0" w:space="0" w:color="auto"/>
          </w:divBdr>
        </w:div>
        <w:div w:id="1839884487">
          <w:marLeft w:val="640"/>
          <w:marRight w:val="0"/>
          <w:marTop w:val="0"/>
          <w:marBottom w:val="0"/>
          <w:divBdr>
            <w:top w:val="none" w:sz="0" w:space="0" w:color="auto"/>
            <w:left w:val="none" w:sz="0" w:space="0" w:color="auto"/>
            <w:bottom w:val="none" w:sz="0" w:space="0" w:color="auto"/>
            <w:right w:val="none" w:sz="0" w:space="0" w:color="auto"/>
          </w:divBdr>
        </w:div>
        <w:div w:id="963462271">
          <w:marLeft w:val="640"/>
          <w:marRight w:val="0"/>
          <w:marTop w:val="0"/>
          <w:marBottom w:val="0"/>
          <w:divBdr>
            <w:top w:val="none" w:sz="0" w:space="0" w:color="auto"/>
            <w:left w:val="none" w:sz="0" w:space="0" w:color="auto"/>
            <w:bottom w:val="none" w:sz="0" w:space="0" w:color="auto"/>
            <w:right w:val="none" w:sz="0" w:space="0" w:color="auto"/>
          </w:divBdr>
        </w:div>
        <w:div w:id="1501238872">
          <w:marLeft w:val="640"/>
          <w:marRight w:val="0"/>
          <w:marTop w:val="0"/>
          <w:marBottom w:val="0"/>
          <w:divBdr>
            <w:top w:val="none" w:sz="0" w:space="0" w:color="auto"/>
            <w:left w:val="none" w:sz="0" w:space="0" w:color="auto"/>
            <w:bottom w:val="none" w:sz="0" w:space="0" w:color="auto"/>
            <w:right w:val="none" w:sz="0" w:space="0" w:color="auto"/>
          </w:divBdr>
        </w:div>
        <w:div w:id="711343354">
          <w:marLeft w:val="640"/>
          <w:marRight w:val="0"/>
          <w:marTop w:val="0"/>
          <w:marBottom w:val="0"/>
          <w:divBdr>
            <w:top w:val="none" w:sz="0" w:space="0" w:color="auto"/>
            <w:left w:val="none" w:sz="0" w:space="0" w:color="auto"/>
            <w:bottom w:val="none" w:sz="0" w:space="0" w:color="auto"/>
            <w:right w:val="none" w:sz="0" w:space="0" w:color="auto"/>
          </w:divBdr>
        </w:div>
        <w:div w:id="1356808456">
          <w:marLeft w:val="640"/>
          <w:marRight w:val="0"/>
          <w:marTop w:val="0"/>
          <w:marBottom w:val="0"/>
          <w:divBdr>
            <w:top w:val="none" w:sz="0" w:space="0" w:color="auto"/>
            <w:left w:val="none" w:sz="0" w:space="0" w:color="auto"/>
            <w:bottom w:val="none" w:sz="0" w:space="0" w:color="auto"/>
            <w:right w:val="none" w:sz="0" w:space="0" w:color="auto"/>
          </w:divBdr>
        </w:div>
        <w:div w:id="1499728949">
          <w:marLeft w:val="640"/>
          <w:marRight w:val="0"/>
          <w:marTop w:val="0"/>
          <w:marBottom w:val="0"/>
          <w:divBdr>
            <w:top w:val="none" w:sz="0" w:space="0" w:color="auto"/>
            <w:left w:val="none" w:sz="0" w:space="0" w:color="auto"/>
            <w:bottom w:val="none" w:sz="0" w:space="0" w:color="auto"/>
            <w:right w:val="none" w:sz="0" w:space="0" w:color="auto"/>
          </w:divBdr>
        </w:div>
        <w:div w:id="1416438666">
          <w:marLeft w:val="640"/>
          <w:marRight w:val="0"/>
          <w:marTop w:val="0"/>
          <w:marBottom w:val="0"/>
          <w:divBdr>
            <w:top w:val="none" w:sz="0" w:space="0" w:color="auto"/>
            <w:left w:val="none" w:sz="0" w:space="0" w:color="auto"/>
            <w:bottom w:val="none" w:sz="0" w:space="0" w:color="auto"/>
            <w:right w:val="none" w:sz="0" w:space="0" w:color="auto"/>
          </w:divBdr>
        </w:div>
        <w:div w:id="1727954265">
          <w:marLeft w:val="640"/>
          <w:marRight w:val="0"/>
          <w:marTop w:val="0"/>
          <w:marBottom w:val="0"/>
          <w:divBdr>
            <w:top w:val="none" w:sz="0" w:space="0" w:color="auto"/>
            <w:left w:val="none" w:sz="0" w:space="0" w:color="auto"/>
            <w:bottom w:val="none" w:sz="0" w:space="0" w:color="auto"/>
            <w:right w:val="none" w:sz="0" w:space="0" w:color="auto"/>
          </w:divBdr>
        </w:div>
        <w:div w:id="1835677965">
          <w:marLeft w:val="640"/>
          <w:marRight w:val="0"/>
          <w:marTop w:val="0"/>
          <w:marBottom w:val="0"/>
          <w:divBdr>
            <w:top w:val="none" w:sz="0" w:space="0" w:color="auto"/>
            <w:left w:val="none" w:sz="0" w:space="0" w:color="auto"/>
            <w:bottom w:val="none" w:sz="0" w:space="0" w:color="auto"/>
            <w:right w:val="none" w:sz="0" w:space="0" w:color="auto"/>
          </w:divBdr>
        </w:div>
        <w:div w:id="967199885">
          <w:marLeft w:val="640"/>
          <w:marRight w:val="0"/>
          <w:marTop w:val="0"/>
          <w:marBottom w:val="0"/>
          <w:divBdr>
            <w:top w:val="none" w:sz="0" w:space="0" w:color="auto"/>
            <w:left w:val="none" w:sz="0" w:space="0" w:color="auto"/>
            <w:bottom w:val="none" w:sz="0" w:space="0" w:color="auto"/>
            <w:right w:val="none" w:sz="0" w:space="0" w:color="auto"/>
          </w:divBdr>
        </w:div>
        <w:div w:id="1493443874">
          <w:marLeft w:val="640"/>
          <w:marRight w:val="0"/>
          <w:marTop w:val="0"/>
          <w:marBottom w:val="0"/>
          <w:divBdr>
            <w:top w:val="none" w:sz="0" w:space="0" w:color="auto"/>
            <w:left w:val="none" w:sz="0" w:space="0" w:color="auto"/>
            <w:bottom w:val="none" w:sz="0" w:space="0" w:color="auto"/>
            <w:right w:val="none" w:sz="0" w:space="0" w:color="auto"/>
          </w:divBdr>
        </w:div>
        <w:div w:id="566113105">
          <w:marLeft w:val="640"/>
          <w:marRight w:val="0"/>
          <w:marTop w:val="0"/>
          <w:marBottom w:val="0"/>
          <w:divBdr>
            <w:top w:val="none" w:sz="0" w:space="0" w:color="auto"/>
            <w:left w:val="none" w:sz="0" w:space="0" w:color="auto"/>
            <w:bottom w:val="none" w:sz="0" w:space="0" w:color="auto"/>
            <w:right w:val="none" w:sz="0" w:space="0" w:color="auto"/>
          </w:divBdr>
        </w:div>
        <w:div w:id="988707213">
          <w:marLeft w:val="640"/>
          <w:marRight w:val="0"/>
          <w:marTop w:val="0"/>
          <w:marBottom w:val="0"/>
          <w:divBdr>
            <w:top w:val="none" w:sz="0" w:space="0" w:color="auto"/>
            <w:left w:val="none" w:sz="0" w:space="0" w:color="auto"/>
            <w:bottom w:val="none" w:sz="0" w:space="0" w:color="auto"/>
            <w:right w:val="none" w:sz="0" w:space="0" w:color="auto"/>
          </w:divBdr>
        </w:div>
        <w:div w:id="999583609">
          <w:marLeft w:val="640"/>
          <w:marRight w:val="0"/>
          <w:marTop w:val="0"/>
          <w:marBottom w:val="0"/>
          <w:divBdr>
            <w:top w:val="none" w:sz="0" w:space="0" w:color="auto"/>
            <w:left w:val="none" w:sz="0" w:space="0" w:color="auto"/>
            <w:bottom w:val="none" w:sz="0" w:space="0" w:color="auto"/>
            <w:right w:val="none" w:sz="0" w:space="0" w:color="auto"/>
          </w:divBdr>
        </w:div>
        <w:div w:id="708379314">
          <w:marLeft w:val="640"/>
          <w:marRight w:val="0"/>
          <w:marTop w:val="0"/>
          <w:marBottom w:val="0"/>
          <w:divBdr>
            <w:top w:val="none" w:sz="0" w:space="0" w:color="auto"/>
            <w:left w:val="none" w:sz="0" w:space="0" w:color="auto"/>
            <w:bottom w:val="none" w:sz="0" w:space="0" w:color="auto"/>
            <w:right w:val="none" w:sz="0" w:space="0" w:color="auto"/>
          </w:divBdr>
        </w:div>
      </w:divsChild>
    </w:div>
    <w:div w:id="1692564493">
      <w:bodyDiv w:val="1"/>
      <w:marLeft w:val="0"/>
      <w:marRight w:val="0"/>
      <w:marTop w:val="0"/>
      <w:marBottom w:val="0"/>
      <w:divBdr>
        <w:top w:val="none" w:sz="0" w:space="0" w:color="auto"/>
        <w:left w:val="none" w:sz="0" w:space="0" w:color="auto"/>
        <w:bottom w:val="none" w:sz="0" w:space="0" w:color="auto"/>
        <w:right w:val="none" w:sz="0" w:space="0" w:color="auto"/>
      </w:divBdr>
      <w:divsChild>
        <w:div w:id="544026081">
          <w:marLeft w:val="640"/>
          <w:marRight w:val="0"/>
          <w:marTop w:val="0"/>
          <w:marBottom w:val="0"/>
          <w:divBdr>
            <w:top w:val="none" w:sz="0" w:space="0" w:color="auto"/>
            <w:left w:val="none" w:sz="0" w:space="0" w:color="auto"/>
            <w:bottom w:val="none" w:sz="0" w:space="0" w:color="auto"/>
            <w:right w:val="none" w:sz="0" w:space="0" w:color="auto"/>
          </w:divBdr>
        </w:div>
        <w:div w:id="483199647">
          <w:marLeft w:val="640"/>
          <w:marRight w:val="0"/>
          <w:marTop w:val="0"/>
          <w:marBottom w:val="0"/>
          <w:divBdr>
            <w:top w:val="none" w:sz="0" w:space="0" w:color="auto"/>
            <w:left w:val="none" w:sz="0" w:space="0" w:color="auto"/>
            <w:bottom w:val="none" w:sz="0" w:space="0" w:color="auto"/>
            <w:right w:val="none" w:sz="0" w:space="0" w:color="auto"/>
          </w:divBdr>
        </w:div>
        <w:div w:id="2112623380">
          <w:marLeft w:val="640"/>
          <w:marRight w:val="0"/>
          <w:marTop w:val="0"/>
          <w:marBottom w:val="0"/>
          <w:divBdr>
            <w:top w:val="none" w:sz="0" w:space="0" w:color="auto"/>
            <w:left w:val="none" w:sz="0" w:space="0" w:color="auto"/>
            <w:bottom w:val="none" w:sz="0" w:space="0" w:color="auto"/>
            <w:right w:val="none" w:sz="0" w:space="0" w:color="auto"/>
          </w:divBdr>
        </w:div>
        <w:div w:id="2046252622">
          <w:marLeft w:val="640"/>
          <w:marRight w:val="0"/>
          <w:marTop w:val="0"/>
          <w:marBottom w:val="0"/>
          <w:divBdr>
            <w:top w:val="none" w:sz="0" w:space="0" w:color="auto"/>
            <w:left w:val="none" w:sz="0" w:space="0" w:color="auto"/>
            <w:bottom w:val="none" w:sz="0" w:space="0" w:color="auto"/>
            <w:right w:val="none" w:sz="0" w:space="0" w:color="auto"/>
          </w:divBdr>
        </w:div>
        <w:div w:id="120850779">
          <w:marLeft w:val="640"/>
          <w:marRight w:val="0"/>
          <w:marTop w:val="0"/>
          <w:marBottom w:val="0"/>
          <w:divBdr>
            <w:top w:val="none" w:sz="0" w:space="0" w:color="auto"/>
            <w:left w:val="none" w:sz="0" w:space="0" w:color="auto"/>
            <w:bottom w:val="none" w:sz="0" w:space="0" w:color="auto"/>
            <w:right w:val="none" w:sz="0" w:space="0" w:color="auto"/>
          </w:divBdr>
        </w:div>
        <w:div w:id="2100369067">
          <w:marLeft w:val="640"/>
          <w:marRight w:val="0"/>
          <w:marTop w:val="0"/>
          <w:marBottom w:val="0"/>
          <w:divBdr>
            <w:top w:val="none" w:sz="0" w:space="0" w:color="auto"/>
            <w:left w:val="none" w:sz="0" w:space="0" w:color="auto"/>
            <w:bottom w:val="none" w:sz="0" w:space="0" w:color="auto"/>
            <w:right w:val="none" w:sz="0" w:space="0" w:color="auto"/>
          </w:divBdr>
        </w:div>
        <w:div w:id="1023244159">
          <w:marLeft w:val="640"/>
          <w:marRight w:val="0"/>
          <w:marTop w:val="0"/>
          <w:marBottom w:val="0"/>
          <w:divBdr>
            <w:top w:val="none" w:sz="0" w:space="0" w:color="auto"/>
            <w:left w:val="none" w:sz="0" w:space="0" w:color="auto"/>
            <w:bottom w:val="none" w:sz="0" w:space="0" w:color="auto"/>
            <w:right w:val="none" w:sz="0" w:space="0" w:color="auto"/>
          </w:divBdr>
        </w:div>
        <w:div w:id="1954511023">
          <w:marLeft w:val="640"/>
          <w:marRight w:val="0"/>
          <w:marTop w:val="0"/>
          <w:marBottom w:val="0"/>
          <w:divBdr>
            <w:top w:val="none" w:sz="0" w:space="0" w:color="auto"/>
            <w:left w:val="none" w:sz="0" w:space="0" w:color="auto"/>
            <w:bottom w:val="none" w:sz="0" w:space="0" w:color="auto"/>
            <w:right w:val="none" w:sz="0" w:space="0" w:color="auto"/>
          </w:divBdr>
        </w:div>
        <w:div w:id="1807553122">
          <w:marLeft w:val="640"/>
          <w:marRight w:val="0"/>
          <w:marTop w:val="0"/>
          <w:marBottom w:val="0"/>
          <w:divBdr>
            <w:top w:val="none" w:sz="0" w:space="0" w:color="auto"/>
            <w:left w:val="none" w:sz="0" w:space="0" w:color="auto"/>
            <w:bottom w:val="none" w:sz="0" w:space="0" w:color="auto"/>
            <w:right w:val="none" w:sz="0" w:space="0" w:color="auto"/>
          </w:divBdr>
        </w:div>
        <w:div w:id="1439177095">
          <w:marLeft w:val="640"/>
          <w:marRight w:val="0"/>
          <w:marTop w:val="0"/>
          <w:marBottom w:val="0"/>
          <w:divBdr>
            <w:top w:val="none" w:sz="0" w:space="0" w:color="auto"/>
            <w:left w:val="none" w:sz="0" w:space="0" w:color="auto"/>
            <w:bottom w:val="none" w:sz="0" w:space="0" w:color="auto"/>
            <w:right w:val="none" w:sz="0" w:space="0" w:color="auto"/>
          </w:divBdr>
        </w:div>
        <w:div w:id="1728257327">
          <w:marLeft w:val="640"/>
          <w:marRight w:val="0"/>
          <w:marTop w:val="0"/>
          <w:marBottom w:val="0"/>
          <w:divBdr>
            <w:top w:val="none" w:sz="0" w:space="0" w:color="auto"/>
            <w:left w:val="none" w:sz="0" w:space="0" w:color="auto"/>
            <w:bottom w:val="none" w:sz="0" w:space="0" w:color="auto"/>
            <w:right w:val="none" w:sz="0" w:space="0" w:color="auto"/>
          </w:divBdr>
        </w:div>
        <w:div w:id="891231366">
          <w:marLeft w:val="640"/>
          <w:marRight w:val="0"/>
          <w:marTop w:val="0"/>
          <w:marBottom w:val="0"/>
          <w:divBdr>
            <w:top w:val="none" w:sz="0" w:space="0" w:color="auto"/>
            <w:left w:val="none" w:sz="0" w:space="0" w:color="auto"/>
            <w:bottom w:val="none" w:sz="0" w:space="0" w:color="auto"/>
            <w:right w:val="none" w:sz="0" w:space="0" w:color="auto"/>
          </w:divBdr>
        </w:div>
        <w:div w:id="1047215615">
          <w:marLeft w:val="640"/>
          <w:marRight w:val="0"/>
          <w:marTop w:val="0"/>
          <w:marBottom w:val="0"/>
          <w:divBdr>
            <w:top w:val="none" w:sz="0" w:space="0" w:color="auto"/>
            <w:left w:val="none" w:sz="0" w:space="0" w:color="auto"/>
            <w:bottom w:val="none" w:sz="0" w:space="0" w:color="auto"/>
            <w:right w:val="none" w:sz="0" w:space="0" w:color="auto"/>
          </w:divBdr>
        </w:div>
        <w:div w:id="1787114653">
          <w:marLeft w:val="640"/>
          <w:marRight w:val="0"/>
          <w:marTop w:val="0"/>
          <w:marBottom w:val="0"/>
          <w:divBdr>
            <w:top w:val="none" w:sz="0" w:space="0" w:color="auto"/>
            <w:left w:val="none" w:sz="0" w:space="0" w:color="auto"/>
            <w:bottom w:val="none" w:sz="0" w:space="0" w:color="auto"/>
            <w:right w:val="none" w:sz="0" w:space="0" w:color="auto"/>
          </w:divBdr>
        </w:div>
        <w:div w:id="360667072">
          <w:marLeft w:val="640"/>
          <w:marRight w:val="0"/>
          <w:marTop w:val="0"/>
          <w:marBottom w:val="0"/>
          <w:divBdr>
            <w:top w:val="none" w:sz="0" w:space="0" w:color="auto"/>
            <w:left w:val="none" w:sz="0" w:space="0" w:color="auto"/>
            <w:bottom w:val="none" w:sz="0" w:space="0" w:color="auto"/>
            <w:right w:val="none" w:sz="0" w:space="0" w:color="auto"/>
          </w:divBdr>
        </w:div>
        <w:div w:id="46150496">
          <w:marLeft w:val="640"/>
          <w:marRight w:val="0"/>
          <w:marTop w:val="0"/>
          <w:marBottom w:val="0"/>
          <w:divBdr>
            <w:top w:val="none" w:sz="0" w:space="0" w:color="auto"/>
            <w:left w:val="none" w:sz="0" w:space="0" w:color="auto"/>
            <w:bottom w:val="none" w:sz="0" w:space="0" w:color="auto"/>
            <w:right w:val="none" w:sz="0" w:space="0" w:color="auto"/>
          </w:divBdr>
        </w:div>
        <w:div w:id="218789294">
          <w:marLeft w:val="640"/>
          <w:marRight w:val="0"/>
          <w:marTop w:val="0"/>
          <w:marBottom w:val="0"/>
          <w:divBdr>
            <w:top w:val="none" w:sz="0" w:space="0" w:color="auto"/>
            <w:left w:val="none" w:sz="0" w:space="0" w:color="auto"/>
            <w:bottom w:val="none" w:sz="0" w:space="0" w:color="auto"/>
            <w:right w:val="none" w:sz="0" w:space="0" w:color="auto"/>
          </w:divBdr>
        </w:div>
        <w:div w:id="973680192">
          <w:marLeft w:val="640"/>
          <w:marRight w:val="0"/>
          <w:marTop w:val="0"/>
          <w:marBottom w:val="0"/>
          <w:divBdr>
            <w:top w:val="none" w:sz="0" w:space="0" w:color="auto"/>
            <w:left w:val="none" w:sz="0" w:space="0" w:color="auto"/>
            <w:bottom w:val="none" w:sz="0" w:space="0" w:color="auto"/>
            <w:right w:val="none" w:sz="0" w:space="0" w:color="auto"/>
          </w:divBdr>
        </w:div>
        <w:div w:id="1361323992">
          <w:marLeft w:val="640"/>
          <w:marRight w:val="0"/>
          <w:marTop w:val="0"/>
          <w:marBottom w:val="0"/>
          <w:divBdr>
            <w:top w:val="none" w:sz="0" w:space="0" w:color="auto"/>
            <w:left w:val="none" w:sz="0" w:space="0" w:color="auto"/>
            <w:bottom w:val="none" w:sz="0" w:space="0" w:color="auto"/>
            <w:right w:val="none" w:sz="0" w:space="0" w:color="auto"/>
          </w:divBdr>
        </w:div>
        <w:div w:id="627128160">
          <w:marLeft w:val="640"/>
          <w:marRight w:val="0"/>
          <w:marTop w:val="0"/>
          <w:marBottom w:val="0"/>
          <w:divBdr>
            <w:top w:val="none" w:sz="0" w:space="0" w:color="auto"/>
            <w:left w:val="none" w:sz="0" w:space="0" w:color="auto"/>
            <w:bottom w:val="none" w:sz="0" w:space="0" w:color="auto"/>
            <w:right w:val="none" w:sz="0" w:space="0" w:color="auto"/>
          </w:divBdr>
        </w:div>
        <w:div w:id="1858425212">
          <w:marLeft w:val="640"/>
          <w:marRight w:val="0"/>
          <w:marTop w:val="0"/>
          <w:marBottom w:val="0"/>
          <w:divBdr>
            <w:top w:val="none" w:sz="0" w:space="0" w:color="auto"/>
            <w:left w:val="none" w:sz="0" w:space="0" w:color="auto"/>
            <w:bottom w:val="none" w:sz="0" w:space="0" w:color="auto"/>
            <w:right w:val="none" w:sz="0" w:space="0" w:color="auto"/>
          </w:divBdr>
        </w:div>
        <w:div w:id="280457539">
          <w:marLeft w:val="640"/>
          <w:marRight w:val="0"/>
          <w:marTop w:val="0"/>
          <w:marBottom w:val="0"/>
          <w:divBdr>
            <w:top w:val="none" w:sz="0" w:space="0" w:color="auto"/>
            <w:left w:val="none" w:sz="0" w:space="0" w:color="auto"/>
            <w:bottom w:val="none" w:sz="0" w:space="0" w:color="auto"/>
            <w:right w:val="none" w:sz="0" w:space="0" w:color="auto"/>
          </w:divBdr>
        </w:div>
        <w:div w:id="1238202199">
          <w:marLeft w:val="640"/>
          <w:marRight w:val="0"/>
          <w:marTop w:val="0"/>
          <w:marBottom w:val="0"/>
          <w:divBdr>
            <w:top w:val="none" w:sz="0" w:space="0" w:color="auto"/>
            <w:left w:val="none" w:sz="0" w:space="0" w:color="auto"/>
            <w:bottom w:val="none" w:sz="0" w:space="0" w:color="auto"/>
            <w:right w:val="none" w:sz="0" w:space="0" w:color="auto"/>
          </w:divBdr>
        </w:div>
        <w:div w:id="2143232557">
          <w:marLeft w:val="640"/>
          <w:marRight w:val="0"/>
          <w:marTop w:val="0"/>
          <w:marBottom w:val="0"/>
          <w:divBdr>
            <w:top w:val="none" w:sz="0" w:space="0" w:color="auto"/>
            <w:left w:val="none" w:sz="0" w:space="0" w:color="auto"/>
            <w:bottom w:val="none" w:sz="0" w:space="0" w:color="auto"/>
            <w:right w:val="none" w:sz="0" w:space="0" w:color="auto"/>
          </w:divBdr>
        </w:div>
        <w:div w:id="923027183">
          <w:marLeft w:val="640"/>
          <w:marRight w:val="0"/>
          <w:marTop w:val="0"/>
          <w:marBottom w:val="0"/>
          <w:divBdr>
            <w:top w:val="none" w:sz="0" w:space="0" w:color="auto"/>
            <w:left w:val="none" w:sz="0" w:space="0" w:color="auto"/>
            <w:bottom w:val="none" w:sz="0" w:space="0" w:color="auto"/>
            <w:right w:val="none" w:sz="0" w:space="0" w:color="auto"/>
          </w:divBdr>
        </w:div>
      </w:divsChild>
    </w:div>
    <w:div w:id="1769227937">
      <w:bodyDiv w:val="1"/>
      <w:marLeft w:val="0"/>
      <w:marRight w:val="0"/>
      <w:marTop w:val="0"/>
      <w:marBottom w:val="0"/>
      <w:divBdr>
        <w:top w:val="none" w:sz="0" w:space="0" w:color="auto"/>
        <w:left w:val="none" w:sz="0" w:space="0" w:color="auto"/>
        <w:bottom w:val="none" w:sz="0" w:space="0" w:color="auto"/>
        <w:right w:val="none" w:sz="0" w:space="0" w:color="auto"/>
      </w:divBdr>
      <w:divsChild>
        <w:div w:id="1366566750">
          <w:marLeft w:val="640"/>
          <w:marRight w:val="0"/>
          <w:marTop w:val="0"/>
          <w:marBottom w:val="0"/>
          <w:divBdr>
            <w:top w:val="none" w:sz="0" w:space="0" w:color="auto"/>
            <w:left w:val="none" w:sz="0" w:space="0" w:color="auto"/>
            <w:bottom w:val="none" w:sz="0" w:space="0" w:color="auto"/>
            <w:right w:val="none" w:sz="0" w:space="0" w:color="auto"/>
          </w:divBdr>
        </w:div>
        <w:div w:id="1487041833">
          <w:marLeft w:val="640"/>
          <w:marRight w:val="0"/>
          <w:marTop w:val="0"/>
          <w:marBottom w:val="0"/>
          <w:divBdr>
            <w:top w:val="none" w:sz="0" w:space="0" w:color="auto"/>
            <w:left w:val="none" w:sz="0" w:space="0" w:color="auto"/>
            <w:bottom w:val="none" w:sz="0" w:space="0" w:color="auto"/>
            <w:right w:val="none" w:sz="0" w:space="0" w:color="auto"/>
          </w:divBdr>
        </w:div>
        <w:div w:id="1472596944">
          <w:marLeft w:val="640"/>
          <w:marRight w:val="0"/>
          <w:marTop w:val="0"/>
          <w:marBottom w:val="0"/>
          <w:divBdr>
            <w:top w:val="none" w:sz="0" w:space="0" w:color="auto"/>
            <w:left w:val="none" w:sz="0" w:space="0" w:color="auto"/>
            <w:bottom w:val="none" w:sz="0" w:space="0" w:color="auto"/>
            <w:right w:val="none" w:sz="0" w:space="0" w:color="auto"/>
          </w:divBdr>
        </w:div>
        <w:div w:id="614362192">
          <w:marLeft w:val="640"/>
          <w:marRight w:val="0"/>
          <w:marTop w:val="0"/>
          <w:marBottom w:val="0"/>
          <w:divBdr>
            <w:top w:val="none" w:sz="0" w:space="0" w:color="auto"/>
            <w:left w:val="none" w:sz="0" w:space="0" w:color="auto"/>
            <w:bottom w:val="none" w:sz="0" w:space="0" w:color="auto"/>
            <w:right w:val="none" w:sz="0" w:space="0" w:color="auto"/>
          </w:divBdr>
        </w:div>
        <w:div w:id="1415395441">
          <w:marLeft w:val="640"/>
          <w:marRight w:val="0"/>
          <w:marTop w:val="0"/>
          <w:marBottom w:val="0"/>
          <w:divBdr>
            <w:top w:val="none" w:sz="0" w:space="0" w:color="auto"/>
            <w:left w:val="none" w:sz="0" w:space="0" w:color="auto"/>
            <w:bottom w:val="none" w:sz="0" w:space="0" w:color="auto"/>
            <w:right w:val="none" w:sz="0" w:space="0" w:color="auto"/>
          </w:divBdr>
        </w:div>
        <w:div w:id="1422066561">
          <w:marLeft w:val="640"/>
          <w:marRight w:val="0"/>
          <w:marTop w:val="0"/>
          <w:marBottom w:val="0"/>
          <w:divBdr>
            <w:top w:val="none" w:sz="0" w:space="0" w:color="auto"/>
            <w:left w:val="none" w:sz="0" w:space="0" w:color="auto"/>
            <w:bottom w:val="none" w:sz="0" w:space="0" w:color="auto"/>
            <w:right w:val="none" w:sz="0" w:space="0" w:color="auto"/>
          </w:divBdr>
        </w:div>
        <w:div w:id="1651835206">
          <w:marLeft w:val="640"/>
          <w:marRight w:val="0"/>
          <w:marTop w:val="0"/>
          <w:marBottom w:val="0"/>
          <w:divBdr>
            <w:top w:val="none" w:sz="0" w:space="0" w:color="auto"/>
            <w:left w:val="none" w:sz="0" w:space="0" w:color="auto"/>
            <w:bottom w:val="none" w:sz="0" w:space="0" w:color="auto"/>
            <w:right w:val="none" w:sz="0" w:space="0" w:color="auto"/>
          </w:divBdr>
        </w:div>
        <w:div w:id="1427460175">
          <w:marLeft w:val="640"/>
          <w:marRight w:val="0"/>
          <w:marTop w:val="0"/>
          <w:marBottom w:val="0"/>
          <w:divBdr>
            <w:top w:val="none" w:sz="0" w:space="0" w:color="auto"/>
            <w:left w:val="none" w:sz="0" w:space="0" w:color="auto"/>
            <w:bottom w:val="none" w:sz="0" w:space="0" w:color="auto"/>
            <w:right w:val="none" w:sz="0" w:space="0" w:color="auto"/>
          </w:divBdr>
        </w:div>
        <w:div w:id="380204659">
          <w:marLeft w:val="640"/>
          <w:marRight w:val="0"/>
          <w:marTop w:val="0"/>
          <w:marBottom w:val="0"/>
          <w:divBdr>
            <w:top w:val="none" w:sz="0" w:space="0" w:color="auto"/>
            <w:left w:val="none" w:sz="0" w:space="0" w:color="auto"/>
            <w:bottom w:val="none" w:sz="0" w:space="0" w:color="auto"/>
            <w:right w:val="none" w:sz="0" w:space="0" w:color="auto"/>
          </w:divBdr>
        </w:div>
        <w:div w:id="989136906">
          <w:marLeft w:val="640"/>
          <w:marRight w:val="0"/>
          <w:marTop w:val="0"/>
          <w:marBottom w:val="0"/>
          <w:divBdr>
            <w:top w:val="none" w:sz="0" w:space="0" w:color="auto"/>
            <w:left w:val="none" w:sz="0" w:space="0" w:color="auto"/>
            <w:bottom w:val="none" w:sz="0" w:space="0" w:color="auto"/>
            <w:right w:val="none" w:sz="0" w:space="0" w:color="auto"/>
          </w:divBdr>
        </w:div>
        <w:div w:id="2132937792">
          <w:marLeft w:val="640"/>
          <w:marRight w:val="0"/>
          <w:marTop w:val="0"/>
          <w:marBottom w:val="0"/>
          <w:divBdr>
            <w:top w:val="none" w:sz="0" w:space="0" w:color="auto"/>
            <w:left w:val="none" w:sz="0" w:space="0" w:color="auto"/>
            <w:bottom w:val="none" w:sz="0" w:space="0" w:color="auto"/>
            <w:right w:val="none" w:sz="0" w:space="0" w:color="auto"/>
          </w:divBdr>
        </w:div>
        <w:div w:id="1901477365">
          <w:marLeft w:val="640"/>
          <w:marRight w:val="0"/>
          <w:marTop w:val="0"/>
          <w:marBottom w:val="0"/>
          <w:divBdr>
            <w:top w:val="none" w:sz="0" w:space="0" w:color="auto"/>
            <w:left w:val="none" w:sz="0" w:space="0" w:color="auto"/>
            <w:bottom w:val="none" w:sz="0" w:space="0" w:color="auto"/>
            <w:right w:val="none" w:sz="0" w:space="0" w:color="auto"/>
          </w:divBdr>
        </w:div>
        <w:div w:id="135026886">
          <w:marLeft w:val="640"/>
          <w:marRight w:val="0"/>
          <w:marTop w:val="0"/>
          <w:marBottom w:val="0"/>
          <w:divBdr>
            <w:top w:val="none" w:sz="0" w:space="0" w:color="auto"/>
            <w:left w:val="none" w:sz="0" w:space="0" w:color="auto"/>
            <w:bottom w:val="none" w:sz="0" w:space="0" w:color="auto"/>
            <w:right w:val="none" w:sz="0" w:space="0" w:color="auto"/>
          </w:divBdr>
        </w:div>
        <w:div w:id="1076636558">
          <w:marLeft w:val="640"/>
          <w:marRight w:val="0"/>
          <w:marTop w:val="0"/>
          <w:marBottom w:val="0"/>
          <w:divBdr>
            <w:top w:val="none" w:sz="0" w:space="0" w:color="auto"/>
            <w:left w:val="none" w:sz="0" w:space="0" w:color="auto"/>
            <w:bottom w:val="none" w:sz="0" w:space="0" w:color="auto"/>
            <w:right w:val="none" w:sz="0" w:space="0" w:color="auto"/>
          </w:divBdr>
        </w:div>
        <w:div w:id="2105028495">
          <w:marLeft w:val="640"/>
          <w:marRight w:val="0"/>
          <w:marTop w:val="0"/>
          <w:marBottom w:val="0"/>
          <w:divBdr>
            <w:top w:val="none" w:sz="0" w:space="0" w:color="auto"/>
            <w:left w:val="none" w:sz="0" w:space="0" w:color="auto"/>
            <w:bottom w:val="none" w:sz="0" w:space="0" w:color="auto"/>
            <w:right w:val="none" w:sz="0" w:space="0" w:color="auto"/>
          </w:divBdr>
        </w:div>
        <w:div w:id="530343360">
          <w:marLeft w:val="640"/>
          <w:marRight w:val="0"/>
          <w:marTop w:val="0"/>
          <w:marBottom w:val="0"/>
          <w:divBdr>
            <w:top w:val="none" w:sz="0" w:space="0" w:color="auto"/>
            <w:left w:val="none" w:sz="0" w:space="0" w:color="auto"/>
            <w:bottom w:val="none" w:sz="0" w:space="0" w:color="auto"/>
            <w:right w:val="none" w:sz="0" w:space="0" w:color="auto"/>
          </w:divBdr>
        </w:div>
        <w:div w:id="644428854">
          <w:marLeft w:val="640"/>
          <w:marRight w:val="0"/>
          <w:marTop w:val="0"/>
          <w:marBottom w:val="0"/>
          <w:divBdr>
            <w:top w:val="none" w:sz="0" w:space="0" w:color="auto"/>
            <w:left w:val="none" w:sz="0" w:space="0" w:color="auto"/>
            <w:bottom w:val="none" w:sz="0" w:space="0" w:color="auto"/>
            <w:right w:val="none" w:sz="0" w:space="0" w:color="auto"/>
          </w:divBdr>
        </w:div>
        <w:div w:id="274757122">
          <w:marLeft w:val="640"/>
          <w:marRight w:val="0"/>
          <w:marTop w:val="0"/>
          <w:marBottom w:val="0"/>
          <w:divBdr>
            <w:top w:val="none" w:sz="0" w:space="0" w:color="auto"/>
            <w:left w:val="none" w:sz="0" w:space="0" w:color="auto"/>
            <w:bottom w:val="none" w:sz="0" w:space="0" w:color="auto"/>
            <w:right w:val="none" w:sz="0" w:space="0" w:color="auto"/>
          </w:divBdr>
        </w:div>
        <w:div w:id="1420326770">
          <w:marLeft w:val="640"/>
          <w:marRight w:val="0"/>
          <w:marTop w:val="0"/>
          <w:marBottom w:val="0"/>
          <w:divBdr>
            <w:top w:val="none" w:sz="0" w:space="0" w:color="auto"/>
            <w:left w:val="none" w:sz="0" w:space="0" w:color="auto"/>
            <w:bottom w:val="none" w:sz="0" w:space="0" w:color="auto"/>
            <w:right w:val="none" w:sz="0" w:space="0" w:color="auto"/>
          </w:divBdr>
        </w:div>
        <w:div w:id="1864708118">
          <w:marLeft w:val="640"/>
          <w:marRight w:val="0"/>
          <w:marTop w:val="0"/>
          <w:marBottom w:val="0"/>
          <w:divBdr>
            <w:top w:val="none" w:sz="0" w:space="0" w:color="auto"/>
            <w:left w:val="none" w:sz="0" w:space="0" w:color="auto"/>
            <w:bottom w:val="none" w:sz="0" w:space="0" w:color="auto"/>
            <w:right w:val="none" w:sz="0" w:space="0" w:color="auto"/>
          </w:divBdr>
        </w:div>
        <w:div w:id="1553031805">
          <w:marLeft w:val="640"/>
          <w:marRight w:val="0"/>
          <w:marTop w:val="0"/>
          <w:marBottom w:val="0"/>
          <w:divBdr>
            <w:top w:val="none" w:sz="0" w:space="0" w:color="auto"/>
            <w:left w:val="none" w:sz="0" w:space="0" w:color="auto"/>
            <w:bottom w:val="none" w:sz="0" w:space="0" w:color="auto"/>
            <w:right w:val="none" w:sz="0" w:space="0" w:color="auto"/>
          </w:divBdr>
        </w:div>
        <w:div w:id="1939175018">
          <w:marLeft w:val="640"/>
          <w:marRight w:val="0"/>
          <w:marTop w:val="0"/>
          <w:marBottom w:val="0"/>
          <w:divBdr>
            <w:top w:val="none" w:sz="0" w:space="0" w:color="auto"/>
            <w:left w:val="none" w:sz="0" w:space="0" w:color="auto"/>
            <w:bottom w:val="none" w:sz="0" w:space="0" w:color="auto"/>
            <w:right w:val="none" w:sz="0" w:space="0" w:color="auto"/>
          </w:divBdr>
        </w:div>
        <w:div w:id="2116902708">
          <w:marLeft w:val="640"/>
          <w:marRight w:val="0"/>
          <w:marTop w:val="0"/>
          <w:marBottom w:val="0"/>
          <w:divBdr>
            <w:top w:val="none" w:sz="0" w:space="0" w:color="auto"/>
            <w:left w:val="none" w:sz="0" w:space="0" w:color="auto"/>
            <w:bottom w:val="none" w:sz="0" w:space="0" w:color="auto"/>
            <w:right w:val="none" w:sz="0" w:space="0" w:color="auto"/>
          </w:divBdr>
        </w:div>
        <w:div w:id="1742563231">
          <w:marLeft w:val="640"/>
          <w:marRight w:val="0"/>
          <w:marTop w:val="0"/>
          <w:marBottom w:val="0"/>
          <w:divBdr>
            <w:top w:val="none" w:sz="0" w:space="0" w:color="auto"/>
            <w:left w:val="none" w:sz="0" w:space="0" w:color="auto"/>
            <w:bottom w:val="none" w:sz="0" w:space="0" w:color="auto"/>
            <w:right w:val="none" w:sz="0" w:space="0" w:color="auto"/>
          </w:divBdr>
        </w:div>
        <w:div w:id="1481265591">
          <w:marLeft w:val="640"/>
          <w:marRight w:val="0"/>
          <w:marTop w:val="0"/>
          <w:marBottom w:val="0"/>
          <w:divBdr>
            <w:top w:val="none" w:sz="0" w:space="0" w:color="auto"/>
            <w:left w:val="none" w:sz="0" w:space="0" w:color="auto"/>
            <w:bottom w:val="none" w:sz="0" w:space="0" w:color="auto"/>
            <w:right w:val="none" w:sz="0" w:space="0" w:color="auto"/>
          </w:divBdr>
        </w:div>
      </w:divsChild>
    </w:div>
    <w:div w:id="1890678284">
      <w:bodyDiv w:val="1"/>
      <w:marLeft w:val="0"/>
      <w:marRight w:val="0"/>
      <w:marTop w:val="0"/>
      <w:marBottom w:val="0"/>
      <w:divBdr>
        <w:top w:val="none" w:sz="0" w:space="0" w:color="auto"/>
        <w:left w:val="none" w:sz="0" w:space="0" w:color="auto"/>
        <w:bottom w:val="none" w:sz="0" w:space="0" w:color="auto"/>
        <w:right w:val="none" w:sz="0" w:space="0" w:color="auto"/>
      </w:divBdr>
    </w:div>
    <w:div w:id="1938514727">
      <w:bodyDiv w:val="1"/>
      <w:marLeft w:val="0"/>
      <w:marRight w:val="0"/>
      <w:marTop w:val="0"/>
      <w:marBottom w:val="0"/>
      <w:divBdr>
        <w:top w:val="none" w:sz="0" w:space="0" w:color="auto"/>
        <w:left w:val="none" w:sz="0" w:space="0" w:color="auto"/>
        <w:bottom w:val="none" w:sz="0" w:space="0" w:color="auto"/>
        <w:right w:val="none" w:sz="0" w:space="0" w:color="auto"/>
      </w:divBdr>
      <w:divsChild>
        <w:div w:id="1319075004">
          <w:marLeft w:val="640"/>
          <w:marRight w:val="0"/>
          <w:marTop w:val="0"/>
          <w:marBottom w:val="0"/>
          <w:divBdr>
            <w:top w:val="none" w:sz="0" w:space="0" w:color="auto"/>
            <w:left w:val="none" w:sz="0" w:space="0" w:color="auto"/>
            <w:bottom w:val="none" w:sz="0" w:space="0" w:color="auto"/>
            <w:right w:val="none" w:sz="0" w:space="0" w:color="auto"/>
          </w:divBdr>
        </w:div>
        <w:div w:id="1776172612">
          <w:marLeft w:val="640"/>
          <w:marRight w:val="0"/>
          <w:marTop w:val="0"/>
          <w:marBottom w:val="0"/>
          <w:divBdr>
            <w:top w:val="none" w:sz="0" w:space="0" w:color="auto"/>
            <w:left w:val="none" w:sz="0" w:space="0" w:color="auto"/>
            <w:bottom w:val="none" w:sz="0" w:space="0" w:color="auto"/>
            <w:right w:val="none" w:sz="0" w:space="0" w:color="auto"/>
          </w:divBdr>
        </w:div>
        <w:div w:id="1072242500">
          <w:marLeft w:val="640"/>
          <w:marRight w:val="0"/>
          <w:marTop w:val="0"/>
          <w:marBottom w:val="0"/>
          <w:divBdr>
            <w:top w:val="none" w:sz="0" w:space="0" w:color="auto"/>
            <w:left w:val="none" w:sz="0" w:space="0" w:color="auto"/>
            <w:bottom w:val="none" w:sz="0" w:space="0" w:color="auto"/>
            <w:right w:val="none" w:sz="0" w:space="0" w:color="auto"/>
          </w:divBdr>
        </w:div>
        <w:div w:id="330722806">
          <w:marLeft w:val="640"/>
          <w:marRight w:val="0"/>
          <w:marTop w:val="0"/>
          <w:marBottom w:val="0"/>
          <w:divBdr>
            <w:top w:val="none" w:sz="0" w:space="0" w:color="auto"/>
            <w:left w:val="none" w:sz="0" w:space="0" w:color="auto"/>
            <w:bottom w:val="none" w:sz="0" w:space="0" w:color="auto"/>
            <w:right w:val="none" w:sz="0" w:space="0" w:color="auto"/>
          </w:divBdr>
        </w:div>
        <w:div w:id="291837259">
          <w:marLeft w:val="640"/>
          <w:marRight w:val="0"/>
          <w:marTop w:val="0"/>
          <w:marBottom w:val="0"/>
          <w:divBdr>
            <w:top w:val="none" w:sz="0" w:space="0" w:color="auto"/>
            <w:left w:val="none" w:sz="0" w:space="0" w:color="auto"/>
            <w:bottom w:val="none" w:sz="0" w:space="0" w:color="auto"/>
            <w:right w:val="none" w:sz="0" w:space="0" w:color="auto"/>
          </w:divBdr>
        </w:div>
        <w:div w:id="1507355573">
          <w:marLeft w:val="640"/>
          <w:marRight w:val="0"/>
          <w:marTop w:val="0"/>
          <w:marBottom w:val="0"/>
          <w:divBdr>
            <w:top w:val="none" w:sz="0" w:space="0" w:color="auto"/>
            <w:left w:val="none" w:sz="0" w:space="0" w:color="auto"/>
            <w:bottom w:val="none" w:sz="0" w:space="0" w:color="auto"/>
            <w:right w:val="none" w:sz="0" w:space="0" w:color="auto"/>
          </w:divBdr>
        </w:div>
        <w:div w:id="844126725">
          <w:marLeft w:val="640"/>
          <w:marRight w:val="0"/>
          <w:marTop w:val="0"/>
          <w:marBottom w:val="0"/>
          <w:divBdr>
            <w:top w:val="none" w:sz="0" w:space="0" w:color="auto"/>
            <w:left w:val="none" w:sz="0" w:space="0" w:color="auto"/>
            <w:bottom w:val="none" w:sz="0" w:space="0" w:color="auto"/>
            <w:right w:val="none" w:sz="0" w:space="0" w:color="auto"/>
          </w:divBdr>
        </w:div>
        <w:div w:id="227233424">
          <w:marLeft w:val="640"/>
          <w:marRight w:val="0"/>
          <w:marTop w:val="0"/>
          <w:marBottom w:val="0"/>
          <w:divBdr>
            <w:top w:val="none" w:sz="0" w:space="0" w:color="auto"/>
            <w:left w:val="none" w:sz="0" w:space="0" w:color="auto"/>
            <w:bottom w:val="none" w:sz="0" w:space="0" w:color="auto"/>
            <w:right w:val="none" w:sz="0" w:space="0" w:color="auto"/>
          </w:divBdr>
        </w:div>
        <w:div w:id="366877914">
          <w:marLeft w:val="640"/>
          <w:marRight w:val="0"/>
          <w:marTop w:val="0"/>
          <w:marBottom w:val="0"/>
          <w:divBdr>
            <w:top w:val="none" w:sz="0" w:space="0" w:color="auto"/>
            <w:left w:val="none" w:sz="0" w:space="0" w:color="auto"/>
            <w:bottom w:val="none" w:sz="0" w:space="0" w:color="auto"/>
            <w:right w:val="none" w:sz="0" w:space="0" w:color="auto"/>
          </w:divBdr>
        </w:div>
        <w:div w:id="1846555245">
          <w:marLeft w:val="640"/>
          <w:marRight w:val="0"/>
          <w:marTop w:val="0"/>
          <w:marBottom w:val="0"/>
          <w:divBdr>
            <w:top w:val="none" w:sz="0" w:space="0" w:color="auto"/>
            <w:left w:val="none" w:sz="0" w:space="0" w:color="auto"/>
            <w:bottom w:val="none" w:sz="0" w:space="0" w:color="auto"/>
            <w:right w:val="none" w:sz="0" w:space="0" w:color="auto"/>
          </w:divBdr>
        </w:div>
        <w:div w:id="510805273">
          <w:marLeft w:val="640"/>
          <w:marRight w:val="0"/>
          <w:marTop w:val="0"/>
          <w:marBottom w:val="0"/>
          <w:divBdr>
            <w:top w:val="none" w:sz="0" w:space="0" w:color="auto"/>
            <w:left w:val="none" w:sz="0" w:space="0" w:color="auto"/>
            <w:bottom w:val="none" w:sz="0" w:space="0" w:color="auto"/>
            <w:right w:val="none" w:sz="0" w:space="0" w:color="auto"/>
          </w:divBdr>
        </w:div>
        <w:div w:id="1860002963">
          <w:marLeft w:val="640"/>
          <w:marRight w:val="0"/>
          <w:marTop w:val="0"/>
          <w:marBottom w:val="0"/>
          <w:divBdr>
            <w:top w:val="none" w:sz="0" w:space="0" w:color="auto"/>
            <w:left w:val="none" w:sz="0" w:space="0" w:color="auto"/>
            <w:bottom w:val="none" w:sz="0" w:space="0" w:color="auto"/>
            <w:right w:val="none" w:sz="0" w:space="0" w:color="auto"/>
          </w:divBdr>
        </w:div>
        <w:div w:id="1917788704">
          <w:marLeft w:val="640"/>
          <w:marRight w:val="0"/>
          <w:marTop w:val="0"/>
          <w:marBottom w:val="0"/>
          <w:divBdr>
            <w:top w:val="none" w:sz="0" w:space="0" w:color="auto"/>
            <w:left w:val="none" w:sz="0" w:space="0" w:color="auto"/>
            <w:bottom w:val="none" w:sz="0" w:space="0" w:color="auto"/>
            <w:right w:val="none" w:sz="0" w:space="0" w:color="auto"/>
          </w:divBdr>
        </w:div>
        <w:div w:id="1231574286">
          <w:marLeft w:val="640"/>
          <w:marRight w:val="0"/>
          <w:marTop w:val="0"/>
          <w:marBottom w:val="0"/>
          <w:divBdr>
            <w:top w:val="none" w:sz="0" w:space="0" w:color="auto"/>
            <w:left w:val="none" w:sz="0" w:space="0" w:color="auto"/>
            <w:bottom w:val="none" w:sz="0" w:space="0" w:color="auto"/>
            <w:right w:val="none" w:sz="0" w:space="0" w:color="auto"/>
          </w:divBdr>
        </w:div>
        <w:div w:id="746197380">
          <w:marLeft w:val="640"/>
          <w:marRight w:val="0"/>
          <w:marTop w:val="0"/>
          <w:marBottom w:val="0"/>
          <w:divBdr>
            <w:top w:val="none" w:sz="0" w:space="0" w:color="auto"/>
            <w:left w:val="none" w:sz="0" w:space="0" w:color="auto"/>
            <w:bottom w:val="none" w:sz="0" w:space="0" w:color="auto"/>
            <w:right w:val="none" w:sz="0" w:space="0" w:color="auto"/>
          </w:divBdr>
        </w:div>
        <w:div w:id="1955674082">
          <w:marLeft w:val="640"/>
          <w:marRight w:val="0"/>
          <w:marTop w:val="0"/>
          <w:marBottom w:val="0"/>
          <w:divBdr>
            <w:top w:val="none" w:sz="0" w:space="0" w:color="auto"/>
            <w:left w:val="none" w:sz="0" w:space="0" w:color="auto"/>
            <w:bottom w:val="none" w:sz="0" w:space="0" w:color="auto"/>
            <w:right w:val="none" w:sz="0" w:space="0" w:color="auto"/>
          </w:divBdr>
        </w:div>
        <w:div w:id="1760443332">
          <w:marLeft w:val="640"/>
          <w:marRight w:val="0"/>
          <w:marTop w:val="0"/>
          <w:marBottom w:val="0"/>
          <w:divBdr>
            <w:top w:val="none" w:sz="0" w:space="0" w:color="auto"/>
            <w:left w:val="none" w:sz="0" w:space="0" w:color="auto"/>
            <w:bottom w:val="none" w:sz="0" w:space="0" w:color="auto"/>
            <w:right w:val="none" w:sz="0" w:space="0" w:color="auto"/>
          </w:divBdr>
        </w:div>
        <w:div w:id="1969430358">
          <w:marLeft w:val="640"/>
          <w:marRight w:val="0"/>
          <w:marTop w:val="0"/>
          <w:marBottom w:val="0"/>
          <w:divBdr>
            <w:top w:val="none" w:sz="0" w:space="0" w:color="auto"/>
            <w:left w:val="none" w:sz="0" w:space="0" w:color="auto"/>
            <w:bottom w:val="none" w:sz="0" w:space="0" w:color="auto"/>
            <w:right w:val="none" w:sz="0" w:space="0" w:color="auto"/>
          </w:divBdr>
        </w:div>
        <w:div w:id="697973889">
          <w:marLeft w:val="640"/>
          <w:marRight w:val="0"/>
          <w:marTop w:val="0"/>
          <w:marBottom w:val="0"/>
          <w:divBdr>
            <w:top w:val="none" w:sz="0" w:space="0" w:color="auto"/>
            <w:left w:val="none" w:sz="0" w:space="0" w:color="auto"/>
            <w:bottom w:val="none" w:sz="0" w:space="0" w:color="auto"/>
            <w:right w:val="none" w:sz="0" w:space="0" w:color="auto"/>
          </w:divBdr>
        </w:div>
        <w:div w:id="1295989280">
          <w:marLeft w:val="640"/>
          <w:marRight w:val="0"/>
          <w:marTop w:val="0"/>
          <w:marBottom w:val="0"/>
          <w:divBdr>
            <w:top w:val="none" w:sz="0" w:space="0" w:color="auto"/>
            <w:left w:val="none" w:sz="0" w:space="0" w:color="auto"/>
            <w:bottom w:val="none" w:sz="0" w:space="0" w:color="auto"/>
            <w:right w:val="none" w:sz="0" w:space="0" w:color="auto"/>
          </w:divBdr>
        </w:div>
        <w:div w:id="24261008">
          <w:marLeft w:val="640"/>
          <w:marRight w:val="0"/>
          <w:marTop w:val="0"/>
          <w:marBottom w:val="0"/>
          <w:divBdr>
            <w:top w:val="none" w:sz="0" w:space="0" w:color="auto"/>
            <w:left w:val="none" w:sz="0" w:space="0" w:color="auto"/>
            <w:bottom w:val="none" w:sz="0" w:space="0" w:color="auto"/>
            <w:right w:val="none" w:sz="0" w:space="0" w:color="auto"/>
          </w:divBdr>
        </w:div>
        <w:div w:id="22244283">
          <w:marLeft w:val="640"/>
          <w:marRight w:val="0"/>
          <w:marTop w:val="0"/>
          <w:marBottom w:val="0"/>
          <w:divBdr>
            <w:top w:val="none" w:sz="0" w:space="0" w:color="auto"/>
            <w:left w:val="none" w:sz="0" w:space="0" w:color="auto"/>
            <w:bottom w:val="none" w:sz="0" w:space="0" w:color="auto"/>
            <w:right w:val="none" w:sz="0" w:space="0" w:color="auto"/>
          </w:divBdr>
        </w:div>
        <w:div w:id="151022685">
          <w:marLeft w:val="640"/>
          <w:marRight w:val="0"/>
          <w:marTop w:val="0"/>
          <w:marBottom w:val="0"/>
          <w:divBdr>
            <w:top w:val="none" w:sz="0" w:space="0" w:color="auto"/>
            <w:left w:val="none" w:sz="0" w:space="0" w:color="auto"/>
            <w:bottom w:val="none" w:sz="0" w:space="0" w:color="auto"/>
            <w:right w:val="none" w:sz="0" w:space="0" w:color="auto"/>
          </w:divBdr>
        </w:div>
        <w:div w:id="1232890635">
          <w:marLeft w:val="640"/>
          <w:marRight w:val="0"/>
          <w:marTop w:val="0"/>
          <w:marBottom w:val="0"/>
          <w:divBdr>
            <w:top w:val="none" w:sz="0" w:space="0" w:color="auto"/>
            <w:left w:val="none" w:sz="0" w:space="0" w:color="auto"/>
            <w:bottom w:val="none" w:sz="0" w:space="0" w:color="auto"/>
            <w:right w:val="none" w:sz="0" w:space="0" w:color="auto"/>
          </w:divBdr>
        </w:div>
        <w:div w:id="1075591755">
          <w:marLeft w:val="640"/>
          <w:marRight w:val="0"/>
          <w:marTop w:val="0"/>
          <w:marBottom w:val="0"/>
          <w:divBdr>
            <w:top w:val="none" w:sz="0" w:space="0" w:color="auto"/>
            <w:left w:val="none" w:sz="0" w:space="0" w:color="auto"/>
            <w:bottom w:val="none" w:sz="0" w:space="0" w:color="auto"/>
            <w:right w:val="none" w:sz="0" w:space="0" w:color="auto"/>
          </w:divBdr>
        </w:div>
      </w:divsChild>
    </w:div>
    <w:div w:id="1940143182">
      <w:bodyDiv w:val="1"/>
      <w:marLeft w:val="0"/>
      <w:marRight w:val="0"/>
      <w:marTop w:val="0"/>
      <w:marBottom w:val="0"/>
      <w:divBdr>
        <w:top w:val="none" w:sz="0" w:space="0" w:color="auto"/>
        <w:left w:val="none" w:sz="0" w:space="0" w:color="auto"/>
        <w:bottom w:val="none" w:sz="0" w:space="0" w:color="auto"/>
        <w:right w:val="none" w:sz="0" w:space="0" w:color="auto"/>
      </w:divBdr>
    </w:div>
    <w:div w:id="1998528731">
      <w:bodyDiv w:val="1"/>
      <w:marLeft w:val="0"/>
      <w:marRight w:val="0"/>
      <w:marTop w:val="0"/>
      <w:marBottom w:val="0"/>
      <w:divBdr>
        <w:top w:val="none" w:sz="0" w:space="0" w:color="auto"/>
        <w:left w:val="none" w:sz="0" w:space="0" w:color="auto"/>
        <w:bottom w:val="none" w:sz="0" w:space="0" w:color="auto"/>
        <w:right w:val="none" w:sz="0" w:space="0" w:color="auto"/>
      </w:divBdr>
    </w:div>
    <w:div w:id="2050571198">
      <w:bodyDiv w:val="1"/>
      <w:marLeft w:val="0"/>
      <w:marRight w:val="0"/>
      <w:marTop w:val="0"/>
      <w:marBottom w:val="0"/>
      <w:divBdr>
        <w:top w:val="none" w:sz="0" w:space="0" w:color="auto"/>
        <w:left w:val="none" w:sz="0" w:space="0" w:color="auto"/>
        <w:bottom w:val="none" w:sz="0" w:space="0" w:color="auto"/>
        <w:right w:val="none" w:sz="0" w:space="0" w:color="auto"/>
      </w:divBdr>
    </w:div>
    <w:div w:id="2057779475">
      <w:bodyDiv w:val="1"/>
      <w:marLeft w:val="0"/>
      <w:marRight w:val="0"/>
      <w:marTop w:val="0"/>
      <w:marBottom w:val="0"/>
      <w:divBdr>
        <w:top w:val="none" w:sz="0" w:space="0" w:color="auto"/>
        <w:left w:val="none" w:sz="0" w:space="0" w:color="auto"/>
        <w:bottom w:val="none" w:sz="0" w:space="0" w:color="auto"/>
        <w:right w:val="none" w:sz="0" w:space="0" w:color="auto"/>
      </w:divBdr>
      <w:divsChild>
        <w:div w:id="598221280">
          <w:marLeft w:val="640"/>
          <w:marRight w:val="0"/>
          <w:marTop w:val="0"/>
          <w:marBottom w:val="0"/>
          <w:divBdr>
            <w:top w:val="none" w:sz="0" w:space="0" w:color="auto"/>
            <w:left w:val="none" w:sz="0" w:space="0" w:color="auto"/>
            <w:bottom w:val="none" w:sz="0" w:space="0" w:color="auto"/>
            <w:right w:val="none" w:sz="0" w:space="0" w:color="auto"/>
          </w:divBdr>
        </w:div>
        <w:div w:id="540750480">
          <w:marLeft w:val="640"/>
          <w:marRight w:val="0"/>
          <w:marTop w:val="0"/>
          <w:marBottom w:val="0"/>
          <w:divBdr>
            <w:top w:val="none" w:sz="0" w:space="0" w:color="auto"/>
            <w:left w:val="none" w:sz="0" w:space="0" w:color="auto"/>
            <w:bottom w:val="none" w:sz="0" w:space="0" w:color="auto"/>
            <w:right w:val="none" w:sz="0" w:space="0" w:color="auto"/>
          </w:divBdr>
        </w:div>
        <w:div w:id="1523402178">
          <w:marLeft w:val="640"/>
          <w:marRight w:val="0"/>
          <w:marTop w:val="0"/>
          <w:marBottom w:val="0"/>
          <w:divBdr>
            <w:top w:val="none" w:sz="0" w:space="0" w:color="auto"/>
            <w:left w:val="none" w:sz="0" w:space="0" w:color="auto"/>
            <w:bottom w:val="none" w:sz="0" w:space="0" w:color="auto"/>
            <w:right w:val="none" w:sz="0" w:space="0" w:color="auto"/>
          </w:divBdr>
        </w:div>
        <w:div w:id="1165896663">
          <w:marLeft w:val="640"/>
          <w:marRight w:val="0"/>
          <w:marTop w:val="0"/>
          <w:marBottom w:val="0"/>
          <w:divBdr>
            <w:top w:val="none" w:sz="0" w:space="0" w:color="auto"/>
            <w:left w:val="none" w:sz="0" w:space="0" w:color="auto"/>
            <w:bottom w:val="none" w:sz="0" w:space="0" w:color="auto"/>
            <w:right w:val="none" w:sz="0" w:space="0" w:color="auto"/>
          </w:divBdr>
        </w:div>
        <w:div w:id="2036032181">
          <w:marLeft w:val="640"/>
          <w:marRight w:val="0"/>
          <w:marTop w:val="0"/>
          <w:marBottom w:val="0"/>
          <w:divBdr>
            <w:top w:val="none" w:sz="0" w:space="0" w:color="auto"/>
            <w:left w:val="none" w:sz="0" w:space="0" w:color="auto"/>
            <w:bottom w:val="none" w:sz="0" w:space="0" w:color="auto"/>
            <w:right w:val="none" w:sz="0" w:space="0" w:color="auto"/>
          </w:divBdr>
        </w:div>
        <w:div w:id="1800493759">
          <w:marLeft w:val="640"/>
          <w:marRight w:val="0"/>
          <w:marTop w:val="0"/>
          <w:marBottom w:val="0"/>
          <w:divBdr>
            <w:top w:val="none" w:sz="0" w:space="0" w:color="auto"/>
            <w:left w:val="none" w:sz="0" w:space="0" w:color="auto"/>
            <w:bottom w:val="none" w:sz="0" w:space="0" w:color="auto"/>
            <w:right w:val="none" w:sz="0" w:space="0" w:color="auto"/>
          </w:divBdr>
        </w:div>
        <w:div w:id="119228164">
          <w:marLeft w:val="640"/>
          <w:marRight w:val="0"/>
          <w:marTop w:val="0"/>
          <w:marBottom w:val="0"/>
          <w:divBdr>
            <w:top w:val="none" w:sz="0" w:space="0" w:color="auto"/>
            <w:left w:val="none" w:sz="0" w:space="0" w:color="auto"/>
            <w:bottom w:val="none" w:sz="0" w:space="0" w:color="auto"/>
            <w:right w:val="none" w:sz="0" w:space="0" w:color="auto"/>
          </w:divBdr>
        </w:div>
        <w:div w:id="2004620698">
          <w:marLeft w:val="640"/>
          <w:marRight w:val="0"/>
          <w:marTop w:val="0"/>
          <w:marBottom w:val="0"/>
          <w:divBdr>
            <w:top w:val="none" w:sz="0" w:space="0" w:color="auto"/>
            <w:left w:val="none" w:sz="0" w:space="0" w:color="auto"/>
            <w:bottom w:val="none" w:sz="0" w:space="0" w:color="auto"/>
            <w:right w:val="none" w:sz="0" w:space="0" w:color="auto"/>
          </w:divBdr>
        </w:div>
        <w:div w:id="968168370">
          <w:marLeft w:val="640"/>
          <w:marRight w:val="0"/>
          <w:marTop w:val="0"/>
          <w:marBottom w:val="0"/>
          <w:divBdr>
            <w:top w:val="none" w:sz="0" w:space="0" w:color="auto"/>
            <w:left w:val="none" w:sz="0" w:space="0" w:color="auto"/>
            <w:bottom w:val="none" w:sz="0" w:space="0" w:color="auto"/>
            <w:right w:val="none" w:sz="0" w:space="0" w:color="auto"/>
          </w:divBdr>
        </w:div>
        <w:div w:id="479615202">
          <w:marLeft w:val="640"/>
          <w:marRight w:val="0"/>
          <w:marTop w:val="0"/>
          <w:marBottom w:val="0"/>
          <w:divBdr>
            <w:top w:val="none" w:sz="0" w:space="0" w:color="auto"/>
            <w:left w:val="none" w:sz="0" w:space="0" w:color="auto"/>
            <w:bottom w:val="none" w:sz="0" w:space="0" w:color="auto"/>
            <w:right w:val="none" w:sz="0" w:space="0" w:color="auto"/>
          </w:divBdr>
        </w:div>
        <w:div w:id="173695318">
          <w:marLeft w:val="640"/>
          <w:marRight w:val="0"/>
          <w:marTop w:val="0"/>
          <w:marBottom w:val="0"/>
          <w:divBdr>
            <w:top w:val="none" w:sz="0" w:space="0" w:color="auto"/>
            <w:left w:val="none" w:sz="0" w:space="0" w:color="auto"/>
            <w:bottom w:val="none" w:sz="0" w:space="0" w:color="auto"/>
            <w:right w:val="none" w:sz="0" w:space="0" w:color="auto"/>
          </w:divBdr>
        </w:div>
        <w:div w:id="953483371">
          <w:marLeft w:val="640"/>
          <w:marRight w:val="0"/>
          <w:marTop w:val="0"/>
          <w:marBottom w:val="0"/>
          <w:divBdr>
            <w:top w:val="none" w:sz="0" w:space="0" w:color="auto"/>
            <w:left w:val="none" w:sz="0" w:space="0" w:color="auto"/>
            <w:bottom w:val="none" w:sz="0" w:space="0" w:color="auto"/>
            <w:right w:val="none" w:sz="0" w:space="0" w:color="auto"/>
          </w:divBdr>
        </w:div>
        <w:div w:id="416488441">
          <w:marLeft w:val="640"/>
          <w:marRight w:val="0"/>
          <w:marTop w:val="0"/>
          <w:marBottom w:val="0"/>
          <w:divBdr>
            <w:top w:val="none" w:sz="0" w:space="0" w:color="auto"/>
            <w:left w:val="none" w:sz="0" w:space="0" w:color="auto"/>
            <w:bottom w:val="none" w:sz="0" w:space="0" w:color="auto"/>
            <w:right w:val="none" w:sz="0" w:space="0" w:color="auto"/>
          </w:divBdr>
        </w:div>
        <w:div w:id="507866501">
          <w:marLeft w:val="640"/>
          <w:marRight w:val="0"/>
          <w:marTop w:val="0"/>
          <w:marBottom w:val="0"/>
          <w:divBdr>
            <w:top w:val="none" w:sz="0" w:space="0" w:color="auto"/>
            <w:left w:val="none" w:sz="0" w:space="0" w:color="auto"/>
            <w:bottom w:val="none" w:sz="0" w:space="0" w:color="auto"/>
            <w:right w:val="none" w:sz="0" w:space="0" w:color="auto"/>
          </w:divBdr>
        </w:div>
        <w:div w:id="533227397">
          <w:marLeft w:val="640"/>
          <w:marRight w:val="0"/>
          <w:marTop w:val="0"/>
          <w:marBottom w:val="0"/>
          <w:divBdr>
            <w:top w:val="none" w:sz="0" w:space="0" w:color="auto"/>
            <w:left w:val="none" w:sz="0" w:space="0" w:color="auto"/>
            <w:bottom w:val="none" w:sz="0" w:space="0" w:color="auto"/>
            <w:right w:val="none" w:sz="0" w:space="0" w:color="auto"/>
          </w:divBdr>
        </w:div>
        <w:div w:id="305668063">
          <w:marLeft w:val="640"/>
          <w:marRight w:val="0"/>
          <w:marTop w:val="0"/>
          <w:marBottom w:val="0"/>
          <w:divBdr>
            <w:top w:val="none" w:sz="0" w:space="0" w:color="auto"/>
            <w:left w:val="none" w:sz="0" w:space="0" w:color="auto"/>
            <w:bottom w:val="none" w:sz="0" w:space="0" w:color="auto"/>
            <w:right w:val="none" w:sz="0" w:space="0" w:color="auto"/>
          </w:divBdr>
        </w:div>
        <w:div w:id="1335449131">
          <w:marLeft w:val="640"/>
          <w:marRight w:val="0"/>
          <w:marTop w:val="0"/>
          <w:marBottom w:val="0"/>
          <w:divBdr>
            <w:top w:val="none" w:sz="0" w:space="0" w:color="auto"/>
            <w:left w:val="none" w:sz="0" w:space="0" w:color="auto"/>
            <w:bottom w:val="none" w:sz="0" w:space="0" w:color="auto"/>
            <w:right w:val="none" w:sz="0" w:space="0" w:color="auto"/>
          </w:divBdr>
        </w:div>
        <w:div w:id="1383942578">
          <w:marLeft w:val="640"/>
          <w:marRight w:val="0"/>
          <w:marTop w:val="0"/>
          <w:marBottom w:val="0"/>
          <w:divBdr>
            <w:top w:val="none" w:sz="0" w:space="0" w:color="auto"/>
            <w:left w:val="none" w:sz="0" w:space="0" w:color="auto"/>
            <w:bottom w:val="none" w:sz="0" w:space="0" w:color="auto"/>
            <w:right w:val="none" w:sz="0" w:space="0" w:color="auto"/>
          </w:divBdr>
        </w:div>
        <w:div w:id="1393888482">
          <w:marLeft w:val="640"/>
          <w:marRight w:val="0"/>
          <w:marTop w:val="0"/>
          <w:marBottom w:val="0"/>
          <w:divBdr>
            <w:top w:val="none" w:sz="0" w:space="0" w:color="auto"/>
            <w:left w:val="none" w:sz="0" w:space="0" w:color="auto"/>
            <w:bottom w:val="none" w:sz="0" w:space="0" w:color="auto"/>
            <w:right w:val="none" w:sz="0" w:space="0" w:color="auto"/>
          </w:divBdr>
        </w:div>
        <w:div w:id="1069307972">
          <w:marLeft w:val="640"/>
          <w:marRight w:val="0"/>
          <w:marTop w:val="0"/>
          <w:marBottom w:val="0"/>
          <w:divBdr>
            <w:top w:val="none" w:sz="0" w:space="0" w:color="auto"/>
            <w:left w:val="none" w:sz="0" w:space="0" w:color="auto"/>
            <w:bottom w:val="none" w:sz="0" w:space="0" w:color="auto"/>
            <w:right w:val="none" w:sz="0" w:space="0" w:color="auto"/>
          </w:divBdr>
        </w:div>
        <w:div w:id="1010790384">
          <w:marLeft w:val="640"/>
          <w:marRight w:val="0"/>
          <w:marTop w:val="0"/>
          <w:marBottom w:val="0"/>
          <w:divBdr>
            <w:top w:val="none" w:sz="0" w:space="0" w:color="auto"/>
            <w:left w:val="none" w:sz="0" w:space="0" w:color="auto"/>
            <w:bottom w:val="none" w:sz="0" w:space="0" w:color="auto"/>
            <w:right w:val="none" w:sz="0" w:space="0" w:color="auto"/>
          </w:divBdr>
        </w:div>
        <w:div w:id="1872912447">
          <w:marLeft w:val="640"/>
          <w:marRight w:val="0"/>
          <w:marTop w:val="0"/>
          <w:marBottom w:val="0"/>
          <w:divBdr>
            <w:top w:val="none" w:sz="0" w:space="0" w:color="auto"/>
            <w:left w:val="none" w:sz="0" w:space="0" w:color="auto"/>
            <w:bottom w:val="none" w:sz="0" w:space="0" w:color="auto"/>
            <w:right w:val="none" w:sz="0" w:space="0" w:color="auto"/>
          </w:divBdr>
        </w:div>
        <w:div w:id="1756048893">
          <w:marLeft w:val="640"/>
          <w:marRight w:val="0"/>
          <w:marTop w:val="0"/>
          <w:marBottom w:val="0"/>
          <w:divBdr>
            <w:top w:val="none" w:sz="0" w:space="0" w:color="auto"/>
            <w:left w:val="none" w:sz="0" w:space="0" w:color="auto"/>
            <w:bottom w:val="none" w:sz="0" w:space="0" w:color="auto"/>
            <w:right w:val="none" w:sz="0" w:space="0" w:color="auto"/>
          </w:divBdr>
        </w:div>
        <w:div w:id="1476337996">
          <w:marLeft w:val="640"/>
          <w:marRight w:val="0"/>
          <w:marTop w:val="0"/>
          <w:marBottom w:val="0"/>
          <w:divBdr>
            <w:top w:val="none" w:sz="0" w:space="0" w:color="auto"/>
            <w:left w:val="none" w:sz="0" w:space="0" w:color="auto"/>
            <w:bottom w:val="none" w:sz="0" w:space="0" w:color="auto"/>
            <w:right w:val="none" w:sz="0" w:space="0" w:color="auto"/>
          </w:divBdr>
        </w:div>
        <w:div w:id="2133015336">
          <w:marLeft w:val="640"/>
          <w:marRight w:val="0"/>
          <w:marTop w:val="0"/>
          <w:marBottom w:val="0"/>
          <w:divBdr>
            <w:top w:val="none" w:sz="0" w:space="0" w:color="auto"/>
            <w:left w:val="none" w:sz="0" w:space="0" w:color="auto"/>
            <w:bottom w:val="none" w:sz="0" w:space="0" w:color="auto"/>
            <w:right w:val="none" w:sz="0" w:space="0" w:color="auto"/>
          </w:divBdr>
        </w:div>
        <w:div w:id="2079086139">
          <w:marLeft w:val="640"/>
          <w:marRight w:val="0"/>
          <w:marTop w:val="0"/>
          <w:marBottom w:val="0"/>
          <w:divBdr>
            <w:top w:val="none" w:sz="0" w:space="0" w:color="auto"/>
            <w:left w:val="none" w:sz="0" w:space="0" w:color="auto"/>
            <w:bottom w:val="none" w:sz="0" w:space="0" w:color="auto"/>
            <w:right w:val="none" w:sz="0" w:space="0" w:color="auto"/>
          </w:divBdr>
        </w:div>
        <w:div w:id="796722246">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159/000197897"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alcolea@santpau.cat" TargetMode="External"/><Relationship Id="rId17" Type="http://schemas.openxmlformats.org/officeDocument/2006/relationships/hyperlink" Target="https://doi.org/10.1016/j.jalz.2018.05.008" TargetMode="External"/><Relationship Id="rId2" Type="http://schemas.openxmlformats.org/officeDocument/2006/relationships/numbering" Target="numbering.xml"/><Relationship Id="rId16" Type="http://schemas.openxmlformats.org/officeDocument/2006/relationships/hyperlink" Target="file:///\\dspau.santpau.es\W\MTONDO\info\Mis%20documentos\Proteines\Biomarcadors%20Alzheimer\Estudi%20plasma%202022\Estudi%20estabilitat%20fresh%20vs%20frozen\doi.org\10.1038\nrneurol.2010.214"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tondo@santpau.cat" TargetMode="External"/><Relationship Id="rId5" Type="http://schemas.openxmlformats.org/officeDocument/2006/relationships/webSettings" Target="webSettings.xml"/><Relationship Id="rId15" Type="http://schemas.openxmlformats.org/officeDocument/2006/relationships/hyperlink" Target="https://doi.org/10.1016/j.jalz.2018.02.018" TargetMode="Externa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016/s2468-2667(21)00249-8" TargetMode="External"/><Relationship Id="rId22" Type="http://schemas.microsoft.com/office/2018/08/relationships/commentsExtensible" Target="commentsExtensible.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42"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456963-7FDD-4E25-9199-7CFCED620170}">
  <we:reference id="wa104382081" version="1.35.0.0" store="es-ES" storeType="OMEX"/>
  <we:alternateReferences>
    <we:reference id="wa104382081" version="1.35.0.0" store="" storeType="OMEX"/>
  </we:alternateReferences>
  <we:properties>
    <we:property name="MENDELEY_CITATIONS" value="[{&quot;citationID&quot;:&quot;MENDELEY_CITATION_33e6f189-bdcc-4b32-9e57-6ba37d51cd97&quot;,&quot;properties&quot;:{&quot;noteIndex&quot;:0},&quot;isEdited&quot;:false,&quot;manualOverride&quot;:{&quot;isManuallyOverridden&quot;:false,&quot;citeprocText&quot;:&quot;[1]&quot;,&quot;manualOverrideText&quot;:&quot;&quot;},&quot;citationItems&quot;:[{&quot;id&quot;:&quot;ec62faaf-f7ad-3573-9c46-cfda8f75ad67&quot;,&quot;itemData&quot;:{&quot;type&quot;:&quot;article-journal&quot;,&quot;id&quot;:&quot;ec62faaf-f7ad-3573-9c46-cfda8f75ad67&quot;,&quot;title&quot;:&quot;Clinical investigations in primary care&quot;,&quot;author&quot;:[{&quot;family&quot;:&quot;Cruz de Souza&quot;,&quot;given&quot;:&quot;Leonardo&quot;,&quot;parse-names&quot;:false,&quot;dropping-particle&quot;:&quot;&quot;,&quot;non-dropping-particle&quot;:&quot;&quot;},{&quot;family&quot;:&quot;Sarazin&quot;,&quot;given&quot;:&quot;Marie&quot;,&quot;parse-names&quot;:false,&quot;dropping-particle&quot;:&quot;&quot;,&quot;non-dropping-particle&quot;:&quot;&quot;},{&quot;family&quot;:&quot;Goetz&quot;,&quot;given&quot;:&quot;Celine&quot;,&quot;parse-names&quot;:false,&quot;dropping-particle&quot;:&quot;&quot;,&quot;non-dropping-particle&quot;:&quot;&quot;},{&quot;family&quot;:&quot;Dubois&quot;,&quot;given&quot;:&quot;Bruno&quot;,&quot;parse-names&quot;:false,&quot;dropping-particle&quot;:&quot;&quot;,&quot;non-dropping-particle&quot;:&quot;&quot;}],&quot;container-title&quot;:&quot;Front Neurol Neurosci &quot;,&quot;issued&quot;:{&quot;date-parts&quot;:[[2009]]},&quot;page&quot;:&quot;1-11&quot;,&quot;abstract&quot;:&quot;Alzheimer's disease (AD) is a progressive neurodegenerative disorder that represents the most common form of dementia. The most prominent feature of AD is the decline in cognitive function, with an early impairment of episodic memory. The memory deficit of an AD patient is characterized by the amnestic syndrome of the medial temporal type. As the disease progresses, the condition often manifests in language disorders, visuospatial deficits and executive dysfunctions. Patients often have neuropsychiatric disturbances, as apathy and psychotic symptoms. Loss of autonomy follows cognitive impairment. The clinical diagnosis of AD is based on a complete medical examination with a neuropsychological evaluation. The FCSRT (free and cued selective reminding test) is recommended for the identification of the amnestic syndrome of the medial temporal type, which is defined by: (1) a very poor free recall and (2) a decreased total recall due to an insufficient effect of cueing. The neuropsychological tests should also assess other cognitive functions that may be perturbed in AD, such as executive functions, praxis, visuospatial capacities and language. Neuroimaging and biological exams (genetics, biomarkers) are of great utility in the evaluation. Other medical, neurological, or psychiatric disorders which could account for the impairment in memory and related symptoms must be always investigated.&quot;,&quot;volume&quot;:&quot;24&quot;,&quot;expandedJournalTitle&quot;:&quot;Front Neurol Neurosci &quot;},&quot;isTemporary&quot;:false}],&quot;citationTag&quot;:&quot;MENDELEY_CITATION_v3_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&quot;},{&quot;citationID&quot;:&quot;MENDELEY_CITATION_00f74ab4-1471-4c9c-a1c6-9d61a4b8db9d&quot;,&quot;properties&quot;:{&quot;noteIndex&quot;:0},&quot;isEdited&quot;:false,&quot;manualOverride&quot;:{&quot;isManuallyOverridden&quot;:false,&quot;citeprocText&quot;:&quot;[2,3]&quot;,&quot;manualOverrideText&quot;:&quot;&quot;},&quot;citationItems&quot;:[{&quot;id&quot;:&quot;7376905b-3b05-325f-bbc6-132ba248d783&quot;,&quot;itemData&quot;:{&quot;type&quot;:&quot;article&quot;,&quot;id&quot;:&quot;7376905b-3b05-325f-bbc6-132ba248d783&quot;,&quot;title&quot;:&quot;NIA-AA Research Framework: Toward a biological definition of Alzheimer's disease&quot;,&quot;author&quot;:[{&quot;family&quot;:&quot;Jack&quot;,&quot;given&quot;:&quot;Clifford R.&quot;,&quot;parse-names&quot;:false,&quot;dropping-particle&quot;:&quot;&quot;,&quot;non-dropping-particle&quot;:&quot;&quot;},{&quot;family&quot;:&quot;Bennett&quot;,&quot;given&quot;:&quot;David A.&quot;,&quot;parse-names&quot;:false,&quot;dropping-particle&quot;:&quot;&quot;,&quot;non-dropping-particle&quot;:&quot;&quot;},{&quot;family&quot;:&quot;Blennow&quot;,&quot;given&quot;:&quot;Kaj&quot;,&quot;parse-names&quot;:false,&quot;dropping-particle&quot;:&quot;&quot;,&quot;non-dropping-particle&quot;:&quot;&quot;},{&quot;family&quot;:&quot;Carrillo&quot;,&quot;given&quot;:&quot;Maria C.&quot;,&quot;parse-names&quot;:false,&quot;dropping-particle&quot;:&quot;&quot;,&quot;non-dropping-particle&quot;:&quot;&quot;},{&quot;family&quot;:&quot;Dunn&quot;,&quot;given&quot;:&quot;Billy&quot;,&quot;parse-names&quot;:false,&quot;dropping-particle&quot;:&quot;&quot;,&quot;non-dropping-particle&quot;:&quot;&quot;},{&quot;family&quot;:&quot;Haeberlein&quot;,&quot;given&quot;:&quot;Samantha Budd&quot;,&quot;parse-names&quot;:false,&quot;dropping-particle&quot;:&quot;&quot;,&quot;non-dropping-particle&quot;:&quot;&quot;},{&quot;family&quot;:&quot;Holtzman&quot;,&quot;given&quot;:&quot;David M.&quot;,&quot;parse-names&quot;:false,&quot;dropping-particle&quot;:&quot;&quot;,&quot;non-dropping-particle&quot;:&quot;&quot;},{&quot;family&quot;:&quot;Jagust&quot;,&quot;given&quot;:&quot;William&quot;,&quot;parse-names&quot;:false,&quot;dropping-particle&quot;:&quot;&quot;,&quot;non-dropping-particle&quot;:&quot;&quot;},{&quot;family&quot;:&quot;Jessen&quot;,&quot;given&quot;:&quot;Frank&quot;,&quot;parse-names&quot;:false,&quot;dropping-particle&quot;:&quot;&quot;,&quot;non-dropping-particle&quot;:&quot;&quot;},{&quot;family&quot;:&quot;Karlawish&quot;,&quot;given&quot;:&quot;Jason&quot;,&quot;parse-names&quot;:false,&quot;dropping-particle&quot;:&quot;&quot;,&quot;non-dropping-particle&quot;:&quot;&quot;},{&quot;family&quot;:&quot;Liu&quot;,&quot;given&quot;:&quot;Enchi&quot;,&quot;parse-names&quot;:false,&quot;dropping-particle&quot;:&quot;&quot;,&quot;non-dropping-particle&quot;:&quot;&quot;},{&quot;family&quot;:&quot;Molinuevo&quot;,&quot;given&quot;:&quot;Jose Luis&quot;,&quot;parse-names&quot;:false,&quot;dropping-particle&quot;:&quot;&quot;,&quot;non-dropping-particle&quot;:&quot;&quot;},{&quot;family&quot;:&quot;Montine&quot;,&quot;given&quot;:&quot;Thomas&quot;,&quot;parse-names&quot;:false,&quot;dropping-particle&quot;:&quot;&quot;,&quot;non-dropping-particle&quot;:&quot;&quot;},{&quot;family&quot;:&quot;Phelps&quot;,&quot;given&quot;:&quot;Creighton&quot;,&quot;parse-names&quot;:false,&quot;dropping-particle&quot;:&quot;&quot;,&quot;non-dropping-particle&quot;:&quot;&quot;},{&quot;family&quot;:&quot;Rankin&quot;,&quot;given&quot;:&quot;Katherine P.&quot;,&quot;parse-names&quot;:false,&quot;dropping-particle&quot;:&quot;&quot;,&quot;non-dropping-particle&quot;:&quot;&quot;},{&quot;family&quot;:&quot;Rowe&quot;,&quot;given&quot;:&quot;Christopher C.&quot;,&quot;parse-names&quot;:false,&quot;dropping-particle&quot;:&quot;&quot;,&quot;non-dropping-particle&quot;:&quot;&quot;},{&quot;family&quot;:&quot;Scheltens&quot;,&quot;given&quot;:&quot;Philip&quot;,&quot;parse-names&quot;:false,&quot;dropping-particle&quot;:&quot;&quot;,&quot;non-dropping-particle&quot;:&quot;&quot;},{&quot;family&quot;:&quot;Siemers&quot;,&quot;given&quot;:&quot;Eric&quot;,&quot;parse-names&quot;:false,&quot;dropping-particle&quot;:&quot;&quot;,&quot;non-dropping-particle&quot;:&quot;&quot;},{&quot;family&quot;:&quot;Snyder&quot;,&quot;given&quot;:&quot;Heather M.&quot;,&quot;parse-names&quot;:false,&quot;dropping-particle&quot;:&quot;&quot;,&quot;non-dropping-particle&quot;:&quot;&quot;},{&quot;family&quot;:&quot;Sperling&quot;,&quot;given&quot;:&quot;Reisa&quot;,&quot;parse-names&quot;:false,&quot;dropping-particle&quot;:&quot;&quot;,&quot;non-dropping-particle&quot;:&quot;&quot;},{&quot;family&quot;:&quot;Elliott&quot;,&quot;given&quot;:&quot;Cerise&quot;,&quot;parse-names&quot;:false,&quot;dropping-particle&quot;:&quot;&quot;,&quot;non-dropping-particle&quot;:&quot;&quot;},{&quot;family&quot;:&quot;Masliah&quot;,&quot;given&quot;:&quot;Eliezer&quot;,&quot;parse-names&quot;:false,&quot;dropping-particle&quot;:&quot;&quot;,&quot;non-dropping-particle&quot;:&quot;&quot;},{&quot;family&quot;:&quot;Ryan&quot;,&quot;given&quot;:&quot;Laurie&quot;,&quot;parse-names&quot;:false,&quot;dropping-particle&quot;:&quot;&quot;,&quot;non-dropping-particle&quot;:&quot;&quot;},{&quot;family&quot;:&quot;Silverberg&quot;,&quot;given&quot;:&quot;Nina&quot;,&quot;parse-names&quot;:false,&quot;dropping-particle&quot;:&quot;&quot;,&quot;non-dropping-particle&quot;:&quot;&quot;}],&quot;container-title&quot;:&quot;Alzheimer's and Dementia&quot;,&quot;DOI&quot;:&quot;10.1016/j.jalz.2018.02.018&quot;,&quot;ISSN&quot;:&quot;15525279&quot;,&quot;PMID&quot;:&quot;29653606&quot;,&quot;issued&quot;:{&quot;date-parts&quot;:[[2018,4,1]]},&quot;page&quot;:&quot;535-562&quot;,&quot;abstract&quot;:&quot;In 2011, the National Institute on Aging and Alzheimer's Association created separate diagnostic recommendations for the preclinical, mild cognitive impairment, and dementia stages of Alzheimer's disease. Scientific progress in the interim led to an initiative by the National Institute on Aging and Alzheimer's Association to update and unify the 2011 guidelines. This unifying update is labeled a “research framework” because its intended use is for observational and interventional research, not routine clinical care. In the National Institute on Aging and Alzheimer's Association Research Framework, Alzheimer's disease (AD) is defined by its underlying pathologic processes that can be documented by postmortem examination or in vivo by biomarkers. The diagnosis is not based on the clinical consequences of the disease (i.e., symptoms/signs) in this research framework, which shifts the definition of AD in living people from a syndromal to a biological construct. The research framework focuses on the diagnosis of AD with biomarkers in living persons. Biomarkers are grouped into those of β amyloid deposition, pathologic tau, and neurodegeneration [AT(N)]. This ATN classification system groups different biomarkers (imaging and biofluids) by the pathologic process each measures. The AT(N) system is flexible in that new biomarkers can be added to the three existing AT(N) groups, and new biomarker groups beyond AT(N) can be added when they become available. We focus on AD as a continuum, and cognitive staging may be accomplished using continuous measures. However, we also outline two different categorical cognitive schemes for staging the severity of cognitive impairment: a scheme using three traditional syndromal categories and a six-stage numeric scheme. It is important to stress that this framework seeks to create a common language with which investigators can generate and test hypotheses about the interactions among different pathologic processes (denoted by biomarkers) and cognitive symptoms. We appreciate the concern that this biomarker-based research framework has the potential to be misused. Therefore, we emphasize, first, it is premature and inappropriate to use this research framework in general medical practice. Second, this research framework should not be used to restrict alternative approaches to hypothesis testing that do not use biomarkers. There will be situations where biomarkers are not available or requiring them would be counterproductive to the specific research goals (discussed in more detail later in the document). Thus, biomarker-based research should not be considered a template for all research into age-related cognitive impairment and dementia; rather, it should be applied when it is fit for the purpose of the specific research goals of a study. Importantly, this framework should be examined in diverse populations. Although it is possible that β-amyloid plaques and neurofibrillary tau deposits are not causal in AD pathogenesis, it is these abnormal protein deposits that define AD as a unique neurodegenerative disease among different disorders that can lead to dementia. We envision that defining AD as a biological construct will enable a more accurate characterization and understanding of the sequence of events that lead to cognitive impairment that is associated with AD, as well as the multifactorial etiology of dementia. This approach also will enable a more precise approach to interventional trials where specific pathways can be targeted in the disease process and in the appropriate people.&quot;,&quot;publisher&quot;:&quot;Elsevier Inc.&quot;,&quot;issue&quot;:&quot;4&quot;,&quot;volume&quot;:&quot;14&quot;},&quot;isTemporary&quot;:false},{&quot;id&quot;:&quot;9a08df28-6865-39cf-8a3c-8aa1d0b5e276&quot;,&quot;itemData&quot;:{&quot;type&quot;:&quot;article&quot;,&quot;id&quot;:&quot;9a08df28-6865-39cf-8a3c-8aa1d0b5e276&quot;,&quot;title&quot;:&quot;Advancing research diagnostic criteria for Alzheimer's disease: The IWG-2 criteria&quot;,&quot;author&quot;:[{&quot;family&quot;:&quot;Dubois&quot;,&quot;given&quot;:&quot;Bruno&quot;,&quot;parse-names&quot;:false,&quot;dropping-particle&quot;:&quot;&quot;,&quot;non-dropping-particle&quot;:&quot;&quot;},{&quot;family&quot;:&quot;Feldman&quot;,&quot;given&quot;:&quot;Howard H.&quot;,&quot;parse-names&quot;:false,&quot;dropping-particle&quot;:&quot;&quot;,&quot;non-dropping-particle&quot;:&quot;&quot;},{&quot;family&quot;:&quot;Jacova&quot;,&quot;given&quot;:&quot;Claudia&quot;,&quot;parse-names&quot;:false,&quot;dropping-particle&quot;:&quot;&quot;,&quot;non-dropping-particle&quot;:&quot;&quot;},{&quot;family&quot;:&quot;Hampel&quot;,&quot;given&quot;:&quot;Harald&quot;,&quot;parse-names&quot;:false,&quot;dropping-particle&quot;:&quot;&quot;,&quot;non-dropping-particle&quot;:&quot;&quot;},{&quot;family&quot;:&quot;Molinuevo&quot;,&quot;given&quot;:&quot;José Luis&quot;,&quot;parse-names&quot;:false,&quot;dropping-particle&quot;:&quot;&quot;,&quot;non-dropping-particle&quot;:&quot;&quot;},{&quot;family&quot;:&quot;Blennow&quot;,&quot;given&quot;:&quot;Kaj&quot;,&quot;parse-names&quot;:false,&quot;dropping-particle&quot;:&quot;&quot;,&quot;non-dropping-particle&quot;:&quot;&quot;},{&quot;family&quot;:&quot;Dekosky&quot;,&quot;given&quot;:&quot;Steven T.&quot;,&quot;parse-names&quot;:false,&quot;dropping-particle&quot;:&quot;&quot;,&quot;non-dropping-particle&quot;:&quot;&quot;},{&quot;family&quot;:&quot;Gauthier&quot;,&quot;given&quot;:&quot;Serge&quot;,&quot;parse-names&quot;:false,&quot;dropping-particle&quot;:&quot;&quot;,&quot;non-dropping-particle&quot;:&quot;&quot;},{&quot;family&quot;:&quot;Selkoe&quot;,&quot;given&quot;:&quot;Dennis&quot;,&quot;parse-names&quot;:false,&quot;dropping-particle&quot;:&quot;&quot;,&quot;non-dropping-particle&quot;:&quot;&quot;},{&quot;family&quot;:&quot;Bateman&quot;,&quot;given&quot;:&quot;Randall&quot;,&quot;parse-names&quot;:false,&quot;dropping-particle&quot;:&quot;&quot;,&quot;non-dropping-particle&quot;:&quot;&quot;},{&quot;family&quot;:&quot;Cappa&quot;,&quot;given&quot;:&quot;Stefano&quot;,&quot;parse-names&quot;:false,&quot;dropping-particle&quot;:&quot;&quot;,&quot;non-dropping-particle&quot;:&quot;&quot;},{&quot;family&quot;:&quot;Crutch&quot;,&quot;given&quot;:&quot;Sebastian&quot;,&quot;parse-names&quot;:false,&quot;dropping-particle&quot;:&quot;&quot;,&quot;non-dropping-particle&quot;:&quot;&quot;},{&quot;family&quot;:&quot;Engelborghs&quot;,&quot;given&quot;:&quot;Sebastiaan&quot;,&quot;parse-names&quot;:false,&quot;dropping-particle&quot;:&quot;&quot;,&quot;non-dropping-particle&quot;:&quot;&quot;},{&quot;family&quot;:&quot;Frisoni&quot;,&quot;given&quot;:&quot;Giovanni B.&quot;,&quot;parse-names&quot;:false,&quot;dropping-particle&quot;:&quot;&quot;,&quot;non-dropping-particle&quot;:&quot;&quot;},{&quot;family&quot;:&quot;Fox&quot;,&quot;given&quot;:&quot;Nick C.&quot;,&quot;parse-names&quot;:false,&quot;dropping-particle&quot;:&quot;&quot;,&quot;non-dropping-particle&quot;:&quot;&quot;},{&quot;family&quot;:&quot;Galasko&quot;,&quot;given&quot;:&quot;Douglas&quot;,&quot;parse-names&quot;:false,&quot;dropping-particle&quot;:&quot;&quot;,&quot;non-dropping-particle&quot;:&quot;&quot;},{&quot;family&quot;:&quot;Habert&quot;,&quot;given&quot;:&quot;Marie Odile&quot;,&quot;parse-names&quot;:false,&quot;dropping-particle&quot;:&quot;&quot;,&quot;non-dropping-particle&quot;:&quot;&quot;},{&quot;family&quot;:&quot;Jicha&quot;,&quot;given&quot;:&quot;Gregory A.&quot;,&quot;parse-names&quot;:false,&quot;dropping-particle&quot;:&quot;&quot;,&quot;non-dropping-particle&quot;:&quot;&quot;},{&quot;family&quot;:&quot;Nordberg&quot;,&quot;given&quot;:&quot;Agneta&quot;,&quot;parse-names&quot;:false,&quot;dropping-particle&quot;:&quot;&quot;,&quot;non-dropping-particle&quot;:&quot;&quot;},{&quot;family&quot;:&quot;Pasquier&quot;,&quot;given&quot;:&quot;Florence&quot;,&quot;parse-names&quot;:false,&quot;dropping-particle&quot;:&quot;&quot;,&quot;non-dropping-particle&quot;:&quot;&quot;},{&quot;family&quot;:&quot;Rabinovici&quot;,&quot;given&quot;:&quot;Gil&quot;,&quot;parse-names&quot;:false,&quot;dropping-particle&quot;:&quot;&quot;,&quot;non-dropping-particle&quot;:&quot;&quot;},{&quot;family&quot;:&quot;Robert&quot;,&quot;given&quot;:&quot;Philippe&quot;,&quot;parse-names&quot;:false,&quot;dropping-particle&quot;:&quot;&quot;,&quot;non-dropping-particle&quot;:&quot;&quot;},{&quot;family&quot;:&quot;Rowe&quot;,&quot;given&quot;:&quot;Christopher&quot;,&quot;parse-names&quot;:false,&quot;dropping-particle&quot;:&quot;&quot;,&quot;non-dropping-particle&quot;:&quot;&quot;},{&quot;family&quot;:&quot;Salloway&quot;,&quot;given&quot;:&quot;Stephen&quot;,&quot;parse-names&quot;:false,&quot;dropping-particle&quot;:&quot;&quot;,&quot;non-dropping-particle&quot;:&quot;&quot;},{&quot;family&quot;:&quot;Sarazin&quot;,&quot;given&quot;:&quot;Marie&quot;,&quot;parse-names&quot;:false,&quot;dropping-particle&quot;:&quot;&quot;,&quot;non-dropping-particle&quot;:&quot;&quot;},{&quot;family&quot;:&quot;Epelbaum&quot;,&quot;given&quot;:&quot;Stéphane&quot;,&quot;parse-names&quot;:false,&quot;dropping-particle&quot;:&quot;&quot;,&quot;non-dropping-particle&quot;:&quot;&quot;},{&quot;family&quot;:&quot;Souza&quot;,&quot;given&quot;:&quot;Leonardo C.&quot;,&quot;parse-names&quot;:false,&quot;dropping-particle&quot;:&quot;&quot;,&quot;non-dropping-particle&quot;:&quot;de&quot;},{&quot;family&quot;:&quot;Vellas&quot;,&quot;given&quot;:&quot;Bruno&quot;,&quot;parse-names&quot;:false,&quot;dropping-particle&quot;:&quot;&quot;,&quot;non-dropping-particle&quot;:&quot;&quot;},{&quot;family&quot;:&quot;Visser&quot;,&quot;given&quot;:&quot;Pieter J.&quot;,&quot;parse-names&quot;:false,&quot;dropping-particle&quot;:&quot;&quot;,&quot;non-dropping-particle&quot;:&quot;&quot;},{&quot;family&quot;:&quot;Schneider&quot;,&quot;given&quot;:&quot;Lon&quot;,&quot;parse-names&quot;:false,&quot;dropping-particle&quot;:&quot;&quot;,&quot;non-dropping-particle&quot;:&quot;&quot;},{&quot;family&quot;:&quot;Stern&quot;,&quot;given&quot;:&quot;Yaakov&quot;,&quot;parse-names&quot;:false,&quot;dropping-particle&quot;:&quot;&quot;,&quot;non-dropping-particle&quot;:&quot;&quot;},{&quot;family&quot;:&quot;Scheltens&quot;,&quot;given&quot;:&quot;Philip&quot;,&quot;parse-names&quot;:false,&quot;dropping-particle&quot;:&quot;&quot;,&quot;non-dropping-particle&quot;:&quot;&quot;},{&quot;family&quot;:&quot;Cummings&quot;,&quot;given&quot;:&quot;Jeffrey L.&quot;,&quot;parse-names&quot;:false,&quot;dropping-particle&quot;:&quot;&quot;,&quot;non-dropping-particle&quot;:&quot;&quot;}],&quot;container-title&quot;:&quot;The Lancet Neurology&quot;,&quot;DOI&quot;:&quot;10.1016/S1474-4422(14)70090-0&quot;,&quot;ISSN&quot;:&quot;14744465&quot;,&quot;PMID&quot;:&quot;24849862&quot;,&quot;issued&quot;:{&quot;date-parts&quot;:[[2014]]},&quot;page&quot;:&quot;614-629&quot;,&quot;abstract&quot;:&quot;In the past 8 years, both the International Working Group (IWG) and the US National Institute on Aging-Alzheimer's Association have contributed criteria for the diagnosis of Alzheimer's disease (AD) that better define clinical phenotypes and integrate biomarkers into the diagnostic process, covering the full staging of the disease. This Position Paper considers the strengths and limitations of the IWG research diagnostic criteria and proposes advances to improve the diagnostic framework. On the basis of these refinements, the diagnosis of AD can be simplified, requiring the presence of an appropriate clinical AD phenotype (typical or atypical) and a pathophysiological biomarker consistent with the presence of Alzheimer's pathology. We propose that downstream topographical biomarkers of the disease, such as volumetric MRI and fluorodeoxyglucose PET, might better serve in the measurement and monitoring of the course of disease. This paper also elaborates on the specific diagnostic criteria for atypical forms of AD, for mixed AD, and for the preclinical states of AD. © 2014 Elsevier Ltd.&quot;,&quot;publisher&quot;:&quot;Lancet Publishing Group&quot;,&quot;issue&quot;:&quot;6&quot;,&quot;volume&quot;:&quot;13&quot;},&quot;isTemporary&quot;:false}],&quot;citationTag&quot;:&quot;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&quot;},{&quot;citationID&quot;:&quot;MENDELEY_CITATION_9c4c5b55-8036-4e17-82cd-b70bc3d79c82&quot;,&quot;properties&quot;:{&quot;noteIndex&quot;:0},&quot;isEdited&quot;:false,&quot;manualOverride&quot;:{&quot;isManuallyOverridden&quot;:false,&quot;citeprocText&quot;:&quot;[4]&quot;,&quot;manualOverrideText&quot;:&quot;&quot;},&quot;citationItems&quot;:[{&quot;id&quot;:&quot;8931268f-4f64-33c9-82c0-9689c23e8e30&quot;,&quot;itemData&quot;:{&quot;type&quot;:&quot;article&quot;,&quot;id&quot;:&quot;8931268f-4f64-33c9-82c0-9689c23e8e30&quot;,&quot;title&quot;:&quot;Cerebrospinal fluid biomarkers in trials for Alzheimer and Parkinson diseases&quot;,&quot;author&quot;:[{&quot;family&quot;:&quot;Lleó&quot;,&quot;given&quot;:&quot;Alberto&quot;,&quot;parse-names&quot;:false,&quot;dropping-particle&quot;:&quot;&quot;,&quot;non-dropping-particle&quot;:&quot;&quot;},{&quot;family&quot;:&quot;Cavedo&quot;,&quot;given&quot;:&quot;Enrica&quot;,&quot;parse-names&quot;:false,&quot;dropping-particle&quot;:&quot;&quot;,&quot;non-dropping-particle&quot;:&quot;&quot;},{&quot;family&quot;:&quot;Parnetti&quot;,&quot;given&quot;:&quot;Lucilla&quot;,&quot;parse-names&quot;:false,&quot;dropping-particle&quot;:&quot;&quot;,&quot;non-dropping-particle&quot;:&quot;&quot;},{&quot;family&quot;:&quot;Vanderstichele&quot;,&quot;given&quot;:&quot;Hugo&quot;,&quot;parse-names&quot;:false,&quot;dropping-particle&quot;:&quot;&quot;,&quot;non-dropping-particle&quot;:&quot;&quot;},{&quot;family&quot;:&quot;Herukka&quot;,&quot;given&quot;:&quot;Sanna Kaisa&quot;,&quot;parse-names&quot;:false,&quot;dropping-particle&quot;:&quot;&quot;,&quot;non-dropping-particle&quot;:&quot;&quot;},{&quot;family&quot;:&quot;Andreasen&quot;,&quot;given&quot;:&quot;Niels&quot;,&quot;parse-names&quot;:false,&quot;dropping-particle&quot;:&quot;&quot;,&quot;non-dropping-particle&quot;:&quot;&quot;},{&quot;family&quot;:&quot;Ghidoni&quot;,&quot;given&quot;:&quot;Roberta&quot;,&quot;parse-names&quot;:false,&quot;dropping-particle&quot;:&quot;&quot;,&quot;non-dropping-particle&quot;:&quot;&quot;},{&quot;family&quot;:&quot;Lewczuk&quot;,&quot;given&quot;:&quot;Piotr&quot;,&quot;parse-names&quot;:false,&quot;dropping-particle&quot;:&quot;&quot;,&quot;non-dropping-particle&quot;:&quot;&quot;},{&quot;family&quot;:&quot;Jeromin&quot;,&quot;given&quot;:&quot;Andreas&quot;,&quot;parse-names&quot;:false,&quot;dropping-particle&quot;:&quot;&quot;,&quot;non-dropping-particle&quot;:&quot;&quot;},{&quot;family&quot;:&quot;Winblad&quot;,&quot;given&quot;:&quot;Bengt&quot;,&quot;parse-names&quot;:false,&quot;dropping-particle&quot;:&quot;&quot;,&quot;non-dropping-particle&quot;:&quot;&quot;},{&quot;family&quot;:&quot;Tsolaki&quot;,&quot;given&quot;:&quot;Magda&quot;,&quot;parse-names&quot;:false,&quot;dropping-particle&quot;:&quot;&quot;,&quot;non-dropping-particle&quot;:&quot;&quot;},{&quot;family&quot;:&quot;Mroczko&quot;,&quot;given&quot;:&quot;Barbara&quot;,&quot;parse-names&quot;:false,&quot;dropping-particle&quot;:&quot;&quot;,&quot;non-dropping-particle&quot;:&quot;&quot;},{&quot;family&quot;:&quot;Visser&quot;,&quot;given&quot;:&quot;Pieter Jelle&quot;,&quot;parse-names&quot;:false,&quot;dropping-particle&quot;:&quot;&quot;,&quot;non-dropping-particle&quot;:&quot;&quot;},{&quot;family&quot;:&quot;Santana&quot;,&quot;given&quot;:&quot;Isabel&quot;,&quot;parse-names&quot;:false,&quot;dropping-particle&quot;:&quot;&quot;,&quot;non-dropping-particle&quot;:&quot;&quot;},{&quot;family&quot;:&quot;Svenningsson&quot;,&quot;given&quot;:&quot;Per&quot;,&quot;parse-names&quot;:false,&quot;dropping-particle&quot;:&quot;&quot;,&quot;non-dropping-particle&quot;:&quot;&quot;},{&quot;family&quot;:&quot;Blennow&quot;,&quot;given&quot;:&quot;Kaj&quot;,&quot;parse-names&quot;:false,&quot;dropping-particle&quot;:&quot;&quot;,&quot;non-dropping-particle&quot;:&quot;&quot;},{&quot;family&quot;:&quot;Aarsland&quot;,&quot;given&quot;:&quot;Dag&quot;,&quot;parse-names&quot;:false,&quot;dropping-particle&quot;:&quot;&quot;,&quot;non-dropping-particle&quot;:&quot;&quot;},{&quot;family&quot;:&quot;Molinuevo&quot;,&quot;given&quot;:&quot;José Luis&quot;,&quot;parse-names&quot;:false,&quot;dropping-particle&quot;:&quot;&quot;,&quot;non-dropping-particle&quot;:&quot;&quot;},{&quot;family&quot;:&quot;Zetterberg&quot;,&quot;given&quot;:&quot;Henrik&quot;,&quot;parse-names&quot;:false,&quot;dropping-particle&quot;:&quot;&quot;,&quot;non-dropping-particle&quot;:&quot;&quot;},{&quot;family&quot;:&quot;Mollenhauer&quot;,&quot;given&quot;:&quot;Brit&quot;,&quot;parse-names&quot;:false,&quot;dropping-particle&quot;:&quot;&quot;,&quot;non-dropping-particle&quot;:&quot;&quot;}],&quot;container-title&quot;:&quot;Nature Reviews Neurology&quot;,&quot;DOI&quot;:&quot;10.1038/nrneurol.2014.232&quot;,&quot;ISSN&quot;:&quot;17594766&quot;,&quot;PMID&quot;:&quot;25511894&quot;,&quot;issued&quot;:{&quot;date-parts&quot;:[[2015,1,1]]},&quot;page&quot;:&quot;41-55&quot;,&quot;abstract&quot;:&quot;Alzheimer disease (AD) and Parkinson disease (PD) are the most common neurodegenerative disorders. For both diseases, early intervention is thought to be essential to the success of disease-modifying treatments. Cerebrospinal fluid (CSF) can reflect some of the pathophysiological changes that occur in the brain, and the number of CSF biomarkers under investigation in neurodegenerative conditions has grown rapidly in the past 20 years. In AD, CSF biomarkers are increasingly being used in clinical practice, and have been incorporated into the majority of clinical trials to demonstrate target engagement, to enrich or stratify patient groups, and to find evidence of disease modification. In PD, CSF biomarkers have not yet reached the clinic, but are being studied in patients with parkinsonism, and are being used in clinical trials either to monitor progression or to demonstrate target engagement and downstream effects of drugs. CSF biomarkers might also serve as surrogate markers of clinical benefit after a specific therapeutic intervention, although additional data are required. It is anticipated that CSF biomarkers will have an important role in trials aimed at disease modification in the near future. In this Review, we provide an overview of CSF biomarkers in AD and PD, and discuss their role in clinical trials.&quot;,&quot;publisher&quot;:&quot;Nature Publishing Group&quot;,&quot;issue&quot;:&quot;1&quot;,&quot;volume&quot;:&quot;11&quot;},&quot;isTemporary&quot;:false}],&quot;citationTag&quot;:&quot;MENDELEY_CITATION_v3_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&quot;},{&quot;citationID&quot;:&quot;MENDELEY_CITATION_cf6d5c41-240f-434e-a628-3cbd904eb413&quot;,&quot;properties&quot;:{&quot;noteIndex&quot;:0},&quot;isEdited&quot;:false,&quot;manualOverride&quot;:{&quot;isManuallyOverridden&quot;:false,&quot;citeprocText&quot;:&quot;[5]&quot;,&quot;manualOverrideText&quot;:&quot;&quot;},&quot;citationItems&quot;:[{&quot;id&quot;:&quot;1640b561-a201-3da2-be27-e93c1a87c259&quot;,&quot;itemData&quot;:{&quot;type&quot;:&quot;article&quot;,&quot;id&quot;:&quot;1640b561-a201-3da2-be27-e93c1a87c259&quot;,&quot;title&quot;:&quot;Amyloid-β-independent regulators of tau pathology in Alzheimer disease&quot;,&quot;author&quot;:[{&quot;family&quot;:&quot;Kant&quot;,&quot;given&quot;:&quot;Rik&quot;,&quot;parse-names&quot;:false,&quot;dropping-particle&quot;:&quot;&quot;,&quot;non-dropping-particle&quot;:&quot;van der&quot;},{&quot;family&quot;:&quot;Goldstein&quot;,&quot;given&quot;:&quot;Lawrence S.B.&quot;,&quot;parse-names&quot;:false,&quot;dropping-particle&quot;:&quot;&quot;,&quot;non-dropping-particle&quot;:&quot;&quot;},{&quot;family&quot;:&quot;Ossenkoppele&quot;,&quot;given&quot;:&quot;Rik&quot;,&quot;parse-names&quot;:false,&quot;dropping-particle&quot;:&quot;&quot;,&quot;non-dropping-particle&quot;:&quot;&quot;}],&quot;container-title&quot;:&quot;Nature Reviews Neuroscience&quot;,&quot;DOI&quot;:&quot;10.1038/s41583-019-0240-3&quot;,&quot;ISSN&quot;:&quot;14710048&quot;,&quot;PMID&quot;:&quot;31780819&quot;,&quot;issued&quot;:{&quot;date-parts&quot;:[[2020,1,1]]},&quot;page&quot;:&quot;21-35&quot;,&quot;abstract&quot;:&quot;The global epidemic of Alzheimer disease (AD) is worsening, and no approved treatment can revert or arrest progression of this disease. AD pathology is characterized by the accumulation of amyloid-β (Aβ) plaques and tau neurofibrillary tangles in the brain. Genetic data, as well as autopsy and neuroimaging studies in patients with AD, indicate that Aβ plaque deposition precedes cortical tau pathology. Because Aβ accumulation has been considered the initial insult that drives both the accumulation of tau pathology and tau-mediated neurodegeneration in AD, the development of AD therapeutics has focused mostly on removing Aβ from the brain. However, striking preclinical evidence from AD mouse models and patient-derived human induced pluripotent stem cell models indicates that tau pathology can progress independently of Aβ accumulation and arises downstream of genetic risk factors for AD and aberrant metabolic pathways. This Review outlines novel insights from preclinical research that implicate apolipoprotein E, the endocytic system, cholesterol metabolism and microglial activation as Aβ-independent regulators of tau pathology. These factors are discussed in the context of emerging findings from clinical pathology, functional neuroimaging and other approaches in humans. Finally, we discuss the implications of these new insights for current Aβ-targeted strategies and highlight the emergence of novel therapeutic strategies that target processes upstream of both Aβ and tau.&quot;,&quot;publisher&quot;:&quot;Nature Research&quot;,&quot;issue&quot;:&quot;1&quot;,&quot;volume&quot;:&quot;21&quot;},&quot;isTemporary&quot;:false}],&quot;citationTag&quot;:&quot;MENDELEY_CITATION_v3_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&quot;},{&quot;citationID&quot;:&quot;MENDELEY_CITATION_79d58761-a2e4-43ee-8b5c-5d2e16f8a48b&quot;,&quot;properties&quot;:{&quot;noteIndex&quot;:0},&quot;isEdited&quot;:false,&quot;manualOverride&quot;:{&quot;isManuallyOverridden&quot;:false,&quot;citeprocText&quot;:&quot;[6]&quot;,&quot;manualOverrideText&quot;:&quot;&quot;},&quot;citationItems&quot;:[{&quot;id&quot;:&quot;f6795ffd-6225-39a0-93d7-05059b4ddd09&quot;,&quot;itemData&quot;:{&quot;type&quot;:&quot;article&quot;,&quot;id&quot;:&quot;f6795ffd-6225-39a0-93d7-05059b4ddd09&quot;,&quot;title&quot;:&quot;Dementia in 2010: Paving the way for Alzheimer disease drug development&quot;,&quot;author&quot;:[{&quot;family&quot;:&quot;Blennow&quot;,&quot;given&quot;:&quot;Kaj&quot;,&quot;parse-names&quot;:false,&quot;dropping-particle&quot;:&quot;&quot;,&quot;non-dropping-particle&quot;:&quot;&quot;}],&quot;container-title&quot;:&quot;Nature Reviews Neurology&quot;,&quot;DOI&quot;:&quot;10.1038/nrneurol.2010.214&quot;,&quot;ISSN&quot;:&quot;17594758&quot;,&quot;PMID&quot;:&quot;21297645&quot;,&quot;issued&quot;:{&quot;date-parts&quot;:[[2011,2]]},&quot;page&quot;:&quot;65-66&quot;,&quot;issue&quot;:&quot;2&quot;,&quot;volume&quot;:&quot;7&quot;},&quot;isTemporary&quot;:false}],&quot;citationTag&quot;:&quot;MENDELEY_CITATION_v3_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&quot;},{&quot;citationID&quot;:&quot;MENDELEY_CITATION_cd000797-2204-4dcd-bc20-31ba94eb3672&quot;,&quot;properties&quot;:{&quot;noteIndex&quot;:0},&quot;isEdited&quot;:false,&quot;manualOverride&quot;:{&quot;isManuallyOverridden&quot;:false,&quot;citeprocText&quot;:&quot;[7]&quot;,&quot;manualOverrideText&quot;:&quot;&quot;},&quot;citationItems&quot;:[{&quot;id&quot;:&quot;bbb4ebc4-bf7a-3b43-b96f-1994521f4f4a&quot;,&quot;itemData&quot;:{&quot;type&quot;:&quot;article-journal&quot;,&quot;id&quot;:&quot;bbb4ebc4-bf7a-3b43-b96f-1994521f4f4a&quot;,&quot;title&quot;:&quot;Cerebrospinal fluid and blood biomarkers for neurodegenerative dementias: An update of the Consensus of the Task Force on Biological Markers in Psychiatry of the World Federation of Societies of Biological Psychiatry&quot;,&quot;author&quot;:[{&quot;family&quot;:&quot;Lewczuk&quot;,&quot;given&quot;:&quot;Piotr&quot;,&quot;parse-names&quot;:false,&quot;dropping-particle&quot;:&quot;&quot;,&quot;non-dropping-particle&quot;:&quot;&quot;},{&quot;family&quot;:&quot;Riederer&quot;,&quot;given&quot;:&quot;Peter&quot;,&quot;parse-names&quot;:false,&quot;dropping-particle&quot;:&quot;&quot;,&quot;non-dropping-particle&quot;:&quot;&quot;},{&quot;family&quot;:&quot;O’Bryant&quot;,&quot;given&quot;:&quot;Sid E.&quot;,&quot;parse-names&quot;:false,&quot;dropping-particle&quot;:&quot;&quot;,&quot;non-dropping-particle&quot;:&quot;&quot;},{&quot;family&quot;:&quot;Verbeek&quot;,&quot;given&quot;:&quot;Marcel M.&quot;,&quot;parse-names&quot;:false,&quot;dropping-particle&quot;:&quot;&quot;,&quot;non-dropping-particle&quot;:&quot;&quot;},{&quot;family&quot;:&quot;Dubois&quot;,&quot;given&quot;:&quot;Bruno&quot;,&quot;parse-names&quot;:false,&quot;dropping-particle&quot;:&quot;&quot;,&quot;non-dropping-particle&quot;:&quot;&quot;},{&quot;family&quot;:&quot;Visser&quot;,&quot;given&quot;:&quot;Pieter Jelle&quot;,&quot;parse-names&quot;:false,&quot;dropping-particle&quot;:&quot;&quot;,&quot;non-dropping-particle&quot;:&quot;&quot;},{&quot;family&quot;:&quot;Jellinger&quot;,&quot;given&quot;:&quot;Kurt A.&quot;,&quot;parse-names&quot;:false,&quot;dropping-particle&quot;:&quot;&quot;,&quot;non-dropping-particle&quot;:&quot;&quot;},{&quot;family&quot;:&quot;Engelborghs&quot;,&quot;given&quot;:&quot;Sebastiaan&quot;,&quot;parse-names&quot;:false,&quot;dropping-particle&quot;:&quot;&quot;,&quot;non-dropping-particle&quot;:&quot;&quot;},{&quot;family&quot;:&quot;Ramirez&quot;,&quot;given&quot;:&quot;Alfredo&quot;,&quot;parse-names&quot;:false,&quot;dropping-particle&quot;:&quot;&quot;,&quot;non-dropping-particle&quot;:&quot;&quot;},{&quot;family&quot;:&quot;Parnetti&quot;,&quot;given&quot;:&quot;Lucilla&quot;,&quot;parse-names&quot;:false,&quot;dropping-particle&quot;:&quot;&quot;,&quot;non-dropping-particle&quot;:&quot;&quot;},{&quot;family&quot;:&quot;Jack&quot;,&quot;given&quot;:&quot;Clifford R.&quot;,&quot;parse-names&quot;:false,&quot;dropping-particle&quot;:&quot;&quot;,&quot;non-dropping-particle&quot;:&quot;&quot;},{&quot;family&quot;:&quot;Teunissen&quot;,&quot;given&quot;:&quot;Charlotte E.&quot;,&quot;parse-names&quot;:false,&quot;dropping-particle&quot;:&quot;&quot;,&quot;non-dropping-particle&quot;:&quot;&quot;},{&quot;family&quot;:&quot;Hampel&quot;,&quot;given&quot;:&quot;Harald&quot;,&quot;parse-names&quot;:false,&quot;dropping-particle&quot;:&quot;&quot;,&quot;non-dropping-particle&quot;:&quot;&quot;},{&quot;family&quot;:&quot;Lleó&quot;,&quot;given&quot;:&quot;Alberto&quot;,&quot;parse-names&quot;:false,&quot;dropping-particle&quot;:&quot;&quot;,&quot;non-dropping-particle&quot;:&quot;&quot;},{&quot;family&quot;:&quot;Jessen&quot;,&quot;given&quot;:&quot;Frank&quot;,&quot;parse-names&quot;:false,&quot;dropping-particle&quot;:&quot;&quot;,&quot;non-dropping-particle&quot;:&quot;&quot;},{&quot;family&quot;:&quot;Glodzik&quot;,&quot;given&quot;:&quot;Lidia&quot;,&quot;parse-names&quot;:false,&quot;dropping-particle&quot;:&quot;&quot;,&quot;non-dropping-particle&quot;:&quot;&quot;},{&quot;family&quot;:&quot;Leon&quot;,&quot;given&quot;:&quot;Mony J.&quot;,&quot;parse-names&quot;:false,&quot;dropping-particle&quot;:&quot;&quot;,&quot;non-dropping-particle&quot;:&quot;de&quot;},{&quot;family&quot;:&quot;Fagan&quot;,&quot;given&quot;:&quot;Anne M.&quot;,&quot;parse-names&quot;:false,&quot;dropping-particle&quot;:&quot;&quot;,&quot;non-dropping-particle&quot;:&quot;&quot;},{&quot;family&quot;:&quot;Molinuevo&quot;,&quot;given&quot;:&quot;José Luis&quot;,&quot;parse-names&quot;:false,&quot;dropping-particle&quot;:&quot;&quot;,&quot;non-dropping-particle&quot;:&quot;&quot;},{&quot;family&quot;:&quot;Jansen&quot;,&quot;given&quot;:&quot;Willemijn J.&quot;,&quot;parse-names&quot;:false,&quot;dropping-particle&quot;:&quot;&quot;,&quot;non-dropping-particle&quot;:&quot;&quot;},{&quot;family&quot;:&quot;Winblad&quot;,&quot;given&quot;:&quot;Bengt&quot;,&quot;parse-names&quot;:false,&quot;dropping-particle&quot;:&quot;&quot;,&quot;non-dropping-particle&quot;:&quot;&quot;},{&quot;family&quot;:&quot;Shaw&quot;,&quot;given&quot;:&quot;Leslie M.&quot;,&quot;parse-names&quot;:false,&quot;dropping-particle&quot;:&quot;&quot;,&quot;non-dropping-particle&quot;:&quot;&quot;},{&quot;family&quot;:&quot;Andreasson&quot;,&quot;given&quot;:&quot;Ulf&quot;,&quot;parse-names&quot;:false,&quot;dropping-particle&quot;:&quot;&quot;,&quot;non-dropping-particle&quot;:&quot;&quot;},{&quot;family&quot;:&quot;Otto&quot;,&quot;given&quot;:&quot;Markus&quot;,&quot;parse-names&quot;:false,&quot;dropping-particle&quot;:&quot;&quot;,&quot;non-dropping-particle&quot;:&quot;&quot;},{&quot;family&quot;:&quot;Mollenhauer&quot;,&quot;given&quot;:&quot;Brit&quot;,&quot;parse-names&quot;:false,&quot;dropping-particle&quot;:&quot;&quot;,&quot;non-dropping-particle&quot;:&quot;&quot;},{&quot;family&quot;:&quot;Wiltfang&quot;,&quot;given&quot;:&quot;Jens&quot;,&quot;parse-names&quot;:false,&quot;dropping-particle&quot;:&quot;&quot;,&quot;non-dropping-particle&quot;:&quot;&quot;},{&quot;family&quot;:&quot;Turner&quot;,&quot;given&quot;:&quot;Martin R.&quot;,&quot;parse-names&quot;:false,&quot;dropping-particle&quot;:&quot;&quot;,&quot;non-dropping-particle&quot;:&quot;&quot;},{&quot;family&quot;:&quot;Zerr&quot;,&quot;given&quot;:&quot;Inga&quot;,&quot;parse-names&quot;:false,&quot;dropping-particle&quot;:&quot;&quot;,&quot;non-dropping-particle&quot;:&quot;&quot;},{&quot;family&quot;:&quot;Handels&quot;,&quot;given&quot;:&quot;Ron&quot;,&quot;parse-names&quot;:false,&quot;dropping-particle&quot;:&quot;&quot;,&quot;non-dropping-particle&quot;:&quot;&quot;},{&quot;family&quot;:&quot;Thompson&quot;,&quot;given&quot;:&quot;Alexander G.&quot;,&quot;parse-names&quot;:false,&quot;dropping-particle&quot;:&quot;&quot;,&quot;non-dropping-particle&quot;:&quot;&quot;},{&quot;family&quot;:&quot;Johansson&quot;,&quot;given&quot;:&quot;Gunilla&quot;,&quot;parse-names&quot;:false,&quot;dropping-particle&quot;:&quot;&quot;,&quot;non-dropping-particle&quot;:&quot;&quot;},{&quot;family&quot;:&quot;Ermann&quot;,&quot;given&quot;:&quot;Natalia&quot;,&quot;parse-names&quot;:false,&quot;dropping-particle&quot;:&quot;&quot;,&quot;non-dropping-particle&quot;:&quot;&quot;},{&quot;family&quot;:&quot;Trojanowski&quot;,&quot;given&quot;:&quot;John Q.&quot;,&quot;parse-names&quot;:false,&quot;dropping-particle&quot;:&quot;&quot;,&quot;non-dropping-particle&quot;:&quot;&quot;},{&quot;family&quot;:&quot;Karaca&quot;,&quot;given&quot;:&quot;Ilker&quot;,&quot;parse-names&quot;:false,&quot;dropping-particle&quot;:&quot;&quot;,&quot;non-dropping-particle&quot;:&quot;&quot;},{&quot;family&quot;:&quot;Wagner&quot;,&quot;given&quot;:&quot;Holger&quot;,&quot;parse-names&quot;:false,&quot;dropping-particle&quot;:&quot;&quot;,&quot;non-dropping-particle&quot;:&quot;&quot;},{&quot;family&quot;:&quot;Oeckl&quot;,&quot;given&quot;:&quot;Patrick&quot;,&quot;parse-names&quot;:false,&quot;dropping-particle&quot;:&quot;&quot;,&quot;non-dropping-particle&quot;:&quot;&quot;},{&quot;family&quot;:&quot;Waalwijk van Doorn&quot;,&quot;given&quot;:&quot;Linda&quot;,&quot;parse-names&quot;:false,&quot;dropping-particle&quot;:&quot;&quot;,&quot;non-dropping-particle&quot;:&quot;van&quot;},{&quot;family&quot;:&quot;Bjerke&quot;,&quot;given&quot;:&quot;Maria&quot;,&quot;parse-names&quot;:false,&quot;dropping-particle&quot;:&quot;&quot;,&quot;non-dropping-particle&quot;:&quot;&quot;},{&quot;family&quot;:&quot;Kapogiannis&quot;,&quot;given&quot;:&quot;Dimitrios&quot;,&quot;parse-names&quot;:false,&quot;dropping-particle&quot;:&quot;&quot;,&quot;non-dropping-particle&quot;:&quot;&quot;},{&quot;family&quot;:&quot;Kuiperij&quot;,&quot;given&quot;:&quot;H. Bea&quot;,&quot;parse-names&quot;:false,&quot;dropping-particle&quot;:&quot;&quot;,&quot;non-dropping-particle&quot;:&quot;&quot;},{&quot;family&quot;:&quot;Farotti&quot;,&quot;given&quot;:&quot;Lucia&quot;,&quot;parse-names&quot;:false,&quot;dropping-particle&quot;:&quot;&quot;,&quot;non-dropping-particle&quot;:&quot;&quot;},{&quot;family&quot;:&quot;Li&quot;,&quot;given&quot;:&quot;Yi&quot;,&quot;parse-names&quot;:false,&quot;dropping-particle&quot;:&quot;&quot;,&quot;non-dropping-particle&quot;:&quot;&quot;},{&quot;family&quot;:&quot;Gordon&quot;,&quot;given&quot;:&quot;Brian A.&quot;,&quot;parse-names&quot;:false,&quot;dropping-particle&quot;:&quot;&quot;,&quot;non-dropping-particle&quot;:&quot;&quot;},{&quot;family&quot;:&quot;Epelbaum&quot;,&quot;given&quot;:&quot;Stéphane&quot;,&quot;parse-names&quot;:false,&quot;dropping-particle&quot;:&quot;&quot;,&quot;non-dropping-particle&quot;:&quot;&quot;},{&quot;family&quot;:&quot;Vos&quot;,&quot;given&quot;:&quot;Stephanie J.B.&quot;,&quot;parse-names&quot;:false,&quot;dropping-particle&quot;:&quot;&quot;,&quot;non-dropping-particle&quot;:&quot;&quot;},{&quot;family&quot;:&quot;Klijn&quot;,&quot;given&quot;:&quot;Catharina J.M.&quot;,&quot;parse-names&quot;:false,&quot;dropping-particle&quot;:&quot;&quot;,&quot;non-dropping-particle&quot;:&quot;&quot;},{&quot;family&quot;:&quot;Nostrand&quot;,&quot;given&quot;:&quot;William E.&quot;,&quot;parse-names&quot;:false,&quot;dropping-particle&quot;:&quot;&quot;,&quot;non-dropping-particle&quot;:&quot;van&quot;},{&quot;family&quot;:&quot;Minguillon&quot;,&quot;given&quot;:&quot;Carolina&quot;,&quot;parse-names&quot;:false,&quot;dropping-particle&quot;:&quot;&quot;,&quot;non-dropping-particle&quot;:&quot;&quot;},{&quot;family&quot;:&quot;Schmitz&quot;,&quot;given&quot;:&quot;Matthias&quot;,&quot;parse-names&quot;:false,&quot;dropping-particle&quot;:&quot;&quot;,&quot;non-dropping-particle&quot;:&quot;&quot;},{&quot;family&quot;:&quot;Gallo&quot;,&quot;given&quot;:&quot;Carla&quot;,&quot;parse-names&quot;:false,&quot;dropping-particle&quot;:&quot;&quot;,&quot;non-dropping-particle&quot;:&quot;&quot;},{&quot;family&quot;:&quot;Lopez Mato&quot;,&quot;given&quot;:&quot;Andrea&quot;,&quot;parse-names&quot;:false,&quot;dropping-particle&quot;:&quot;&quot;,&quot;non-dropping-particle&quot;:&quot;&quot;},{&quot;family&quot;:&quot;Thibaut&quot;,&quot;given&quot;:&quot;Florence&quot;,&quot;parse-names&quot;:false,&quot;dropping-particle&quot;:&quot;&quot;,&quot;non-dropping-particle&quot;:&quot;&quot;},{&quot;family&quot;:&quot;Lista&quot;,&quot;given&quot;:&quot;Simone&quot;,&quot;parse-names&quot;:false,&quot;dropping-particle&quot;:&quot;&quot;,&quot;non-dropping-particle&quot;:&quot;&quot;},{&quot;family&quot;:&quot;Alcolea&quot;,&quot;given&quot;:&quot;Daniel&quot;,&quot;parse-names&quot;:false,&quot;dropping-particle&quot;:&quot;&quot;,&quot;non-dropping-particle&quot;:&quot;&quot;},{&quot;family&quot;:&quot;Zetterberg&quot;,&quot;given&quot;:&quot;Henrik&quot;,&quot;parse-names&quot;:false,&quot;dropping-particle&quot;:&quot;&quot;,&quot;non-dropping-particle&quot;:&quot;&quot;},{&quot;family&quot;:&quot;Blennow&quot;,&quot;given&quot;:&quot;Kaj&quot;,&quot;parse-names&quot;:false,&quot;dropping-particle&quot;:&quot;&quot;,&quot;non-dropping-particle&quot;:&quot;&quot;},{&quot;family&quot;:&quot;Kornhuber&quot;,&quot;given&quot;:&quot;Johannes&quot;,&quot;parse-names&quot;:false,&quot;dropping-particle&quot;:&quot;&quot;,&quot;non-dropping-particle&quot;:&quot;&quot;}],&quot;container-title&quot;:&quot;The world journal of biological psychiatry : the official journal of the World Federation of Societies of Biological Psychiatry&quot;,&quot;accessed&quot;:{&quot;date-parts&quot;:[[2022,2,5]]},&quot;DOI&quot;:&quot;10.1080/15622975.2017.1375556&quot;,&quot;ISSN&quot;:&quot;18141412&quot;,&quot;PMID&quot;:&quot;29076399&quot;,&quot;URL&quot;:&quot;/pmc/articles/PMC5916324/&quot;,&quot;issued&quot;:{&quot;date-parts&quot;:[[2018,5,19]]},&quot;page&quot;:&quot;244&quot;,&quot;abstract&quot;:&quot;In the 12 years since the publication of the first Consensus Paper of the WFSBP on biomarkers of neurodegenerative dementias, enormous advancement has taken place in the field, and the Task Force takes now the opportunity to extend and update the original paper. New concepts of Alzheimer’s disease (AD) and the conceptual interactions between AD and dementia due to AD were developed, resulting in two sets for diagnostic/research criteria. Procedures for pre-analytical sample handling, biobanking, analyses and post-analytical interpretation of the results were intensively studied and optimised. A global quality control project was introduced to evaluate and monitor the inter-centre variability in measurements with the goal of harmonisation of results. Contexts of use and how to approach candidate biomarkers in biological specimens other than cerebrospinal fluid (CSF), e.g. blood, were precisely defined. Important development was achieved in neuroimaging techniques, including studies comparing amyloid-β positron emission tomography results to fluid-based modalities. Similarly, development in research laboratory technologies, such as ultra-sensitive methods, raises our hopes to further improve analytical and diagnostic accuracy of classic and novel candidate biomarkers. Synergistically, advancement in clinical trials of anti-dementia therapies energises and motivates the efforts to find and optimise the most reliable early diagnostic modalities. Finally, the first studies were published addressing the potential of cost-effectiveness of the biomarkers-based diagnosis of neurodegenerative disorders.&quot;,&quot;publisher&quot;:&quot;NIH Public Access&quot;,&quot;issue&quot;:&quot;4&quot;,&quot;volume&quot;:&quot;19&quot;,&quot;expandedJournalTitle&quot;:&quot;The world journal of biological psychiatry : the official journal of the World Federation of Societies of Biological Psychiatry&quot;},&quot;isTemporary&quot;:false}],&quot;citationTag&quot;:&quot;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&quot;},{&quot;citationID&quot;:&quot;MENDELEY_CITATION_043422c6-62d6-4811-82d5-e1424b0e463d&quot;,&quot;properties&quot;:{&quot;noteIndex&quot;:0},&quot;isEdited&quot;:false,&quot;manualOverride&quot;:{&quot;isManuallyOverridden&quot;:false,&quot;citeprocText&quot;:&quot;[8–11]&quot;,&quot;manualOverrideText&quot;:&quot;&quot;},&quot;citationItems&quot;:[{&quot;id&quot;:&quot;068d2b10-c270-384d-8c07-9bae9ffe2280&quot;,&quot;itemData&quot;:{&quot;type&quot;:&quot;article-journal&quot;,&quot;id&quot;:&quot;068d2b10-c270-384d-8c07-9bae9ffe2280&quot;,&quot;title&quot;:&quot;CSF biomarkers of Alzheimer's disease concord with amyloid-β PET and predict clinical progression: A study of fully automated immunoassays in BioFINDER and ADNI cohorts&quot;,&quot;author&quot;:[{&quot;family&quot;:&quot;Hansson&quot;,&quot;given&quot;:&quot;Oskar&quot;,&quot;parse-names&quot;:false,&quot;dropping-particle&quot;:&quot;&quot;,&quot;non-dropping-particle&quot;:&quot;&quot;},{&quot;family&quot;:&quot;Seibyl&quot;,&quot;given&quot;:&quot;John&quot;,&quot;parse-names&quot;:false,&quot;dropping-particle&quot;:&quot;&quot;,&quot;non-dropping-particle&quot;:&quot;&quot;},{&quot;family&quot;:&quot;Stomrud&quot;,&quot;given&quot;:&quot;Erik&quot;,&quot;parse-names&quot;:false,&quot;dropping-particle&quot;:&quot;&quot;,&quot;non-dropping-particle&quot;:&quot;&quot;},{&quot;family&quot;:&quot;Zetterberg&quot;,&quot;given&quot;:&quot;Henrik&quot;,&quot;parse-names&quot;:false,&quot;dropping-particle&quot;:&quot;&quot;,&quot;non-dropping-particle&quot;:&quot;&quot;},{&quot;family&quot;:&quot;Trojanowski&quot;,&quot;given&quot;:&quot;John Q.&quot;,&quot;parse-names&quot;:false,&quot;dropping-particle&quot;:&quot;&quot;,&quot;non-dropping-particle&quot;:&quot;&quot;},{&quot;family&quot;:&quot;Bittner&quot;,&quot;given&quot;:&quot;Tobias&quot;,&quot;parse-names&quot;:false,&quot;dropping-particle&quot;:&quot;&quot;,&quot;non-dropping-particle&quot;:&quot;&quot;},{&quot;family&quot;:&quot;Lifke&quot;,&quot;given&quot;:&quot;Valeria&quot;,&quot;parse-names&quot;:false,&quot;dropping-particle&quot;:&quot;&quot;,&quot;non-dropping-particle&quot;:&quot;&quot;},{&quot;family&quot;:&quot;Corradini&quot;,&quot;given&quot;:&quot;Veronika&quot;,&quot;parse-names&quot;:false,&quot;dropping-particle&quot;:&quot;&quot;,&quot;non-dropping-particle&quot;:&quot;&quot;},{&quot;family&quot;:&quot;Eichenlaub&quot;,&quot;given&quot;:&quot;Udo&quot;,&quot;parse-names&quot;:false,&quot;dropping-particle&quot;:&quot;&quot;,&quot;non-dropping-particle&quot;:&quot;&quot;},{&quot;family&quot;:&quot;Batrla&quot;,&quot;given&quot;:&quot;Richard&quot;,&quot;parse-names&quot;:false,&quot;dropping-particle&quot;:&quot;&quot;,&quot;non-dropping-particle&quot;:&quot;&quot;},{&quot;family&quot;:&quot;Buck&quot;,&quot;given&quot;:&quot;Katharina&quot;,&quot;parse-names&quot;:false,&quot;dropping-particle&quot;:&quot;&quot;,&quot;non-dropping-particle&quot;:&quot;&quot;},{&quot;family&quot;:&quot;Zink&quot;,&quot;given&quot;:&quot;Katharina&quot;,&quot;parse-names&quot;:false,&quot;dropping-particle&quot;:&quot;&quot;,&quot;non-dropping-particle&quot;:&quot;&quot;},{&quot;family&quot;:&quot;Rabe&quot;,&quot;given&quot;:&quot;Christina&quot;,&quot;parse-names&quot;:false,&quot;dropping-particle&quot;:&quot;&quot;,&quot;non-dropping-particle&quot;:&quot;&quot;},{&quot;family&quot;:&quot;Blennow&quot;,&quot;given&quot;:&quot;Kaj&quot;,&quot;parse-names&quot;:false,&quot;dropping-particle&quot;:&quot;&quot;,&quot;non-dropping-particle&quot;:&quot;&quot;},{&quot;family&quot;:&quot;Shaw&quot;,&quot;given&quot;:&quot;Leslie M.&quot;,&quot;parse-names&quot;:false,&quot;dropping-particle&quot;:&quot;&quot;,&quot;non-dropping-particle&quot;:&quot;&quot;}],&quot;container-title&quot;:&quot;Alzheimer's and Dementia&quot;,&quot;accessed&quot;:{&quot;date-parts&quot;:[[2022,2,5]]},&quot;DOI&quot;:&quot;10.1016/J.JALZ.2018.01.010&quot;,&quot;ISSN&quot;:&quot;15525279&quot;,&quot;PMID&quot;:&quot;29499171&quot;,&quot;issued&quot;:{&quot;date-parts&quot;:[[2018,11,1]]},&quot;page&quot;:&quot;1470-1481&quot;,&quot;abstract&quot;:&quot;Introduction: We studied whether fully automated Elecsys cerebrospinal fluid (CSF) immunoassay results were concordant with positron emission tomography (PET) and predicted clinical progression, even with cutoffs established in an independent cohort. Methods: Cutoffs for Elecsys amyloid-β1–42 (Aβ), total tau/Aβ(1–42), and phosphorylated tau/Aβ(1–42) were defined against [18F]flutemetamol PET in Swedish BioFINDER (n = 277) and validated against [18F]florbetapir PET in Alzheimer's Disease Neuroimaging Initiative (n = 646). Clinical progression in patients with mild cognitive impairment (n = 619) was studied. Results: CSF total tau/Aβ(1–42) and phosphorylated tau/Aβ(1–42) ratios were highly concordant with PET classification in BioFINDER (overall percent agreement: 90%; area under the curve: 94%). The CSF biomarker statuses established by predefined cutoffs were highly concordant with PET classification in Alzheimer's Disease Neuroimaging Initiative (overall percent agreement: 89%–90%; area under the curves: 96%) and predicted greater 2-year clinical decline in patients with mild cognitive impairment. Strikingly, tau/Aβ ratios were as accurate as semiquantitative PET image assessment in predicting visual read–based outcomes. Discussion: Elecsys CSF biomarker assays may provide reliable alternatives to PET in Alzheimer's disease diagnosis.&quot;,&quot;publisher&quot;:&quot;Elsevier Inc.&quot;,&quot;issue&quot;:&quot;11&quot;,&quot;volume&quot;:&quot;14&quot;,&quot;expandedJournalTitle&quot;:&quot;Alzheimer's and Dementia&quot;},&quot;isTemporary&quot;:false},{&quot;id&quot;:&quot;ab99f49c-250a-3b24-8c77-3f16256ffcee&quot;,&quot;itemData&quot;:{&quot;type&quot;:&quot;article-journal&quot;,&quot;id&quot;:&quot;ab99f49c-250a-3b24-8c77-3f16256ffcee&quot;,&quot;title&quot;:&quot;Chasing the effects of pre-analytical confounders – a multicenter study on CSF-AD biomarkers&quot;,&quot;author&quot;:[{&quot;family&quot;:&quot;Lehmann&quot;,&quot;given&quot;:&quot;Sylvain&quot;,&quot;parse-names&quot;:false,&quot;dropping-particle&quot;:&quot;&quot;,&quot;non-dropping-particle&quot;:&quot;&quot;},{&quot;family&quot;:&quot;Yang&quot;,&quot;given&quot;:&quot;Zhihui&quot;,&quot;parse-names&quot;:false,&quot;dropping-particle&quot;:&quot;&quot;,&quot;non-dropping-particle&quot;:&quot;&quot;},{&quot;family&quot;:&quot;Park&quot;,&quot;given&quot;:&quot;Sun Ah&quot;,&quot;parse-names&quot;:false,&quot;dropping-particle&quot;:&quot;&quot;,&quot;non-dropping-particle&quot;:&quot;&quot;},{&quot;family&quot;:&quot;Leitão&quot;,&quot;given&quot;:&quot;Maria João&quot;,&quot;parse-names&quot;:false,&quot;dropping-particle&quot;:&quot;&quot;,&quot;non-dropping-particle&quot;:&quot;&quot;},{&quot;family&quot;:&quot;Baldeiras&quot;,&quot;given&quot;:&quot;Inês&quot;,&quot;parse-names&quot;:false,&quot;dropping-particle&quot;:&quot;&quot;,&quot;non-dropping-particle&quot;:&quot;&quot;},{&quot;family&quot;:&quot;Herukka&quot;,&quot;given&quot;:&quot;Sanna-Kaisa&quot;,&quot;parse-names&quot;:false,&quot;dropping-particle&quot;:&quot;&quot;,&quot;non-dropping-particle&quot;:&quot;&quot;},{&quot;family&quot;:&quot;Pikkarainen&quot;,&quot;given&quot;:&quot;Maria&quot;,&quot;parse-names&quot;:false,&quot;dropping-particle&quot;:&quot;&quot;,&quot;non-dropping-particle&quot;:&quot;&quot;},{&quot;family&quot;:&quot;Leinonen&quot;,&quot;given&quot;:&quot;Ville&quot;,&quot;parse-names&quot;:false,&quot;dropping-particle&quot;:&quot;&quot;,&quot;non-dropping-particle&quot;:&quot;&quot;},{&quot;family&quot;:&quot;Simonsen&quot;,&quot;given&quot;:&quot;Anja Hviid&quot;,&quot;parse-names&quot;:false,&quot;dropping-particle&quot;:&quot;&quot;,&quot;non-dropping-particle&quot;:&quot;&quot;},{&quot;family&quot;:&quot;Perret-Liaudet&quot;,&quot;given&quot;:&quot;Armand&quot;,&quot;parse-names&quot;:false,&quot;dropping-particle&quot;:&quot;&quot;,&quot;non-dropping-particle&quot;:&quot;&quot;},{&quot;family&quot;:&quot;Fourier&quot;,&quot;given&quot;:&quot;Anthony&quot;,&quot;parse-names&quot;:false,&quot;dropping-particle&quot;:&quot;&quot;,&quot;non-dropping-particle&quot;:&quot;&quot;},{&quot;family&quot;:&quot;Quadrio&quot;,&quot;given&quot;:&quot;Isabelle&quot;,&quot;parse-names&quot;:false,&quot;dropping-particle&quot;:&quot;&quot;,&quot;non-dropping-particle&quot;:&quot;&quot;},{&quot;family&quot;:&quot;Veiga&quot;,&quot;given&quot;:&quot;Pedro Mota&quot;,&quot;parse-names&quot;:false,&quot;dropping-particle&quot;:&quot;&quot;,&quot;non-dropping-particle&quot;:&quot;&quot;},{&quot;family&quot;:&quot;Resende De Oliveira&quot;,&quot;given&quot;:&quot;Catarina&quot;,&quot;parse-names&quot;:false,&quot;dropping-particle&quot;:&quot;&quot;,&quot;non-dropping-particle&quot;:&quot;&quot;}],&quot;DOI&quot;:&quot;10.3389/fneur.2015.00153&quot;,&quot;URL&quot;:&quot;www.frontiersin.org&quot;,&quot;issued&quot;:{&quot;date-parts&quot;:[[2015]]},&quot;abstract&quot;:&quot;Introduction: Core cerebrospinal fluid (CSF) biomarkers-Aβ42, Tau, and phosphory-lated Tau (pTau)-have been recently incorporated in the revised criteria for Alzheimer's disease (AD). However, their widespread clinical application lacks standardization. Pre-analytical sample handling and storage play an important role in the reliable measurement of these biomarkers across laboratories. Aim: In this study, we aim to surpass the efforts from previous studies, by employing a multicenter approach to assess the impact of less studied CSF pre-analytical confounders in AD-biomarkers quantification. Methods: Four different centers participated in this study and followed the same established protocol. CSF samples were analyzed for three biomarkers (Aβ42, Tau, and pTau) and tested for different spinning conditions [temperature: room temperature (RT) vs. 4°C; speed: 500 vs. 2000 vs. 3000 g], storage volume variations (25, 50, and 75% of tube total volume), as well as freezing-thaw cycles (up to five cycles). The influence of sample routine parameters, inter-center variability, and relative value of each biomarker (reported as normal/abnormal) was analyzed. Results: Centrifugation conditions did not influence biomarkers levels, except for samples with a high CSF total protein content, where either non-centrifugation or centrifugation at RT, compared to 4°C, led to higher Aβ42 levels. Reducing CSF storage volume from 75 to 50% of total tube capacity decreased Aβ42 concentration (within analytical CV of the assay), whereas no change in Tau or pTau was observed. Moreover, the concentration of Tau and pTau appears to be stable up to five freeze-thaw cycles, whereas Aβ42 levels decrease if CSF is freeze-thawed more than three times. Frontiers in Neurology | www.frontiersin.org July 2015 | Volume 6 | Article 153 1 Leitão et al. Pre-analytical confounders on CSF-AD biomarkers Conclusion: This systematic study reinforces the need for CSF centrifugation at 4°C prior to storage and highlights the influence of storage conditions in Aβ42 levels. This study contributes to the establishment of harmonized standard operating procedures that will help reducing inter-lab variability of CSF-AD biomarkers evaluation.&quot;},&quot;isTemporary&quot;:false},{&quot;id&quot;:&quot;16fbdbf0-8669-3fe5-9c8b-8d1a5db16dbe&quot;,&quot;itemData&quot;:{&quot;type&quot;:&quot;article-journal&quot;,&quot;id&quot;:&quot;16fbdbf0-8669-3fe5-9c8b-8d1a5db16dbe&quot;,&quot;title&quot;:&quot;Confounding factors influencing amyloid beta concentration in cerebrospinal fluid&quot;,&quot;author&quot;:[{&quot;family&quot;:&quot;Bjerke&quot;,&quot;given&quot;:&quot;Maria&quot;,&quot;parse-names&quot;:false,&quot;dropping-particle&quot;:&quot;&quot;,&quot;non-dropping-particle&quot;:&quot;&quot;},{&quot;family&quot;:&quot;Portelius&quot;,&quot;given&quot;:&quot;Erik&quot;,&quot;parse-names&quot;:false,&quot;dropping-particle&quot;:&quot;&quot;,&quot;non-dropping-particle&quot;:&quot;&quot;},{&quot;family&quot;:&quot;Minthon&quot;,&quot;given&quot;:&quot;Lennart&quot;,&quot;parse-names&quot;:false,&quot;dropping-particle&quot;:&quot;&quot;,&quot;non-dropping-particle&quot;:&quot;&quot;},{&quot;family&quot;:&quot;Wallin&quot;,&quot;given&quot;:&quot;Anders&quot;,&quot;parse-names&quot;:false,&quot;dropping-particle&quot;:&quot;&quot;,&quot;non-dropping-particle&quot;:&quot;&quot;},{&quot;family&quot;:&quot;Anckarster&quot;,&quot;given&quot;:&quot;Henrik&quot;,&quot;parse-names&quot;:false,&quot;dropping-particle&quot;:&quot;&quot;,&quot;non-dropping-particle&quot;:&quot;&quot;},{&quot;family&quot;:&quot;Anckarster&quot;,&quot;given&quot;:&quot;Rolf&quot;,&quot;parse-names&quot;:false,&quot;dropping-particle&quot;:&quot;&quot;,&quot;non-dropping-particle&quot;:&quot;&quot;},{&quot;family&quot;:&quot;Andreasen&quot;,&quot;given&quot;:&quot;Niels&quot;,&quot;parse-names&quot;:false,&quot;dropping-particle&quot;:&quot;&quot;,&quot;non-dropping-particle&quot;:&quot;&quot;},{&quot;family&quot;:&quot;Zetterberg&quot;,&quot;given&quot;:&quot;Henrik&quot;,&quot;parse-names&quot;:false,&quot;dropping-particle&quot;:&quot;&quot;,&quot;non-dropping-particle&quot;:&quot;&quot;},{&quot;family&quot;:&quot;Andreasson&quot;,&quot;given&quot;:&quot;Ulf&quot;,&quot;parse-names&quot;:false,&quot;dropping-particle&quot;:&quot;&quot;,&quot;non-dropping-particle&quot;:&quot;&quot;},{&quot;family&quot;:&quot;Blennow&quot;,&quot;given&quot;:&quot;Kaj&quot;,&quot;parse-names&quot;:false,&quot;dropping-particle&quot;:&quot;&quot;,&quot;non-dropping-particle&quot;:&quot;&quot;}],&quot;container-title&quot;:&quot;International Journal of Alzheimer's Disease&quot;,&quot;DOI&quot;:&quot;10.4061/2010/986310&quot;,&quot;ISSN&quot;:&quot;20900252&quot;,&quot;issued&quot;:{&quot;date-parts&quot;:[[2010]]},&quot;abstract&quot;:&quot;Background. Patients afflicted with Alzheimer's disease (AD) exhibit a decrease in the cerebrospinal fluid (CSF) concentration of the 42 amino acid form of -amyloid (A 42). However, a high discrepancy between different centers in measured A 42 levels reduces the utility of this biomarker as a diagnostic tool and in monitoring the effect of disease modifying drugs. Preanalytical and analytical confounding factors were examined with respect to their effect on the measured A 42 level. Methods. Aliquots of CSF samples were either treated differently prior to A 42 measurement or analyzed using different commercially available xMAP or ELISA assays. Results. Confounding factors affecting CSF A 42 levels were storage in different types of test tubes, dilution with detergent-containing buffer, plasma contamination, heat treatment, and the origin of the immunoassays used for quantification. Conclusion. In order to conduct multicenter studies, a standardized protocol to minimize preanalytical and analytical confounding factors is warranted. Copyright © 2010 Maria Bjerke et al.&quot;},&quot;isTemporary&quot;:false},{&quot;id&quot;:&quot;9afa1592-28d9-38d4-a52f-3bd9962785ad&quot;,&quot;itemData&quot;:{&quot;type&quot;:&quot;article-journal&quot;,&quot;id&quot;:&quot;9afa1592-28d9-38d4-a52f-3bd9962785ad&quot;,&quot;title&quot;:&quot;Impact of CSF storage volume on the analysis of Alzheimer's disease biomarkers on an automated platform&quot;,&quot;author&quot;:[{&quot;family&quot;:&quot;Delaby&quot;,&quot;given&quot;:&quot;Constance&quot;,&quot;parse-names&quot;:false,&quot;dropping-particle&quot;:&quot;&quot;,&quot;non-dropping-particle&quot;:&quot;&quot;},{&quot;family&quot;:&quot;Muñoz&quot;,&quot;given&quot;:&quot;Laia&quot;,&quot;parse-names&quot;:false,&quot;dropping-particle&quot;:&quot;&quot;,&quot;non-dropping-particle&quot;:&quot;&quot;},{&quot;family&quot;:&quot;Torres&quot;,&quot;given&quot;:&quot;Soraya&quot;,&quot;parse-names&quot;:false,&quot;dropping-particle&quot;:&quot;&quot;,&quot;non-dropping-particle&quot;:&quot;&quot;},{&quot;family&quot;:&quot;Nadal&quot;,&quot;given&quot;:&quot;Alícia&quot;,&quot;parse-names&quot;:false,&quot;dropping-particle&quot;:&quot;&quot;,&quot;non-dropping-particle&quot;:&quot;&quot;},{&quot;family&quot;:&quot;Bastard&quot;,&quot;given&quot;:&quot;Nathalie&quot;,&quot;parse-names&quot;:false,&quot;dropping-particle&quot;:&quot;&quot;,&quot;non-dropping-particle&quot;:&quot;le&quot;},{&quot;family&quot;:&quot;Lehmann&quot;,&quot;given&quot;:&quot;Sylvain&quot;,&quot;parse-names&quot;:false,&quot;dropping-particle&quot;:&quot;&quot;,&quot;non-dropping-particle&quot;:&quot;&quot;},{&quot;family&quot;:&quot;Lleó&quot;,&quot;given&quot;:&quot;Alberto&quot;,&quot;parse-names&quot;:false,&quot;dropping-particle&quot;:&quot;&quot;,&quot;non-dropping-particle&quot;:&quot;&quot;},{&quot;family&quot;:&quot;Alcolea&quot;,&quot;given&quot;:&quot;Daniel&quot;,&quot;parse-names&quot;:false,&quot;dropping-particle&quot;:&quot;&quot;,&quot;non-dropping-particle&quot;:&quot;&quot;}],&quot;container-title&quot;:&quot;Clinica Chimica Acta&quot;,&quot;accessed&quot;:{&quot;date-parts&quot;:[[2022,2,5]]},&quot;DOI&quot;:&quot;10.1016/J.CCA.2018.12.021&quot;,&quot;ISSN&quot;:&quot;0009-8981&quot;,&quot;PMID&quot;:&quot;30579960&quot;,&quot;issued&quot;:{&quot;date-parts&quot;:[[2019,3,1]]},&quot;page&quot;:&quot;98-101&quot;,&quot;abstract&quot;:&quot;Objectives: To assess the potential influence of the ratio between the storage tube surface area and the volume of cerebrospinal fluid (CSF) (surface/volume) on the quantifications of four Alzheimer's disease (AD) biomarkers on the Lumipulse G600II automated platform. Methods: CSF samples of 10 consecutive patients were stored in 2 ml polypropylene tubes containing four different CSF volumes: 1.5 ml, 1 ml, 0.5 ml and 0.25 ml. Concentration of CSF Aβ1-42, Aβ1–40, t-Tau and p-Tau were measured in all aliquots using the LUMIPULSE G600II automated platform from Fujirebio. Results: Levels of CSF Aβ1-42 and Aβ1-40 were lower in samples stored with lower volumes (higher surface/volume ratios). This decrease was partly compensated by using the ratio Aβ1-42/Aβ1-40. Quantification of t-Tau and p-Tau were not influenced by this pre-analytical condition. Conclusion: The surface/volume ratio can potentially influence the results of amyloid AD biomarkers. It appears essential to take into account the surface/volume ratio of the storage tubes when quantifying CSF biomarkers in clinical routine.&quot;,&quot;publisher&quot;:&quot;Elsevier&quot;,&quot;volume&quot;:&quot;490&quot;},&quot;isTemporary&quot;:false}],&quot;citationTag&quot;:&quot;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&quot;},{&quot;citationID&quot;:&quot;MENDELEY_CITATION_ce76cc51-7006-4ccc-b9ec-456ec5ac55b1&quot;,&quot;properties&quot;:{&quot;noteIndex&quot;:0},&quot;isEdited&quot;:false,&quot;manualOverride&quot;:{&quot;isManuallyOverridden&quot;:false,&quot;citeprocText&quot;:&quot;[10,12–22]&quot;,&quot;manualOverrideText&quot;:&quot;&quot;},&quot;citationItems&quot;:[{&quot;id&quot;:&quot;d433e70b-83e2-37fd-9f06-eb18e4623691&quot;,&quot;itemData&quot;:{&quot;type&quot;:&quot;article-journal&quot;,&quot;id&quot;:&quot;d433e70b-83e2-37fd-9f06-eb18e4623691&quot;,&quot;title&quot;:&quot;Influence of delayed CSF storage on concentrations of phospho-tau protein (181), total tau protein and beta-amyloid (1–42)&quot;,&quot;author&quot;:[{&quot;family&quot;:&quot;Kaiser&quot;,&quot;given&quot;:&quot;Elmar&quot;,&quot;parse-names&quot;:false,&quot;dropping-particle&quot;:&quot;&quot;,&quot;non-dropping-particle&quot;:&quot;&quot;},{&quot;family&quot;:&quot;Schönknecht&quot;,&quot;given&quot;:&quot;Peter&quot;,&quot;parse-names&quot;:false,&quot;dropping-particle&quot;:&quot;&quot;,&quot;non-dropping-particle&quot;:&quot;&quot;},{&quot;family&quot;:&quot;Thomann&quot;,&quot;given&quot;:&quot;Philipp A.&quot;,&quot;parse-names&quot;:false,&quot;dropping-particle&quot;:&quot;&quot;,&quot;non-dropping-particle&quot;:&quot;&quot;},{&quot;family&quot;:&quot;Hunt&quot;,&quot;given&quot;:&quot;Aoife&quot;,&quot;parse-names&quot;:false,&quot;dropping-particle&quot;:&quot;&quot;,&quot;non-dropping-particle&quot;:&quot;&quot;},{&quot;family&quot;:&quot;Schröder&quot;,&quot;given&quot;:&quot;Johannes&quot;,&quot;parse-names&quot;:false,&quot;dropping-particle&quot;:&quot;&quot;,&quot;non-dropping-particle&quot;:&quot;&quot;}],&quot;container-title&quot;:&quot;Neuroscience Letters&quot;,&quot;accessed&quot;:{&quot;date-parts&quot;:[[2022,2,5]]},&quot;DOI&quot;:&quot;10.1016/J.NEULET.2007.02.045&quot;,&quot;ISSN&quot;:&quot;0304-3940&quot;,&quot;PMID&quot;:&quot;17408854&quot;,&quot;issued&quot;:{&quot;date-parts&quot;:[[2007,5,1]]},&quot;page&quot;:&quot;193-195&quot;,&quot;abstract&quot;:&quot;It is generally accepted that cerebrospinal fluid (CSF) biomarkers such as tau protein, phosphorylated tau protein (threonine 181) and beta-amyloid (1-42) can facilitate early and differential diagnosis of Alzheimer's disease (AD). Since the respective concentrations can only be measured in a number of specialized centers, time to CSF specimen work-up has been considered as crucial for the stability of the respective biomarkers. When shipping of CSF samples is needed for biomarker measurement and immediate freezing of samples is not available, an overnight delay of up to 24 h frequently occurs. Therefore, we investigated the potential impact of a 24 h delayed freezing on CSF biomarker concentrations and compared it to 2 h storage (room temperature, 20 °C) and an immediate freezing. First, storage at room temperature for 2 h had only marginal, non-significant effects on the concentrations of CSF total tau protein and phospho-tau protein (181) compared to immediate freezing. Second, storage at room temperature for 24 h did not significantly affect total tau protein or phospho-tau protein but beta-amyloid (1-42) concentrations which increased significantly compared to the samples frozen immediately. These results indicate that CSF samples for the evaluation of total tau and phospho-tau protein may be kept at room temperature for up to 24 h whereas CSF samples for beta-amyloid (1-42) need to be frozen immediately. © 2007 Elsevier Ireland Ltd. All rights reserved.&quot;,&quot;publisher&quot;:&quot;Elsevier&quot;,&quot;issue&quot;:&quot;2&quot;,&quot;volume&quot;:&quot;417&quot;},&quot;isTemporary&quot;:false},{&quot;id&quot;:&quot;16fbdbf0-8669-3fe5-9c8b-8d1a5db16dbe&quot;,&quot;itemData&quot;:{&quot;type&quot;:&quot;article-journal&quot;,&quot;id&quot;:&quot;16fbdbf0-8669-3fe5-9c8b-8d1a5db16dbe&quot;,&quot;title&quot;:&quot;Confounding factors influencing amyloid beta concentration in cerebrospinal fluid&quot;,&quot;author&quot;:[{&quot;family&quot;:&quot;Bjerke&quot;,&quot;given&quot;:&quot;Maria&quot;,&quot;parse-names&quot;:false,&quot;dropping-particle&quot;:&quot;&quot;,&quot;non-dropping-particle&quot;:&quot;&quot;},{&quot;family&quot;:&quot;Portelius&quot;,&quot;given&quot;:&quot;Erik&quot;,&quot;parse-names&quot;:false,&quot;dropping-particle&quot;:&quot;&quot;,&quot;non-dropping-particle&quot;:&quot;&quot;},{&quot;family&quot;:&quot;Minthon&quot;,&quot;given&quot;:&quot;Lennart&quot;,&quot;parse-names&quot;:false,&quot;dropping-particle&quot;:&quot;&quot;,&quot;non-dropping-particle&quot;:&quot;&quot;},{&quot;family&quot;:&quot;Wallin&quot;,&quot;given&quot;:&quot;Anders&quot;,&quot;parse-names&quot;:false,&quot;dropping-particle&quot;:&quot;&quot;,&quot;non-dropping-particle&quot;:&quot;&quot;},{&quot;family&quot;:&quot;Anckarster&quot;,&quot;given&quot;:&quot;Henrik&quot;,&quot;parse-names&quot;:false,&quot;dropping-particle&quot;:&quot;&quot;,&quot;non-dropping-particle&quot;:&quot;&quot;},{&quot;family&quot;:&quot;Anckarster&quot;,&quot;given&quot;:&quot;Rolf&quot;,&quot;parse-names&quot;:false,&quot;dropping-particle&quot;:&quot;&quot;,&quot;non-dropping-particle&quot;:&quot;&quot;},{&quot;family&quot;:&quot;Andreasen&quot;,&quot;given&quot;:&quot;Niels&quot;,&quot;parse-names&quot;:false,&quot;dropping-particle&quot;:&quot;&quot;,&quot;non-dropping-particle&quot;:&quot;&quot;},{&quot;family&quot;:&quot;Zetterberg&quot;,&quot;given&quot;:&quot;Henrik&quot;,&quot;parse-names&quot;:false,&quot;dropping-particle&quot;:&quot;&quot;,&quot;non-dropping-particle&quot;:&quot;&quot;},{&quot;family&quot;:&quot;Andreasson&quot;,&quot;given&quot;:&quot;Ulf&quot;,&quot;parse-names&quot;:false,&quot;dropping-particle&quot;:&quot;&quot;,&quot;non-dropping-particle&quot;:&quot;&quot;},{&quot;family&quot;:&quot;Blennow&quot;,&quot;given&quot;:&quot;Kaj&quot;,&quot;parse-names&quot;:false,&quot;dropping-particle&quot;:&quot;&quot;,&quot;non-dropping-particle&quot;:&quot;&quot;}],&quot;container-title&quot;:&quot;International Journal of Alzheimer's Disease&quot;,&quot;DOI&quot;:&quot;10.4061/2010/986310&quot;,&quot;ISSN&quot;:&quot;20900252&quot;,&quot;issued&quot;:{&quot;date-parts&quot;:[[2010]]},&quot;abstract&quot;:&quot;Background. Patients afflicted with Alzheimer's disease (AD) exhibit a decrease in the cerebrospinal fluid (CSF) concentration of the 42 amino acid form of -amyloid (A 42). However, a high discrepancy between different centers in measured A 42 levels reduces the utility of this biomarker as a diagnostic tool and in monitoring the effect of disease modifying drugs. Preanalytical and analytical confounding factors were examined with respect to their effect on the measured A 42 level. Methods. Aliquots of CSF samples were either treated differently prior to A 42 measurement or analyzed using different commercially available xMAP or ELISA assays. Results. Confounding factors affecting CSF A 42 levels were storage in different types of test tubes, dilution with detergent-containing buffer, plasma contamination, heat treatment, and the origin of the immunoassays used for quantification. Conclusion. In order to conduct multicenter studies, a standardized protocol to minimize preanalytical and analytical confounding factors is warranted. Copyright © 2010 Maria Bjerke et al.&quot;},&quot;isTemporary&quot;:false},{&quot;id&quot;:&quot;76e466c7-f95a-3473-8838-e0f1187dffdf&quot;,&quot;itemData&quot;:{&quot;type&quot;:&quot;report&quot;,&quot;id&quot;:&quot;76e466c7-f95a-3473-8838-e0f1187dffdf&quot;,&quot;title&quot;:&quot;Supplementary Data Validation of ELISA Methods for Quantification of Total Tau and Phosporylated-Tau 181 in Human Cerebrospinal Fluid with Measurement in Specimens from Two Alzheimer's Disease Studies&quot;,&quot;author&quot;:[{&quot;family&quot;:&quot;Lachno&quot;,&quot;given&quot;:&quot;D Richard&quot;,&quot;parse-names&quot;:false,&quot;dropping-particle&quot;:&quot;&quot;,&quot;non-dropping-particle&quot;:&quot;&quot;},{&quot;family&quot;:&quot;Romeo&quot;,&quot;given&quot;:&quot;Martin J&quot;,&quot;parse-names&quot;:false,&quot;dropping-particle&quot;:&quot;&quot;,&quot;non-dropping-particle&quot;:&quot;&quot;},{&quot;family&quot;:&quot;Siemers&quot;,&quot;given&quot;:&quot;Eric R&quot;,&quot;parse-names&quot;:false,&quot;dropping-particle&quot;:&quot;&quot;,&quot;non-dropping-particle&quot;:&quot;&quot;},{&quot;family&quot;:&quot;Vanderstichele&quot;,&quot;given&quot;:&quot;Hugo&quot;,&quot;parse-names&quot;:false,&quot;dropping-particle&quot;:&quot;&quot;,&quot;non-dropping-particle&quot;:&quot;&quot;},{&quot;family&quot;:&quot;Coart&quot;,&quot;given&quot;:&quot;Els&quot;,&quot;parse-names&quot;:false,&quot;dropping-particle&quot;:&quot;&quot;,&quot;non-dropping-particle&quot;:&quot;&quot;},{&quot;family&quot;:&quot;Konrad&quot;,&quot;given&quot;:&quot;Robert J&quot;,&quot;parse-names&quot;:false,&quot;dropping-particle&quot;:&quot;&quot;,&quot;non-dropping-particle&quot;:&quot;&quot;},{&quot;family&quot;:&quot;Zajac&quot;,&quot;given&quot;:&quot;Joseph J&quot;,&quot;parse-names&quot;:false,&quot;dropping-particle&quot;:&quot;&quot;,&quot;non-dropping-particle&quot;:&quot;&quot;},{&quot;family&quot;:&quot;Talbot&quot;,&quot;given&quot;:&quot;Jayne A&quot;,&quot;parse-names&quot;:false,&quot;dropping-particle&quot;:&quot;&quot;,&quot;non-dropping-particle&quot;:&quot;&quot;},{&quot;family&quot;:&quot;Jensen&quot;,&quot;given&quot;:&quot;Hans F&quot;,&quot;parse-names&quot;:false,&quot;dropping-particle&quot;:&quot;&quot;,&quot;non-dropping-particle&quot;:&quot;&quot;},{&quot;family&quot;:&quot;Sethuraman&quot;,&quot;given&quot;:&quot;Gopalan&quot;,&quot;parse-names&quot;:false,&quot;dropping-particle&quot;:&quot;&quot;,&quot;non-dropping-particle&quot;:&quot;&quot;},{&quot;family&quot;:&quot;Demattos&quot;,&quot;given&quot;:&quot;Ronald B&quot;,&quot;parse-names&quot;:false,&quot;dropping-particle&quot;:&quot;&quot;,&quot;non-dropping-particle&quot;:&quot;&quot;},{&quot;family&quot;:&quot;May&quot;,&quot;given&quot;:&quot;Patrick C&quot;,&quot;parse-names&quot;:false,&quot;dropping-particle&quot;:&quot;&quot;,&quot;non-dropping-particle&quot;:&quot;&quot;},{&quot;family&quot;:&quot;Dean&quot;,&quot;given&quot;:&quot;Robert A&quot;,&quot;parse-names&quot;:false,&quot;dropping-particle&quot;:&quot;&quot;,&quot;non-dropping-particle&quot;:&quot;&quot;}],&quot;container-title&quot;:&quot;Journal of Alzheimer's Disease&quot;,&quot;issued&quot;:{&quot;date-parts&quot;:[[2011]]},&quot;number-of-pages&quot;:&quot;1-5&quot;,&quot;publisher&quot;:&quot;IOS Press&quot;,&quot;volume&quot;:&quot;26&quot;},&quot;isTemporary&quot;:false},{&quot;id&quot;:&quot;89deabb7-66a1-3332-ac38-e741d2d955c4&quot;,&quot;itemData&quot;:{&quot;type&quot;:&quot;article-journal&quot;,&quot;id&quot;:&quot;89deabb7-66a1-3332-ac38-e741d2d955c4&quot;,&quot;title&quot;:&quot;Preanalytical sample handling and sample stability testing for the neurochemical dementia diagnostics&quot;,&quot;author&quot;:[{&quot;family&quot;:&quot;Zimmermann&quot;,&quot;given&quot;:&quot;Rüdiger&quot;,&quot;parse-names&quot;:false,&quot;dropping-particle&quot;:&quot;&quot;,&quot;non-dropping-particle&quot;:&quot;&quot;},{&quot;family&quot;:&quot;Lelental&quot;,&quot;given&quot;:&quot;Natalia&quot;,&quot;parse-names&quot;:false,&quot;dropping-particle&quot;:&quot;&quot;,&quot;non-dropping-particle&quot;:&quot;&quot;},{&quot;family&quot;:&quot;Ganslandt&quot;,&quot;given&quot;:&quot;Oliver&quot;,&quot;parse-names&quot;:false,&quot;dropping-particle&quot;:&quot;&quot;,&quot;non-dropping-particle&quot;:&quot;&quot;},{&quot;family&quot;:&quot;Maler&quot;,&quot;given&quot;:&quot;Juan Manuel&quot;,&quot;parse-names&quot;:false,&quot;dropping-particle&quot;:&quot;&quot;,&quot;non-dropping-particle&quot;:&quot;&quot;},{&quot;family&quot;:&quot;Kornhuber&quot;,&quot;given&quot;:&quot;Johannes&quot;,&quot;parse-names&quot;:false,&quot;dropping-particle&quot;:&quot;&quot;,&quot;non-dropping-particle&quot;:&quot;&quot;},{&quot;family&quot;:&quot;Lewczuk&quot;,&quot;given&quot;:&quot;Piotr&quot;,&quot;parse-names&quot;:false,&quot;dropping-particle&quot;:&quot;&quot;,&quot;non-dropping-particle&quot;:&quot;&quot;}],&quot;container-title&quot;:&quot;Journal of Alzheimer's Disease&quot;,&quot;DOI&quot;:&quot;10.3233/JAD-2011-110212&quot;,&quot;ISSN&quot;:&quot;18758908&quot;,&quot;issued&quot;:{&quot;date-parts&quot;:[[2011]]},&quot;page&quot;:&quot;739-745&quot;,&quot;abstract&quot;:&quot;Preanalytical sample handling and storage procedures play an extremely important role in reliably measuring neurochemical dementia diagnostics (NDD) biomarkers: Aβ1-40, Aβ1-42, Tau, and pTau181. To test different handling and storage conditions, the following protocols were applied: (a) storage at room temperature for one week, (b) deep-freezing and thawing up to three cycles, (c) deep-freezing, thawing and keeping under +4°C for two days before the analysis, and (d) long-term stability of a deeply frozen sample. Between the first and the seventh day of the storage at room temperature, the percentage of the concentrations (compared to the starting concentrations) fluctuated: 104.3-105.3, 97.6-93.2, 100.6-96.8, and 97.9-90.2 for Aβ1-40, Aβ1-42, Tau, and pTau181, respectively. Re-freezing cycles resulted in the percentage fluctuations of the concentrations: 101.1-105.5, 95.4-99.7, 98.3-100.0, and 100.5-101.4 for Aβ1-40, Aβ1-42, Tau, and pTau181, respectively. Keeping previously frozen/thawed samples under +4°C for two days resulted in the percentage differences of the concentrations: +15.9, +2.2,-1.1, and-0.1 for Aβ1-40, Aβ1-42, Tau, and pTau181, respectively. During long-term stability, the coefficients of linear correlation (R 2) were: Aβ1-40, 0.007; Aβ1-42, 0.02; Tau, 0.011; and pTau181, 0.02, and the corresponding inter-assay coefficients of variation: 13.9%, 13.9%, 11.0%, and 10.7% for Aβ1-40, Aβ1-42, Tau, and pTau181, respectively. We conclude that the NDD biomarkers are relatively stable when the cerebrospinal fluid sample is kept at room temperature for about four days; one or two thawing/refreezing cycles do not profoundly affect the biomarkers concentrations, however three cycles result in increased unsystematic variation. The four biomarkers seem to be stable in a sample stored deeply frozen for more than two years. © 2011-IOS Press and the authors. All rights reserved.&quot;,&quot;publisher&quot;:&quot;IOS Press&quot;,&quot;issue&quot;:&quot;4&quot;,&quot;volume&quot;:&quot;25&quot;},&quot;isTemporary&quot;:false},{&quot;id&quot;:&quot;9c0f8e66-0a20-3dc2-a129-17af1c2478d9&quot;,&quot;itemData&quot;:{&quot;type&quot;:&quot;article-journal&quot;,&quot;id&quot;:&quot;9c0f8e66-0a20-3dc2-a129-17af1c2478d9&quot;,&quot;title&quot;:&quot;Towards a unified protocol for handling of CSF before β-amyloid measurements&quot;,&quot;author&quot;:[{&quot;family&quot;:&quot;Janelidze&quot;,&quot;given&quot;:&quot;Shorena&quot;,&quot;parse-names&quot;:false,&quot;dropping-particle&quot;:&quot;&quot;,&quot;non-dropping-particle&quot;:&quot;&quot;},{&quot;family&quot;:&quot;Stomrud&quot;,&quot;given&quot;:&quot;Erik&quot;,&quot;parse-names&quot;:false,&quot;dropping-particle&quot;:&quot;&quot;,&quot;non-dropping-particle&quot;:&quot;&quot;},{&quot;family&quot;:&quot;Brix&quot;,&quot;given&quot;:&quot;Britta&quot;,&quot;parse-names&quot;:false,&quot;dropping-particle&quot;:&quot;&quot;,&quot;non-dropping-particle&quot;:&quot;&quot;},{&quot;family&quot;:&quot;Hansson&quot;,&quot;given&quot;:&quot;Oskar&quot;,&quot;parse-names&quot;:false,&quot;dropping-particle&quot;:&quot;&quot;,&quot;non-dropping-particle&quot;:&quot;&quot;}],&quot;container-title&quot;:&quot;Alzheimer's Research and Therapy&quot;,&quot;DOI&quot;:&quot;10.1186/s13195-019-0517-9&quot;,&quot;ISSN&quot;:&quot;17589193&quot;,&quot;PMID&quot;:&quot;31324260&quot;,&quot;issued&quot;:{&quot;date-parts&quot;:[[2019,7,19]]},&quot;abstract&quot;:&quot;Background: Widespread implementation of Alzheimer's disease biomarkers in routine clinical practice requires the establishment of standard operating procedures for pre-analytical handling of cerebrospinal fluid (CSF). Methods: Here, CSF collection and storage protocols were optimized for measurements of β-amyloid (Aβ). We investigated the effects of (1) storage temperature, (2) storage time, (3) centrifugation, (4) sample mixing, (5) blood contamination, and (6) collection gradient on CSF levels of Aβ. For each study participant, we used fresh CSF directly collected into a protein low binding (LoB) tube that was analyzed within hours after lumbar puncture (LP) as standard of truth. Aβ42 and Aβ40 were measured in de-identified CSF samples using EUROIMMUN and Mesoscale discovery assays. Results: CSF Aβ42 and Aβ40 were stable for at least 72 h at room temperature (RT), 1 week at 4 °C, and 2 weeks at - 20 °C and - 80 °C. Centrifugation of non-blood-contaminated CSF or mixing of samples before the analysis did not affect Aβ levels. Addition of 0.1-10% blood to CSF that was stored at RT without centrifugation led to a dose- and time-dependent decrease in Aβ42 and Aβ40, while Aβ42/Aβ40 did not change. The effects of blood contamination were mitigated by centrifugation and/or storage at 4 °C or - 20 °C. Aβ levels did not differ between the first to fourth 5-ml portions of CSF. Conclusions: CSF can be stored for up to 72 h at RT, 1 week at 4 °C, or at least 2 weeks at either - 20 °C or - 80 °C before Aβ measurements. Centrifugation of fresh non-blood-contaminated CSF after LP, or mixing before analysis, is not required. In case of visible blood contamination, centrifugation and storage at 4 °C or - 20 °C is recommended. After discarding the first 2 ml, any portion of up to 20 ml of CSF is suitable for Aβ analysis. These findings will be important for the development of a clinical routine protocol for pre-analytical handling of CSF.&quot;,&quot;publisher&quot;:&quot;BioMed Central Ltd.&quot;,&quot;issue&quot;:&quot;1&quot;,&quot;volume&quot;:&quot;11&quot;},&quot;isTemporary&quot;:false},{&quot;id&quot;:&quot;8e0bdd56-efb8-3f54-aa3e-25a3167b9a07&quot;,&quot;itemData&quot;:{&quot;type&quot;:&quot;article-journal&quot;,&quot;id&quot;:&quot;8e0bdd56-efb8-3f54-aa3e-25a3167b9a07&quot;,&quot;title&quot;:&quot;Pre-analytical protocol for measuring Alzheimer's disease biomarkers in fresh CSF&quot;,&quot;author&quot;:[{&quot;family&quot;:&quot;Hansson&quot;,&quot;given&quot;:&quot;Oskar&quot;,&quot;parse-names&quot;:false,&quot;dropping-particle&quot;:&quot;&quot;,&quot;non-dropping-particle&quot;:&quot;&quot;},{&quot;family&quot;:&quot;Rutz&quot;,&quot;given&quot;:&quot;Sandra&quot;,&quot;parse-names&quot;:false,&quot;dropping-particle&quot;:&quot;&quot;,&quot;non-dropping-particle&quot;:&quot;&quot;},{&quot;family&quot;:&quot;Zetterberg&quot;,&quot;given&quot;:&quot;Henrik&quot;,&quot;parse-names&quot;:false,&quot;dropping-particle&quot;:&quot;&quot;,&quot;non-dropping-particle&quot;:&quot;&quot;},{&quot;family&quot;:&quot;Bauer&quot;,&quot;given&quot;:&quot;Ekaterina&quot;,&quot;parse-names&quot;:false,&quot;dropping-particle&quot;:&quot;&quot;,&quot;non-dropping-particle&quot;:&quot;&quot;},{&quot;family&quot;:&quot;Hähl&quot;,&quot;given&quot;:&quot;Teresa&quot;,&quot;parse-names&quot;:false,&quot;dropping-particle&quot;:&quot;&quot;,&quot;non-dropping-particle&quot;:&quot;&quot;},{&quot;family&quot;:&quot;Manuilova&quot;,&quot;given&quot;:&quot;Ekaterina&quot;,&quot;parse-names&quot;:false,&quot;dropping-particle&quot;:&quot;&quot;,&quot;non-dropping-particle&quot;:&quot;&quot;},{&quot;family&quot;:&quot;Mert&quot;,&quot;given&quot;:&quot;Mehmet Can&quot;,&quot;parse-names&quot;:false,&quot;dropping-particle&quot;:&quot;&quot;,&quot;non-dropping-particle&quot;:&quot;&quot;},{&quot;family&quot;:&quot;Wahl&quot;,&quot;given&quot;:&quot;Simone&quot;,&quot;parse-names&quot;:false,&quot;dropping-particle&quot;:&quot;&quot;,&quot;non-dropping-particle&quot;:&quot;&quot;},{&quot;family&quot;:&quot;Blennow&quot;,&quot;given&quot;:&quot;Kaj&quot;,&quot;parse-names&quot;:false,&quot;dropping-particle&quot;:&quot;&quot;,&quot;non-dropping-particle&quot;:&quot;&quot;},{&quot;family&quot;:&quot;Stomrud&quot;,&quot;given&quot;:&quot;Erik&quot;,&quot;parse-names&quot;:false,&quot;dropping-particle&quot;:&quot;&quot;,&quot;non-dropping-particle&quot;:&quot;&quot;}],&quot;container-title&quot;:&quot;Alzheimer's and Dementia: Diagnosis, Assessment and Disease Monitoring&quot;,&quot;accessed&quot;:{&quot;date-parts&quot;:[[2022,2,5]]},&quot;DOI&quot;:&quot;10.1002/DAD2.12137&quot;,&quot;ISSN&quot;:&quot;23528729&quot;,&quot;issued&quot;:{&quot;date-parts&quot;:[[2020]]},&quot;abstract&quot;:&quot;Introduction: We aimed to establish a standardized, routine-use pre-analytical protocol for measuring Alzheimer's disease (AD) biomarkers in cerebrospinal fluid (CSF). Methods: The effect of pre-analytical factors (sample collection/handling/storage/transportation) on biomarker levels was assessed using freshly collected CSF. Tube type/sterilization was assessed using previously frozen samples. A low-bind false-bottom tube (FBT, Sarstedt) was used for all experiments, except tube types/sterilization experiments. Biomarkers were measured using Elecsys CSF assays. Results: Amyloid beta (Aβ)1-42 levels varied by tube type, using a low-bind FBT reduced variation. Aβ1-42 levels were higher with no mixing versus roller/inversion mixing. Aβ1-42 levels were lower with horizontal versus upright transportation; this was resolved by maximal tube filling and storage at 2°C to 8°C. Aβ1-40 levels were less strongly affected. Phospho-tau and total-tau levels were largely unaffected. Discussion: We propose an easy-to-use, standardized, routine-use pre-analytical protocol, using low-bind FBTs, for measuring AD CSF biomarkers in clinical practice.&quot;,&quot;publisher&quot;:&quot;John Wiley and Sons Inc&quot;,&quot;issue&quot;:&quot;1&quot;,&quot;volume&quot;:&quot;12&quot;},&quot;isTemporary&quot;:false},{&quot;id&quot;:&quot;cedabe72-c4d8-3553-bea8-f51e176d5e49&quot;,&quot;itemData&quot;:{&quot;type&quot;:&quot;article-journal&quot;,&quot;id&quot;:&quot;cedabe72-c4d8-3553-bea8-f51e176d5e49&quot;,&quot;title&quot;:&quot;Effects of Processing and Storage Conditions on Amyloid (1-42) and Tau Concentrations in Cerebrospinal Fluid: Implications for Use in Clinical Practice&quot;,&quot;author&quot;:[{&quot;family&quot;:&quot;Schoonenboom&quot;,&quot;given&quot;:&quot;Niki S M&quot;,&quot;parse-names&quot;:false,&quot;dropping-particle&quot;:&quot;&quot;,&quot;non-dropping-particle&quot;:&quot;&quot;},{&quot;family&quot;:&quot;Mulder&quot;,&quot;given&quot;:&quot;Cees&quot;,&quot;parse-names&quot;:false,&quot;dropping-particle&quot;:&quot;&quot;,&quot;non-dropping-particle&quot;:&quot;&quot;},{&quot;family&quot;:&quot;Vanderstichele&quot;,&quot;given&quot;:&quot;Hugo&quot;,&quot;parse-names&quot;:false,&quot;dropping-particle&quot;:&quot;&quot;,&quot;non-dropping-particle&quot;:&quot;&quot;},{&quot;family&quot;:&quot;Elk&quot;,&quot;given&quot;:&quot;Evert-Jan&quot;,&quot;parse-names&quot;:false,&quot;dropping-particle&quot;:&quot;&quot;,&quot;non-dropping-particle&quot;:&quot;van&quot;},{&quot;family&quot;:&quot;Kok&quot;,&quot;given&quot;:&quot;Astrid&quot;,&quot;parse-names&quot;:false,&quot;dropping-particle&quot;:&quot;&quot;,&quot;non-dropping-particle&quot;:&quot;&quot;},{&quot;family&quot;:&quot;Kamp&quot;,&quot;given&quot;:&quot;Gerard J&quot;,&quot;parse-names&quot;:false,&quot;dropping-particle&quot;:&quot;&quot;,&quot;non-dropping-particle&quot;:&quot;van&quot;},{&quot;family&quot;:&quot;Scheltens&quot;,&quot;given&quot;:&quot;Philip&quot;,&quot;parse-names&quot;:false,&quot;dropping-particle&quot;:&quot;&quot;,&quot;non-dropping-particle&quot;:&quot;&quot;},{&quot;family&quot;:&quot;Blankenstein&quot;,&quot;given&quot;:&quot;Marinus A&quot;,&quot;parse-names&quot;:false,&quot;dropping-particle&quot;:&quot;&quot;,&quot;non-dropping-particle&quot;:&quot;&quot;}],&quot;DOI&quot;:&quot;10.1373/clinchem.2004.039735&quot;,&quot;issued&quot;:{&quot;date-parts&quot;:[[2005]]},&quot;abstract&quot;:&quot;Background: Reported concentrations of amyloid (1-42) (A42) and tau in cerebrospinal fluid (CSF) differ among reports. We investigated the effects of storage temperature, repeated freeze/thaw cycles, and centrifu-gation on the concentrations of A42 and tau in CSF. Methods: Stability of samples stored at 80 °C was determined by use of an accelerated stability testing protocol according to the Arrhenius equation. A42 and tau concentrations were measured in CSF samples stored at 4, 18, 37, and 80 °C. Relative CSF concentrations (%) of the biomarkers after one freeze/thaw cycle were compared with those after two, three, four, five, and six freeze/thaw cycles. In addition, relative A42 and tau concentrations in samples not centrifuged were compared with samples centrifuged after 1, 4, 48, and 72 h. Results: A42 and tau concentrations were stable in CSF when stored for a long period at 80 °C. CSF A42 decreased by 20% during the first 2 days at 4, 18, and 37 °C compared with 80 °C. CSF tau decreased after storage for 12 days at 37 °C. After three freeze/thaw cycles, CSF A42 decreased 20%. CSF tau was stable during six freeze/thaw cycles. Centrifugation did not influence the biomarker concentrations.&quot;},&quot;isTemporary&quot;:false},{&quot;id&quot;:&quot;e76f181b-70ec-3e29-9c99-6083103c53bd&quot;,&quot;itemData&quot;:{&quot;type&quot;:&quot;article-journal&quot;,&quot;id&quot;:&quot;e76f181b-70ec-3e29-9c99-6083103c53bd&quot;,&quot;title&quot;:&quot;Analytical performance and clinical utility of the INNOTEST® PHOSPHO-TAU(181P) assay for discrimination between Alzheimer's disease and dementia with Lewy bodies&quot;,&quot;author&quot;:[{&quot;family&quot;:&quot;Vanderstichele&quot;,&quot;given&quot;:&quot;Hugo&quot;,&quot;parse-names&quot;:false,&quot;dropping-particle&quot;:&quot;&quot;,&quot;non-dropping-particle&quot;:&quot;&quot;},{&quot;family&quot;:&quot;Vreese&quot;,&quot;given&quot;:&quot;Karen&quot;,&quot;parse-names&quot;:false,&quot;dropping-particle&quot;:&quot;&quot;,&quot;non-dropping-particle&quot;:&quot;de&quot;},{&quot;family&quot;:&quot;Blennow&quot;,&quot;given&quot;:&quot;Kaj&quot;,&quot;parse-names&quot;:false,&quot;dropping-particle&quot;:&quot;&quot;,&quot;non-dropping-particle&quot;:&quot;&quot;},{&quot;family&quot;:&quot;Andreasen&quot;,&quot;given&quot;:&quot;Niels&quot;,&quot;parse-names&quot;:false,&quot;dropping-particle&quot;:&quot;&quot;,&quot;non-dropping-particle&quot;:&quot;&quot;},{&quot;family&quot;:&quot;Sindic&quot;,&quot;given&quot;:&quot;Christian&quot;,&quot;parse-names&quot;:false,&quot;dropping-particle&quot;:&quot;&quot;,&quot;non-dropping-particle&quot;:&quot;&quot;},{&quot;family&quot;:&quot;Ivanoiu&quot;,&quot;given&quot;:&quot;Adrian&quot;,&quot;parse-names&quot;:false,&quot;dropping-particle&quot;:&quot;&quot;,&quot;non-dropping-particle&quot;:&quot;&quot;},{&quot;family&quot;:&quot;Hampel&quot;,&quot;given&quot;:&quot;Harald&quot;,&quot;parse-names&quot;:false,&quot;dropping-particle&quot;:&quot;&quot;,&quot;non-dropping-particle&quot;:&quot;&quot;},{&quot;family&quot;:&quot;Bürger&quot;,&quot;given&quot;:&quot;Katharina&quot;,&quot;parse-names&quot;:false,&quot;dropping-particle&quot;:&quot;&quot;,&quot;non-dropping-particle&quot;:&quot;&quot;},{&quot;family&quot;:&quot;Parnetti&quot;,&quot;given&quot;:&quot;Lucilla&quot;,&quot;parse-names&quot;:false,&quot;dropping-particle&quot;:&quot;&quot;,&quot;non-dropping-particle&quot;:&quot;&quot;},{&quot;family&quot;:&quot;Lanari&quot;,&quot;given&quot;:&quot;Alessia&quot;,&quot;parse-names&quot;:false,&quot;dropping-particle&quot;:&quot;&quot;,&quot;non-dropping-particle&quot;:&quot;&quot;},{&quot;family&quot;:&quot;Padovani&quot;,&quot;given&quot;:&quot;Allesandro&quot;,&quot;parse-names&quot;:false,&quot;dropping-particle&quot;:&quot;&quot;,&quot;non-dropping-particle&quot;:&quot;&quot;},{&quot;family&quot;:&quot;DiLuca&quot;,&quot;given&quot;:&quot;Monica&quot;,&quot;parse-names&quot;:false,&quot;dropping-particle&quot;:&quot;&quot;,&quot;non-dropping-particle&quot;:&quot;&quot;},{&quot;family&quot;:&quot;Bläser&quot;,&quot;given&quot;:&quot;Miriam&quot;,&quot;parse-names&quot;:false,&quot;dropping-particle&quot;:&quot;&quot;,&quot;non-dropping-particle&quot;:&quot;&quot;},{&quot;family&quot;:&quot;Ohrfelt Olsson&quot;,&quot;given&quot;:&quot;Annika&quot;,&quot;parse-names&quot;:false,&quot;dropping-particle&quot;:&quot;&quot;,&quot;non-dropping-particle&quot;:&quot;&quot;},{&quot;family&quot;:&quot;Pottel&quot;,&quot;given&quot;:&quot;Hans&quot;,&quot;parse-names&quot;:false,&quot;dropping-particle&quot;:&quot;&quot;,&quot;non-dropping-particle&quot;:&quot;&quot;},{&quot;family&quot;:&quot;Hulstaert&quot;,&quot;given&quot;:&quot;Frank&quot;,&quot;parse-names&quot;:false,&quot;dropping-particle&quot;:&quot;&quot;,&quot;non-dropping-particle&quot;:&quot;&quot;},{&quot;family&quot;:&quot;Vanmechelen&quot;,&quot;given&quot;:&quot;Eugeen&quot;,&quot;parse-names&quot;:false,&quot;dropping-particle&quot;:&quot;&quot;,&quot;non-dropping-particle&quot;:&quot;&quot;}],&quot;container-title&quot;:&quot;Clinical Chemistry and Laboratory Medicine&quot;,&quot;DOI&quot;:&quot;10.1515/CCLM.2006.258&quot;,&quot;ISSN&quot;:&quot;14346621&quot;,&quot;PMID&quot;:&quot;17163825&quot;,&quot;issued&quot;:{&quot;date-parts&quot;:[[2006,12,1]]},&quot;page&quot;:&quot;1472-1480&quot;,&quot;abstract&quot;:&quot;Background: Total tau (T-tau) and β-amyloid(1-42) (Aβ1-42) levels in cerebrospinal fluid (CSF) can differentiate Alzheimer's disease (AD) from normal aging or depressive pseudo-dementia. Differential diagnosis from dementia with Lewy bodies (DLB) in clinical settings is difficult. Methods: The analytical performance of the INNOTEST® PHOSPHO-TAU(181P) assay was validated in terms of selectivity, sensitivity, specificity, precision, robustness, and stability. Clinical utility of the assay alone, or combined with T-tau and Aβ1-42, for discrimination of AD (n=94) from patients suffering from DLB (n=60) or from age-matched control subjects (CS) (n=60) was assessed in a multicenter study. Results: CSF concentrations of tau phosphorylated at threonine 181 (P-tau 181P) in AD was significantly higher than in DLB and CS. Discriminant analysis, a classification tree, and logistic regression showed that P-tau 181P was the most statistically significant single variable of the three biomarkers for discrimination between AD and DLB. Conclusions: P-tau 181P quantification is a robust and reliable assay that may be useful in discriminating AD from DLB. © 2006 by Walter de Gruyter.&quot;,&quot;issue&quot;:&quot;12&quot;,&quot;volume&quot;:&quot;44&quot;},&quot;isTemporary&quot;:false},{&quot;id&quot;:&quot;3fd3c823-9e51-3fd3-adc3-bc76e79f807a&quot;,&quot;itemData&quot;:{&quot;type&quot;:&quot;article-journal&quot;,&quot;id&quot;:&quot;3fd3c823-9e51-3fd3-adc3-bc76e79f807a&quot;,&quot;title&quot;:&quot;Both total and phosphorylated tau are increased in Alzheimer's disease&quot;,&quot;author&quot;:[{&quot;family&quot;:&quot;Sjögren&quot;,&quot;given&quot;:&quot;M&quot;,&quot;parse-names&quot;:false,&quot;dropping-particle&quot;:&quot;&quot;,&quot;non-dropping-particle&quot;:&quot;&quot;},{&quot;family&quot;:&quot;Davidsson&quot;,&quot;given&quot;:&quot;P&quot;,&quot;parse-names&quot;:false,&quot;dropping-particle&quot;:&quot;&quot;,&quot;non-dropping-particle&quot;:&quot;&quot;},{&quot;family&quot;:&quot;Tullberg&quot;,&quot;given&quot;:&quot;M&quot;,&quot;parse-names&quot;:false,&quot;dropping-particle&quot;:&quot;&quot;,&quot;non-dropping-particle&quot;:&quot;&quot;},{&quot;family&quot;:&quot;Minthon&quot;,&quot;given&quot;:&quot;L&quot;,&quot;parse-names&quot;:false,&quot;dropping-particle&quot;:&quot;&quot;,&quot;non-dropping-particle&quot;:&quot;&quot;},{&quot;family&quot;:&quot;Wallin&quot;,&quot;given&quot;:&quot;A&quot;,&quot;parse-names&quot;:false,&quot;dropping-particle&quot;:&quot;&quot;,&quot;non-dropping-particle&quot;:&quot;&quot;},{&quot;family&quot;:&quot;Wikkelso&quot;,&quot;given&quot;:&quot;C&quot;,&quot;parse-names&quot;:false,&quot;dropping-particle&quot;:&quot;&quot;,&quot;non-dropping-particle&quot;:&quot;&quot;},{&quot;family&quot;:&quot;Granérus&quot;,&quot;given&quot;:&quot;A-K&quot;,&quot;parse-names&quot;:false,&quot;dropping-particle&quot;:&quot;&quot;,&quot;non-dropping-particle&quot;:&quot;&quot;},{&quot;family&quot;:&quot;Vanderstichele&quot;,&quot;given&quot;:&quot;H&quot;,&quot;parse-names&quot;:false,&quot;dropping-particle&quot;:&quot;&quot;,&quot;non-dropping-particle&quot;:&quot;&quot;},{&quot;family&quot;:&quot;Vanmechelen&quot;,&quot;given&quot;:&quot;E&quot;,&quot;parse-names&quot;:false,&quot;dropping-particle&quot;:&quot;&quot;,&quot;non-dropping-particle&quot;:&quot;&quot;},{&quot;family&quot;:&quot;Blennow&quot;,&quot;given&quot;:&quot;K&quot;,&quot;parse-names&quot;:false,&quot;dropping-particle&quot;:&quot;&quot;,&quot;non-dropping-particle&quot;:&quot;&quot;}],&quot;DOI&quot;:&quot;10.1136/jnnp.70.5.624&quot;,&quot;URL&quot;:&quot;www.jnnp.com&quot;,&quot;abstract&quot;:&quot;Backround-Pathological tau protein concentrations in CSF are found in both Alzheimer's disease (AD) and frontotem-poral dementia (FTD), but studies on brain tissue have suggested that the tau pathology in AD diVers from that in FTD and that the diVerence may be related to the degree of phosphorylation. As CSF tau protein is increased after stroke, tau may also be implicated in the pathophysiology of vascular dementia, of which subcortical arteriosclerotic encephalopathy (SAE) is a putative subtype. Objectives-To investigate the nature of tau protein in CSF and the involvement of total CSF tau and phosphorylated CSF tau (phosphotau) in various types of dementia. Methods-Using ELISAs for total tau and tau phosphorylated at Thr181 (phospho-tau), the CSF concentrations of total tau and phosphotau were determined in patients with probable and possible AD (n=41 and 19, respectively), FTD (n=18), SAE (n=17), and Parkinson's disease (PD; n=15) and in age matched controls (n=17). All the antibodies stained the lower molecular weight bands, whereas only the antibodies that recognise phosphorylated tau stained the higher molecular bands. Results-Both CSF tau and CSF phos-photau were increased in probable AD compared with FTD (p&lt;0.001), SAE (p&lt;0.001), PD (p&lt;0.001), and controls (p&lt;0.001). CSF phosphotau was increased in possible AD compared with FTD (p&lt;0.001) and SAE (p&lt;0.001). CSF tau and CSF phosphotau were positively correlated in all the groups. Molecular weight forms of tau ranging from 25 kDa to 80 kDa were found in the CSF Conclusion-Both phosphorylated and unphosphorylated tau isoforms were present in the CSF, and tau protein appeared in both truncated and full length forms. The results suggest that the CSF concentrations of tau and phosphotau are increased in about two thirds of patients with probable AD and in half of those with possible AD but are normal in FTD, SAE, and PD compared with normal aging. Values in the normal range do not exclude AD. (J Neurol Neurosurg Psychiatry 2001;70:624-630)&quot;},&quot;isTemporary&quot;:false},{&quot;id&quot;:&quot;01efde40-05c7-30ba-8df5-6d83167cf1a9&quot;,&quot;itemData&quot;:{&quot;type&quot;:&quot;article&quot;,&quot;id&quot;:&quot;01efde40-05c7-30ba-8df5-6d83167cf1a9&quot;,&quot;title&quot;:&quot;Cerebrospinal fluid biomarkers in Alzheimer's and Parkinson's diseases-From pathophysiology to clinical practice&quot;,&quot;author&quot;:[{&quot;family&quot;:&quot;Blennow&quot;,&quot;given&quot;:&quot;Kaj&quot;,&quot;parse-names&quot;:false,&quot;dropping-particle&quot;:&quot;&quot;,&quot;non-dropping-particle&quot;:&quot;&quot;},{&quot;family&quot;:&quot;Biscetti&quot;,&quot;given&quot;:&quot;Leonardo&quot;,&quot;parse-names&quot;:false,&quot;dropping-particle&quot;:&quot;&quot;,&quot;non-dropping-particle&quot;:&quot;&quot;},{&quot;family&quot;:&quot;Eusebi&quot;,&quot;given&quot;:&quot;Paolo&quot;,&quot;parse-names&quot;:false,&quot;dropping-particle&quot;:&quot;&quot;,&quot;non-dropping-particle&quot;:&quot;&quot;},{&quot;family&quot;:&quot;Parnetti&quot;,&quot;given&quot;:&quot;Lucilla&quot;,&quot;parse-names&quot;:false,&quot;dropping-particle&quot;:&quot;&quot;,&quot;non-dropping-particle&quot;:&quot;&quot;}],&quot;container-title&quot;:&quot;Movement Disorders&quot;,&quot;DOI&quot;:&quot;10.1002/mds.26656&quot;,&quot;ISSN&quot;:&quot;15318257&quot;,&quot;PMID&quot;:&quot;27145480&quot;,&quot;issued&quot;:{&quot;date-parts&quot;:[[2016,6,1]]},&quot;page&quot;:&quot;836-847&quot;,&quot;abstract&quot;:&quot;This review provides an update on the role, development, and validation of CSF biomarkers in the diagnosis and prognosis of Alzheimer's disease and PD. Some recent developments on novel biomarkers are also discussed. We also give an overview of methodological/technical factors still hampering the global validation and standardization of CSF Alzheimer's disease and PD biomarkers. CSF biomarkers have the potential to improve the diagnostic accuracy at the early stages not only for Alzheimer's disease but also for PD. This step is essential in view of the availability of disease-modifying treatments. Our vision for the future is that analyzing biomarker panels on a minute amount of CSF could provide important information on the whole spectrum of the molecular pathogenic events characterizing these neurodegenerative disorders. CSF core biomarkers have already been included in the diagnostic criteria for Alzheimer's disease, and they are also under consideration as tools to monitor the effects of disease-modifying drugs. With respect to PD, their potential for improving diagnostic accuracy in early diagnosis is under intense research, resembling the same path followed for Alzheimer's disease.&quot;,&quot;publisher&quot;:&quot;John Wiley and Sons Inc.&quot;,&quot;issue&quot;:&quot;6&quot;,&quot;volume&quot;:&quot;31&quot;},&quot;isTemporary&quot;:false},{&quot;id&quot;:&quot;b4005aa2-0536-36d7-9d4c-e48a1ae7fe28&quot;,&quot;itemData&quot;:{&quot;type&quot;:&quot;article-journal&quot;,&quot;id&quot;:&quot;b4005aa2-0536-36d7-9d4c-e48a1ae7fe28&quot;,&quot;title&quot;:&quot;Measurement of CSF core Alzheimer disease biomarkers for routine clinical diagnosis: do fresh vs frozen samples differ?&quot;,&quot;author&quot;:[{&quot;family&quot;:&quot;Bellomo&quot;,&quot;given&quot;:&quot;Giovanni&quot;,&quot;parse-names&quot;:false,&quot;dropping-particle&quot;:&quot;&quot;,&quot;non-dropping-particle&quot;:&quot;&quot;},{&quot;family&quot;:&quot;Cataldi&quot;,&quot;given&quot;:&quot;Samuela&quot;,&quot;parse-names&quot;:false,&quot;dropping-particle&quot;:&quot;&quot;,&quot;non-dropping-particle&quot;:&quot;&quot;},{&quot;family&quot;:&quot;Paciotti&quot;,&quot;given&quot;:&quot;Silvia&quot;,&quot;parse-names&quot;:false,&quot;dropping-particle&quot;:&quot;&quot;,&quot;non-dropping-particle&quot;:&quot;&quot;},{&quot;family&quot;:&quot;Paoletti&quot;,&quot;given&quot;:&quot;Federico Paolini&quot;,&quot;parse-names&quot;:false,&quot;dropping-particle&quot;:&quot;&quot;,&quot;non-dropping-particle&quot;:&quot;&quot;},{&quot;family&quot;:&quot;Chiasserini&quot;,&quot;given&quot;:&quot;Davide&quot;,&quot;parse-names&quot;:false,&quot;dropping-particle&quot;:&quot;&quot;,&quot;non-dropping-particle&quot;:&quot;&quot;},{&quot;family&quot;:&quot;Parnetti&quot;,&quot;given&quot;:&quot;Lucilla&quot;,&quot;parse-names&quot;:false,&quot;dropping-particle&quot;:&quot;&quot;,&quot;non-dropping-particle&quot;:&quot;&quot;}],&quot;accessed&quot;:{&quot;date-parts&quot;:[[2022,2,5]]},&quot;DOI&quot;:&quot;10.1186/s13195-020-00689-0&quot;,&quot;URL&quot;:&quot;https://doi.org/10.1186/s13195-020-00689-0&quot;,&quot;abstract&quot;:&quot;Background: Cerebrospinal fluid (CSF) amyloid-beta (Aβ) 42/40 ratio, threonine-181-phosphorylated-tau (p-tau), and total-tau (t-tau) represent core biomarkers of Alzheimer disease (AD). The recent availability of automated platforms has represented a significant achievement for reducing the pre-analytical variability of these determinations in clinical setting. With respect to classical manual ELISAs, these platforms give us also the possibility to measure any single sample and to get the result within approximately 30 min. So far, reference values have been calculated from measurements obtained in frozen samples. In this work, we wanted to check if the values obtained in fresh CSF samples differ from those obtained in frozen samples, since this issue is mandatory in routine diagnostic work. Methods: Fifty-eight consecutive CSF samples have been analyzed immediately after lumbar puncture and after 1-month deep freezing (− 80 °C). As an automated platform, we used Lumipulse G600-II (Fujirebio Inc.). Both the fresh and the frozen aliquots were analyzed in their storage tubes. Results: In fresh samples, a mean increase of Aβ40 (6%), Aβ42 (2%), p-tau (2%), and t-tau (4%) was observed as compared to frozen samples, whereas a slight decrease was observed for Aβ42/Aβ40 ratio (4%), due to the higher deviation of Aβ40 in fresh samples compared to Aβ42. These differences are significant for Aβ40, Aβ42/Aβ40 ratio, p-tau, and t-tau. Nevertheless, the Aβ42/Aβ40 ratio showed a lower variability (smaller standard deviation of relative differences) with respect to Aβ42. With respect to the AD profile according to the A/T/(N) criteria for AD diagnosis, no significant changes in classification were observed when comparing results obtained in fresh vs frozen samples. Conclusions: Small but significant differences have been found for Aβ40, Aβ42/Aβ40 ratio, p-tau, and t-tau in fresh vs frozen samples. Importantly, these differences did not imply a modification in the A/T/(N) classification system. In order to know if different cutoffs for fresh and frozen samples are required, larger, multi-center investigations are needed.&quot;},&quot;isTemporary&quot;:false},{&quot;id&quot;:&quot;1e73a94e-86f5-341a-aef7-bc35c07e72af&quot;,&quot;itemData&quot;:{&quot;type&quot;:&quot;report&quot;,&quot;id&quot;:&quot;1e73a94e-86f5-341a-aef7-bc35c07e72af&quot;,&quot;title&quot;:&quot;Longitudinal changes of CSF biomarkers in memory clinic patients&quot;,&quot;author&quot;:[{&quot;family&quot;:&quot;Bouwman&quot;,&quot;given&quot;:&quot;F H&quot;,&quot;parse-names&quot;:false,&quot;dropping-particle&quot;:&quot;&quot;,&quot;non-dropping-particle&quot;:&quot;&quot;},{&quot;family&quot;:&quot;Flier&quot;,&quot;given&quot;:&quot;W M&quot;,&quot;parse-names&quot;:false,&quot;dropping-particle&quot;:&quot;&quot;,&quot;non-dropping-particle&quot;:&quot;van der&quot;},{&quot;family&quot;:&quot;Schoonenboom&quot;,&quot;given&quot;:&quot;N S M&quot;,&quot;parse-names&quot;:false,&quot;dropping-particle&quot;:&quot;&quot;,&quot;non-dropping-particle&quot;:&quot;&quot;},{&quot;family&quot;:&quot;Elk&quot;,&quot;given&quot;:&quot;E J&quot;,&quot;parse-names&quot;:false,&quot;dropping-particle&quot;:&quot;&quot;,&quot;non-dropping-particle&quot;:&quot;van&quot;},{&quot;family&quot;:&quot;Kok&quot;,&quot;given&quot;:&quot;A&quot;,&quot;parse-names&quot;:false,&quot;dropping-particle&quot;:&quot;&quot;,&quot;non-dropping-particle&quot;:&quot;&quot;},{&quot;family&quot;:&quot;Rijmen&quot;,&quot;given&quot;:&quot;F&quot;,&quot;parse-names&quot;:false,&quot;dropping-particle&quot;:&quot;&quot;,&quot;non-dropping-particle&quot;:&quot;&quot;},{&quot;family&quot;:&quot;Blankenstein&quot;,&quot;given&quot;:&quot;M A&quot;,&quot;parse-names&quot;:false,&quot;dropping-particle&quot;:&quot;&quot;,&quot;non-dropping-particle&quot;:&quot;&quot;},{&quot;family&quot;:&quot;Scheltens&quot;,&quot;given&quot;:&quot;P&quot;,&quot;parse-names&quot;:false,&quot;dropping-particle&quot;:&quot;&quot;,&quot;non-dropping-particle&quot;:&quot;&quot;}],&quot;issued&quot;:{&quot;date-parts&quot;:[[2007]]},&quot;abstract&quot;:&quot;Objective: In Alzheimer disease (AD), longitudinal changes of beta-amyloid 1-42 (A 1-42), tau, and phosphorylated tau at threonine 181 (ptau-181) in CSF have been reported in small studies only. We evaluated the natural course of CSF biomarkers in patients with AD, subjective complaints, and mild cognitive impairment (MCI). Methods: One hundred five patients (50 AD, 38 MCI, 17 subjective complaints) underwent two lumbar punctures, with a mean interval of 21 9 months. CSF levels of A 1-42 , tau, and ptau-181 were measured. Results: CSF A 1-42 and tau levels showed main effects for both diagnosis and time (all p 0.05), with average increases of 47 72 and 49 143 pg/mL. The interaction terms were not significant , which implies a similar time effect for all diagnostic groups. CSF ptau-181 levels showed a main effect for diagnosis (p 0.01) but not for time (p 0.27, increase of 1.0 12 pg/mL). Conclusion: Levels of CSF beta-amyloid 1-42 and tau but not phosphorylated tau at threonine 181 increased over time in this memory clinic patient cohort with comparable change in all diagnostic groups. The cross-sectional difference between diagnostic groups, however, exceeded by far the longitudinal changes within individuals, suggesting that these biomarkers are not sensitive as markers of disease progression. Dementia is a rapidly growing socioeconomic and medical problem. 1 Alzheimer disease (AD) is the most common cause of dementia. The major histopathologic hallmarks of AD are senile plaques, containing beta-amyloid 1-42 (A 1-42) and neurofibrillary tangles with microtubule-associated tau protein. These pathologic changes are present before the onset of clinical dementia. 2 Decreased A 1-42 levels in CSF and increased tau and phosphorylated tau (ptau) levels can differentiate patients with AD from control subjects or patients with other neurologic conditions with relatively high accuracy. 3-5 Moreover, these CSF changes can already be detected in patients with mild cognitive impairment (MCI) who later develop AD. 6,7 Although of great importance to gain insight in the natural course of these biomarkers within individuals, only small studies described longitudinal changes of A 1-42 , tau, and ptau levels in CSF, mostly in AD patients. 8-15 The results of these studies are contradictory , the majority showing no significant changes of these CSF biomarkers, 8,11,12,14 some showing a decrease over time, 15 and others showing an increase over time. 10,13 Despite these inconclusive findings, clinical trials using CSF markers as outcome parameters have been reported and are being conducted. 10,16,17 Few studies with small patient samples described longitudinal changes of CSF biomarkers in MCI patients. 11,12 In this study, we evaluated the natural course of CSF biomarker levels over time in AD and MCI patients as well as in patients with subjective complaints only. In addition,&quot;},&quot;isTemporary&quot;:false}],&quot;citationTag&quot;:&quot;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&quot;},{&quot;citationID&quot;:&quot;MENDELEY_CITATION_e6c27ea4-9fd2-4f1b-bb4e-0503c64df769&quot;,&quot;properties&quot;:{&quot;noteIndex&quot;:0},&quot;isEdited&quot;:false,&quot;manualOverride&quot;:{&quot;isManuallyOverridden&quot;:false,&quot;citeprocText&quot;:&quot;[23]&quot;,&quot;manualOverrideText&quot;:&quot;&quot;},&quot;citationItems&quot;:[{&quot;id&quot;:&quot;7eb24752-26ab-353e-9c4c-acaa02322db8&quot;,&quot;itemData&quot;:{&quot;type&quot;:&quot;article-journal&quot;,&quot;id&quot;:&quot;7eb24752-26ab-353e-9c4c-acaa02322db8&quot;,&quot;title&quot;:&quot;The Sant Pau Initiative on Neurodegeneration (SPIN) cohort: A data set for biomarker discovery and validation in neurodegenerative disorders&quot;,&quot;author&quot;:[{&quot;family&quot;:&quot;Alcolea&quot;,&quot;given&quot;:&quot;Daniel&quot;,&quot;parse-names&quot;:false,&quot;dropping-particle&quot;:&quot;&quot;,&quot;non-dropping-particle&quot;:&quot;&quot;},{&quot;family&quot;:&quot;Clarimón&quot;,&quot;given&quot;:&quot;Jordi&quot;,&quot;parse-names&quot;:false,&quot;dropping-particle&quot;:&quot;&quot;,&quot;non-dropping-particle&quot;:&quot;&quot;},{&quot;family&quot;:&quot;Carmona-Iragui&quot;,&quot;given&quot;:&quot;María&quot;,&quot;parse-names&quot;:false,&quot;dropping-particle&quot;:&quot;&quot;,&quot;non-dropping-particle&quot;:&quot;&quot;},{&quot;family&quot;:&quot;Illán-Gala&quot;,&quot;given&quot;:&quot;Ignacio&quot;,&quot;parse-names&quot;:false,&quot;dropping-particle&quot;:&quot;&quot;,&quot;non-dropping-particle&quot;:&quot;&quot;},{&quot;family&quot;:&quot;Morenas-Rodríguez&quot;,&quot;given&quot;:&quot;Estrella&quot;,&quot;parse-names&quot;:false,&quot;dropping-particle&quot;:&quot;&quot;,&quot;non-dropping-particle&quot;:&quot;&quot;},{&quot;family&quot;:&quot;Barroeta&quot;,&quot;given&quot;:&quot;Isabel&quot;,&quot;parse-names&quot;:false,&quot;dropping-particle&quot;:&quot;&quot;,&quot;non-dropping-particle&quot;:&quot;&quot;},{&quot;family&quot;:&quot;Ribosa-Nogué&quot;,&quot;given&quot;:&quot;Roser&quot;,&quot;parse-names&quot;:false,&quot;dropping-particle&quot;:&quot;&quot;,&quot;non-dropping-particle&quot;:&quot;&quot;},{&quot;family&quot;:&quot;Sala&quot;,&quot;given&quot;:&quot;Isabel&quot;,&quot;parse-names&quot;:false,&quot;dropping-particle&quot;:&quot;&quot;,&quot;non-dropping-particle&quot;:&quot;&quot;},{&quot;family&quot;:&quot;Sánchez-Saudinós&quot;,&quot;given&quot;:&quot;M. Belén&quot;,&quot;parse-names&quot;:false,&quot;dropping-particle&quot;:&quot;&quot;,&quot;non-dropping-particle&quot;:&quot;&quot;},{&quot;family&quot;:&quot;Videla&quot;,&quot;given&quot;:&quot;Laura&quot;,&quot;parse-names&quot;:false,&quot;dropping-particle&quot;:&quot;&quot;,&quot;non-dropping-particle&quot;:&quot;&quot;},{&quot;family&quot;:&quot;Subirana&quot;,&quot;given&quot;:&quot;Andrea&quot;,&quot;parse-names&quot;:false,&quot;dropping-particle&quot;:&quot;&quot;,&quot;non-dropping-particle&quot;:&quot;&quot;},{&quot;family&quot;:&quot;Benejam&quot;,&quot;given&quot;:&quot;Bessy&quot;,&quot;parse-names&quot;:false,&quot;dropping-particle&quot;:&quot;&quot;,&quot;non-dropping-particle&quot;:&quot;&quot;},{&quot;family&quot;:&quot;Valldeneu&quot;,&quot;given&quot;:&quot;Sílvia&quot;,&quot;parse-names&quot;:false,&quot;dropping-particle&quot;:&quot;&quot;,&quot;non-dropping-particle&quot;:&quot;&quot;},{&quot;family&quot;:&quot;Fernández&quot;,&quot;given&quot;:&quot;Susana&quot;,&quot;parse-names&quot;:false,&quot;dropping-particle&quot;:&quot;&quot;,&quot;non-dropping-particle&quot;:&quot;&quot;},{&quot;family&quot;:&quot;Estellés&quot;,&quot;given&quot;:&quot;Teresa&quot;,&quot;parse-names&quot;:false,&quot;dropping-particle&quot;:&quot;&quot;,&quot;non-dropping-particle&quot;:&quot;&quot;},{&quot;family&quot;:&quot;Altuna&quot;,&quot;given&quot;:&quot;Miren&quot;,&quot;parse-names&quot;:false,&quot;dropping-particle&quot;:&quot;&quot;,&quot;non-dropping-particle&quot;:&quot;&quot;},{&quot;family&quot;:&quot;Santos-Santos&quot;,&quot;given&quot;:&quot;Miguel&quot;,&quot;parse-names&quot;:false,&quot;dropping-particle&quot;:&quot;&quot;,&quot;non-dropping-particle&quot;:&quot;&quot;},{&quot;family&quot;:&quot;García-Losada&quot;,&quot;given&quot;:&quot;Lídia&quot;,&quot;parse-names&quot;:false,&quot;dropping-particle&quot;:&quot;&quot;,&quot;non-dropping-particle&quot;:&quot;&quot;},{&quot;family&quot;:&quot;Bejanin&quot;,&quot;given&quot;:&quot;Alexandre&quot;,&quot;parse-names&quot;:false,&quot;dropping-particle&quot;:&quot;&quot;,&quot;non-dropping-particle&quot;:&quot;&quot;},{&quot;family&quot;:&quot;Pegueroles&quot;,&quot;given&quot;:&quot;Jordi&quot;,&quot;parse-names&quot;:false,&quot;dropping-particle&quot;:&quot;&quot;,&quot;non-dropping-particle&quot;:&quot;&quot;},{&quot;family&quot;:&quot;Montal&quot;,&quot;given&quot;:&quot;Víctor&quot;,&quot;parse-names&quot;:false,&quot;dropping-particle&quot;:&quot;&quot;,&quot;non-dropping-particle&quot;:&quot;&quot;},{&quot;family&quot;:&quot;Vilaplana&quot;,&quot;given&quot;:&quot;Eduard&quot;,&quot;parse-names&quot;:false,&quot;dropping-particle&quot;:&quot;&quot;,&quot;non-dropping-particle&quot;:&quot;&quot;},{&quot;family&quot;:&quot;Belbin&quot;,&quot;given&quot;:&quot;Olivia&quot;,&quot;parse-names&quot;:false,&quot;dropping-particle&quot;:&quot;&quot;,&quot;non-dropping-particle&quot;:&quot;&quot;},{&quot;family&quot;:&quot;Dols-Icardo&quot;,&quot;given&quot;:&quot;Oriol&quot;,&quot;parse-names&quot;:false,&quot;dropping-particle&quot;:&quot;&quot;,&quot;non-dropping-particle&quot;:&quot;&quot;},{&quot;family&quot;:&quot;Sirisi&quot;,&quot;given&quot;:&quot;Sònia&quot;,&quot;parse-names&quot;:false,&quot;dropping-particle&quot;:&quot;&quot;,&quot;non-dropping-particle&quot;:&quot;&quot;},{&quot;family&quot;:&quot;Querol-Vilaseca&quot;,&quot;given&quot;:&quot;Marta&quot;,&quot;parse-names&quot;:false,&quot;dropping-particle&quot;:&quot;&quot;,&quot;non-dropping-particle&quot;:&quot;&quot;},{&quot;family&quot;:&quot;Cervera-Carles&quot;,&quot;given&quot;:&quot;Laura&quot;,&quot;parse-names&quot;:false,&quot;dropping-particle&quot;:&quot;&quot;,&quot;non-dropping-particle&quot;:&quot;&quot;},{&quot;family&quot;:&quot;Muñoz&quot;,&quot;given&quot;:&quot;Laia&quot;,&quot;parse-names&quot;:false,&quot;dropping-particle&quot;:&quot;&quot;,&quot;non-dropping-particle&quot;:&quot;&quot;},{&quot;family&quot;:&quot;Núñez&quot;,&quot;given&quot;:&quot;Raúl&quot;,&quot;parse-names&quot;:false,&quot;dropping-particle&quot;:&quot;&quot;,&quot;non-dropping-particle&quot;:&quot;&quot;},{&quot;family&quot;:&quot;Torres&quot;,&quot;given&quot;:&quot;Soraya&quot;,&quot;parse-names&quot;:false,&quot;dropping-particle&quot;:&quot;&quot;,&quot;non-dropping-particle&quot;:&quot;&quot;},{&quot;family&quot;:&quot;Camacho&quot;,&quot;given&quot;:&quot;M. Valle&quot;,&quot;parse-names&quot;:false,&quot;dropping-particle&quot;:&quot;&quot;,&quot;non-dropping-particle&quot;:&quot;&quot;},{&quot;family&quot;:&quot;Carrió&quot;,&quot;given&quot;:&quot;Ignasi&quot;,&quot;parse-names&quot;:false,&quot;dropping-particle&quot;:&quot;&quot;,&quot;non-dropping-particle&quot;:&quot;&quot;},{&quot;family&quot;:&quot;Giménez&quot;,&quot;given&quot;:&quot;Sandra&quot;,&quot;parse-names&quot;:false,&quot;dropping-particle&quot;:&quot;&quot;,&quot;non-dropping-particle&quot;:&quot;&quot;},{&quot;family&quot;:&quot;Delaby&quot;,&quot;given&quot;:&quot;Constance&quot;,&quot;parse-names&quot;:false,&quot;dropping-particle&quot;:&quot;&quot;,&quot;non-dropping-particle&quot;:&quot;&quot;},{&quot;family&quot;:&quot;Rojas-Garcia&quot;,&quot;given&quot;:&quot;Ricard&quot;,&quot;parse-names&quot;:false,&quot;dropping-particle&quot;:&quot;&quot;,&quot;non-dropping-particle&quot;:&quot;&quot;},{&quot;family&quot;:&quot;Turon-Sans&quot;,&quot;given&quot;:&quot;Janina&quot;,&quot;parse-names&quot;:false,&quot;dropping-particle&quot;:&quot;&quot;,&quot;non-dropping-particle&quot;:&quot;&quot;},{&quot;family&quot;:&quot;Pagonabarraga&quot;,&quot;given&quot;:&quot;Javier&quot;,&quot;parse-names&quot;:false,&quot;dropping-particle&quot;:&quot;&quot;,&quot;non-dropping-particle&quot;:&quot;&quot;},{&quot;family&quot;:&quot;Jiménez&quot;,&quot;given&quot;:&quot;Amanda&quot;,&quot;parse-names&quot;:false,&quot;dropping-particle&quot;:&quot;&quot;,&quot;non-dropping-particle&quot;:&quot;&quot;},{&quot;family&quot;:&quot;Blesa&quot;,&quot;given&quot;:&quot;Rafael&quot;,&quot;parse-names&quot;:false,&quot;dropping-particle&quot;:&quot;&quot;,&quot;non-dropping-particle&quot;:&quot;&quot;},{&quot;family&quot;:&quot;Fortea&quot;,&quot;given&quot;:&quot;Juan&quot;,&quot;parse-names&quot;:false,&quot;dropping-particle&quot;:&quot;&quot;,&quot;non-dropping-particle&quot;:&quot;&quot;},{&quot;family&quot;:&quot;Lleó&quot;,&quot;given&quot;:&quot;Alberto&quot;,&quot;parse-names&quot;:false,&quot;dropping-particle&quot;:&quot;&quot;,&quot;non-dropping-particle&quot;:&quot;&quot;}],&quot;container-title&quot;:&quot;Alzheimer's and Dementia: Translational Research and Clinical Interventions&quot;,&quot;DOI&quot;:&quot;10.1016/j.trci.2019.09.005&quot;,&quot;ISSN&quot;:&quot;23528737&quot;,&quot;issued&quot;:{&quot;date-parts&quot;:[[2019,1,1]]},&quot;page&quot;:&quot;597-609&quot;,&quot;abstract&quot;:&quot;Introduction: The SPIN (Sant Pau Initiative on Neurodegeneration) cohort is a multimodal biomarker platform designed for neurodegenerative disease research following an integrative approach. Methods: Participants of the SPIN cohort provide informed consent to donate blood and cerebrospinal fluid samples, receive detailed neurological and neuropsychological evaluations, and undergo a structural 3T brain MRI scan. A subset also undergoes other functional or imaging studies (video-polysomnogram, 18F-fluorodeoxyglucose PET, amyloid PET, Tau PET). Participants are followed annually for a minimum of 4 years, with repeated cerebrospinal fluid collection and imaging studies performed every other year, and brain donation is encouraged. Results: The integration of clinical, neuropsychological, genetic, biochemical, imaging, and neuropathological information and the harmonization of protocols under the same umbrella allows the discovery and validation of key biomarkers across several neurodegenerative diseases. Discussion: We describe our particular 10-year experience and how different research projects were unified under an umbrella biomarker program, which might be of help to other research teams pursuing similar approaches.&quot;,&quot;publisher&quot;:&quot;Elsevier Inc&quot;,&quot;volume&quot;:&quot;5&quot;,&quot;expandedJournalTitle&quot;:&quot;Alzheimer's and Dementia: Translational Research and Clinical Interventions&quot;},&quot;isTemporary&quot;:false}],&quot;citationTag&quot;:&quot;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&quot;},{&quot;citationID&quot;:&quot;MENDELEY_CITATION_3a34eedd-a00d-417f-abce-bf10fc556deb&quot;,&quot;properties&quot;:{&quot;noteIndex&quot;:0},&quot;isEdited&quot;:false,&quot;manualOverride&quot;:{&quot;isManuallyOverridden&quot;:false,&quot;citeprocText&quot;:&quot;[24]&quot;,&quot;manualOverrideText&quot;:&quot;&quot;},&quot;citationItems&quot;:[{&quot;id&quot;:&quot;c420b3cf-c244-3f7f-a473-cdbc9524a195&quot;,&quot;itemData&quot;:{&quot;type&quot;:&quot;article-journal&quot;,&quot;id&quot;:&quot;c420b3cf-c244-3f7f-a473-cdbc9524a195&quot;,&quot;title&quot;:&quot;Agreement of amyloid PET and CSF biomarkers for Alzheimer's disease on Lumipulse&quot;,&quot;author&quot;:[{&quot;family&quot;:&quot;Alcolea&quot;,&quot;given&quot;:&quot;Daniel&quot;,&quot;parse-names&quot;:false,&quot;dropping-particle&quot;:&quot;&quot;,&quot;non-dropping-particle&quot;:&quot;&quot;},{&quot;family&quot;:&quot;Pegueroles&quot;,&quot;given&quot;:&quot;Jordi&quot;,&quot;parse-names&quot;:false,&quot;dropping-particle&quot;:&quot;&quot;,&quot;non-dropping-particle&quot;:&quot;&quot;},{&quot;family&quot;:&quot;Mu~ Noz&quot;,&quot;given&quot;:&quot;Laia&quot;,&quot;parse-names&quot;:false,&quot;dropping-particle&quot;:&quot;&quot;,&quot;non-dropping-particle&quot;:&quot;&quot;},{&quot;family&quot;:&quot;Camacho&quot;,&quot;given&quot;:&quot;Valle&quot;,&quot;parse-names&quot;:false,&quot;dropping-particle&quot;:&quot;&quot;,&quot;non-dropping-particle&quot;:&quot;&quot;},{&quot;family&quot;:&quot;Opez-Mora&quot;,&quot;given&quot;:&quot;Diego L&quot;,&quot;parse-names&quot;:false,&quot;dropping-particle&quot;:&quot;&quot;,&quot;non-dropping-particle&quot;:&quot;&quot;},{&quot;family&quot;:&quot;Fern Andez-Le On&quot;,&quot;given&quot;:&quot;Alejandro&quot;,&quot;parse-names&quot;:false,&quot;dropping-particle&quot;:&quot;&quot;,&quot;non-dropping-particle&quot;:&quot;&quot;},{&quot;family&quot;:&quot;Bastard&quot;,&quot;given&quot;:&quot;Nathalie&quot;,&quot;parse-names&quot;:false,&quot;dropping-particle&quot;:&quot;&quot;,&quot;non-dropping-particle&quot;:&quot;le&quot;},{&quot;family&quot;:&quot;Huyck&quot;,&quot;given&quot;:&quot;Els&quot;,&quot;parse-names&quot;:false,&quot;dropping-particle&quot;:&quot;&quot;,&quot;non-dropping-particle&quot;:&quot;&quot;},{&quot;family&quot;:&quot;Nadal&quot;,&quot;given&quot;:&quot;Alicia&quot;,&quot;parse-names&quot;:false,&quot;dropping-particle&quot;:&quot;&quot;,&quot;non-dropping-particle&quot;:&quot;&quot;},{&quot;family&quot;:&quot;Onica Olmedo&quot;,&quot;given&quot;:&quot;Ver&quot;,&quot;parse-names&quot;:false,&quot;dropping-particle&quot;:&quot;&quot;,&quot;non-dropping-particle&quot;:&quot;&quot;},{&quot;family&quot;:&quot;Sampedro&quot;,&quot;given&quot;:&quot;Frederic&quot;,&quot;parse-names&quot;:false,&quot;dropping-particle&quot;:&quot;&quot;,&quot;non-dropping-particle&quot;:&quot;&quot;},{&quot;family&quot;:&quot;Montal&quot;,&quot;given&quot;:&quot;Victor&quot;,&quot;parse-names&quot;:false,&quot;dropping-particle&quot;:&quot;&quot;,&quot;non-dropping-particle&quot;:&quot;&quot;},{&quot;family&quot;:&quot;Vilaplana&quot;,&quot;given&quot;:&quot;Eduard&quot;,&quot;parse-names&quot;:false,&quot;dropping-particle&quot;:&quot;&quot;,&quot;non-dropping-particle&quot;:&quot;&quot;},{&quot;family&quot;:&quot;Clarim On&quot;,&quot;given&quot;:&quot;Jordi&quot;,&quot;parse-names&quot;:false,&quot;dropping-particle&quot;:&quot;&quot;,&quot;non-dropping-particle&quot;:&quot;&quot;},{&quot;family&quot;:&quot;Blesa&quot;,&quot;given&quot;:&quot;Rafael&quot;,&quot;parse-names&quot;:false,&quot;dropping-particle&quot;:&quot;&quot;,&quot;non-dropping-particle&quot;:&quot;&quot;},{&quot;family&quot;:&quot;Fortea&quot;,&quot;given&quot;:&quot;Juan&quot;,&quot;parse-names&quot;:false,&quot;dropping-particle&quot;:&quot;&quot;,&quot;non-dropping-particle&quot;:&quot;&quot;},{&quot;family&quot;:&quot;Lle&quot;,&quot;given&quot;:&quot;Alberto&quot;,&quot;parse-names&quot;:false,&quot;dropping-particle&quot;:&quot;&quot;,&quot;non-dropping-particle&quot;:&quot;&quot;}],&quot;container-title&quot;:&quot;Annals of Clinical and Translational Neurology&quot;,&quot;DOI&quot;:&quot;10.1002/acn3.50873&quot;,&quot;URL&quot;:&quot;https://santpaumemoryunit.com/&quot;,&quot;issued&quot;:{&quot;date-parts&quot;:[[2019]]},&quot;page&quot;:&quot;1815-1824&quot;,&quot;abstract&quot;:&quot;Objective: To determine the cutoffs that optimized the agreement between 18 F-Florbetapir positron emission tomography (PET) and Ab1-42, Ab1-40, tTau, pTau and their ratios measured in cerebrospinal fluid (CSF) on the LUMIPULSE G600II instrument, we quantified the levels of these four biomarkers in 94 CSF samples from participants of the Sant Pau Initiative on Neurodegeneration (SPIN cohort) using the Lumipulse G System with available 18 F-Florbetapir imaging. Methods: Participants had mild cognitive impairment (n = 35), AD dementia (n = 12), other dementias or neurodegenerative diseases (n = 41), or were cognitively normal controls (n = 6). Levels of Ab1-42 were standardized to certified reference material. Amyloid scans were assessed visually and through automated quantification. We determined the cutoffs of CSF biomarkers that optimized their agreement with 18 F-Florbetapir PET and evaluated concordance between markers of the amyloid category. Results: Ab1-42, tTau and pTau (but not Ab1-40) and the ratios with Ab1-42 had good diagnostic agreement with 18 F-Florbetapir PET. As a marker of amyloid pathology, the Ab1-42/Ab1-40 ratio had higher agreement and better correlation with amyloid PET than Ab1-42 alone. Interpretation: CSF biomarkers measured with the Lumipulse G System show good agreement with amyloid imaging in a clinical setting with heterogeneous presentations of neurological disorders. Combination of Ab1-42 with Ab1-40 increases the agreement between markers of amyloid pathology.&quot;,&quot;issue&quot;:&quot;9&quot;,&quot;volume&quot;:&quot;6&quot;,&quot;expandedJournalTitle&quot;:&quot;Annals of Clinical and Translational Neurology&quot;},&quot;isTemporary&quot;:false}],&quot;citationTag&quot;:&quot;MENDELEY_CITATION_v3_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&quot;},{&quot;citationID&quot;:&quot;MENDELEY_CITATION_718768f3-e87a-482d-9d20-5eeb2f49368e&quot;,&quot;properties&quot;:{&quot;noteIndex&quot;:0},&quot;isEdited&quot;:false,&quot;manualOverride&quot;:{&quot;isManuallyOverridden&quot;:false,&quot;citeprocText&quot;:&quot;[10,12–16,22]&quot;,&quot;manualOverrideText&quot;:&quot;&quot;},&quot;citationItems&quot;:[{&quot;id&quot;:&quot;d433e70b-83e2-37fd-9f06-eb18e4623691&quot;,&quot;itemData&quot;:{&quot;type&quot;:&quot;article-journal&quot;,&quot;id&quot;:&quot;d433e70b-83e2-37fd-9f06-eb18e4623691&quot;,&quot;title&quot;:&quot;Influence of delayed CSF storage on concentrations of phospho-tau protein (181), total tau protein and beta-amyloid (1–42)&quot;,&quot;author&quot;:[{&quot;family&quot;:&quot;Kaiser&quot;,&quot;given&quot;:&quot;Elmar&quot;,&quot;parse-names&quot;:false,&quot;dropping-particle&quot;:&quot;&quot;,&quot;non-dropping-particle&quot;:&quot;&quot;},{&quot;family&quot;:&quot;Schönknecht&quot;,&quot;given&quot;:&quot;Peter&quot;,&quot;parse-names&quot;:false,&quot;dropping-particle&quot;:&quot;&quot;,&quot;non-dropping-particle&quot;:&quot;&quot;},{&quot;family&quot;:&quot;Thomann&quot;,&quot;given&quot;:&quot;Philipp A.&quot;,&quot;parse-names&quot;:false,&quot;dropping-particle&quot;:&quot;&quot;,&quot;non-dropping-particle&quot;:&quot;&quot;},{&quot;family&quot;:&quot;Hunt&quot;,&quot;given&quot;:&quot;Aoife&quot;,&quot;parse-names&quot;:false,&quot;dropping-particle&quot;:&quot;&quot;,&quot;non-dropping-particle&quot;:&quot;&quot;},{&quot;family&quot;:&quot;Schröder&quot;,&quot;given&quot;:&quot;Johannes&quot;,&quot;parse-names&quot;:false,&quot;dropping-particle&quot;:&quot;&quot;,&quot;non-dropping-particle&quot;:&quot;&quot;}],&quot;container-title&quot;:&quot;Neuroscience Letters&quot;,&quot;accessed&quot;:{&quot;date-parts&quot;:[[2022,2,5]]},&quot;DOI&quot;:&quot;10.1016/J.NEULET.2007.02.045&quot;,&quot;ISSN&quot;:&quot;0304-3940&quot;,&quot;PMID&quot;:&quot;17408854&quot;,&quot;issued&quot;:{&quot;date-parts&quot;:[[2007,5,1]]},&quot;page&quot;:&quot;193-195&quot;,&quot;abstract&quot;:&quot;It is generally accepted that cerebrospinal fluid (CSF) biomarkers such as tau protein, phosphorylated tau protein (threonine 181) and beta-amyloid (1-42) can facilitate early and differential diagnosis of Alzheimer's disease (AD). Since the respective concentrations can only be measured in a number of specialized centers, time to CSF specimen work-up has been considered as crucial for the stability of the respective biomarkers. When shipping of CSF samples is needed for biomarker measurement and immediate freezing of samples is not available, an overnight delay of up to 24 h frequently occurs. Therefore, we investigated the potential impact of a 24 h delayed freezing on CSF biomarker concentrations and compared it to 2 h storage (room temperature, 20 °C) and an immediate freezing. First, storage at room temperature for 2 h had only marginal, non-significant effects on the concentrations of CSF total tau protein and phospho-tau protein (181) compared to immediate freezing. Second, storage at room temperature for 24 h did not significantly affect total tau protein or phospho-tau protein but beta-amyloid (1-42) concentrations which increased significantly compared to the samples frozen immediately. These results indicate that CSF samples for the evaluation of total tau and phospho-tau protein may be kept at room temperature for up to 24 h whereas CSF samples for beta-amyloid (1-42) need to be frozen immediately. © 2007 Elsevier Ireland Ltd. All rights reserved.&quot;,&quot;publisher&quot;:&quot;Elsevier&quot;,&quot;issue&quot;:&quot;2&quot;,&quot;volume&quot;:&quot;417&quot;},&quot;isTemporary&quot;:false},{&quot;id&quot;:&quot;16fbdbf0-8669-3fe5-9c8b-8d1a5db16dbe&quot;,&quot;itemData&quot;:{&quot;type&quot;:&quot;article-journal&quot;,&quot;id&quot;:&quot;16fbdbf0-8669-3fe5-9c8b-8d1a5db16dbe&quot;,&quot;title&quot;:&quot;Confounding factors influencing amyloid beta concentration in cerebrospinal fluid&quot;,&quot;author&quot;:[{&quot;family&quot;:&quot;Bjerke&quot;,&quot;given&quot;:&quot;Maria&quot;,&quot;parse-names&quot;:false,&quot;dropping-particle&quot;:&quot;&quot;,&quot;non-dropping-particle&quot;:&quot;&quot;},{&quot;family&quot;:&quot;Portelius&quot;,&quot;given&quot;:&quot;Erik&quot;,&quot;parse-names&quot;:false,&quot;dropping-particle&quot;:&quot;&quot;,&quot;non-dropping-particle&quot;:&quot;&quot;},{&quot;family&quot;:&quot;Minthon&quot;,&quot;given&quot;:&quot;Lennart&quot;,&quot;parse-names&quot;:false,&quot;dropping-particle&quot;:&quot;&quot;,&quot;non-dropping-particle&quot;:&quot;&quot;},{&quot;family&quot;:&quot;Wallin&quot;,&quot;given&quot;:&quot;Anders&quot;,&quot;parse-names&quot;:false,&quot;dropping-particle&quot;:&quot;&quot;,&quot;non-dropping-particle&quot;:&quot;&quot;},{&quot;family&quot;:&quot;Anckarster&quot;,&quot;given&quot;:&quot;Henrik&quot;,&quot;parse-names&quot;:false,&quot;dropping-particle&quot;:&quot;&quot;,&quot;non-dropping-particle&quot;:&quot;&quot;},{&quot;family&quot;:&quot;Anckarster&quot;,&quot;given&quot;:&quot;Rolf&quot;,&quot;parse-names&quot;:false,&quot;dropping-particle&quot;:&quot;&quot;,&quot;non-dropping-particle&quot;:&quot;&quot;},{&quot;family&quot;:&quot;Andreasen&quot;,&quot;given&quot;:&quot;Niels&quot;,&quot;parse-names&quot;:false,&quot;dropping-particle&quot;:&quot;&quot;,&quot;non-dropping-particle&quot;:&quot;&quot;},{&quot;family&quot;:&quot;Zetterberg&quot;,&quot;given&quot;:&quot;Henrik&quot;,&quot;parse-names&quot;:false,&quot;dropping-particle&quot;:&quot;&quot;,&quot;non-dropping-particle&quot;:&quot;&quot;},{&quot;family&quot;:&quot;Andreasson&quot;,&quot;given&quot;:&quot;Ulf&quot;,&quot;parse-names&quot;:false,&quot;dropping-particle&quot;:&quot;&quot;,&quot;non-dropping-particle&quot;:&quot;&quot;},{&quot;family&quot;:&quot;Blennow&quot;,&quot;given&quot;:&quot;Kaj&quot;,&quot;parse-names&quot;:false,&quot;dropping-particle&quot;:&quot;&quot;,&quot;non-dropping-particle&quot;:&quot;&quot;}],&quot;container-title&quot;:&quot;International Journal of Alzheimer's Disease&quot;,&quot;DOI&quot;:&quot;10.4061/2010/986310&quot;,&quot;ISSN&quot;:&quot;20900252&quot;,&quot;issued&quot;:{&quot;date-parts&quot;:[[2010]]},&quot;abstract&quot;:&quot;Background. Patients afflicted with Alzheimer's disease (AD) exhibit a decrease in the cerebrospinal fluid (CSF) concentration of the 42 amino acid form of -amyloid (A 42). However, a high discrepancy between different centers in measured A 42 levels reduces the utility of this biomarker as a diagnostic tool and in monitoring the effect of disease modifying drugs. Preanalytical and analytical confounding factors were examined with respect to their effect on the measured A 42 level. Methods. Aliquots of CSF samples were either treated differently prior to A 42 measurement or analyzed using different commercially available xMAP or ELISA assays. Results. Confounding factors affecting CSF A 42 levels were storage in different types of test tubes, dilution with detergent-containing buffer, plasma contamination, heat treatment, and the origin of the immunoassays used for quantification. Conclusion. In order to conduct multicenter studies, a standardized protocol to minimize preanalytical and analytical confounding factors is warranted. Copyright © 2010 Maria Bjerke et al.&quot;},&quot;isTemporary&quot;:false},{&quot;id&quot;:&quot;76e466c7-f95a-3473-8838-e0f1187dffdf&quot;,&quot;itemData&quot;:{&quot;type&quot;:&quot;report&quot;,&quot;id&quot;:&quot;76e466c7-f95a-3473-8838-e0f1187dffdf&quot;,&quot;title&quot;:&quot;Supplementary Data Validation of ELISA Methods for Quantification of Total Tau and Phosporylated-Tau 181 in Human Cerebrospinal Fluid with Measurement in Specimens from Two Alzheimer's Disease Studies&quot;,&quot;author&quot;:[{&quot;family&quot;:&quot;Lachno&quot;,&quot;given&quot;:&quot;D Richard&quot;,&quot;parse-names&quot;:false,&quot;dropping-particle&quot;:&quot;&quot;,&quot;non-dropping-particle&quot;:&quot;&quot;},{&quot;family&quot;:&quot;Romeo&quot;,&quot;given&quot;:&quot;Martin J&quot;,&quot;parse-names&quot;:false,&quot;dropping-particle&quot;:&quot;&quot;,&quot;non-dropping-particle&quot;:&quot;&quot;},{&quot;family&quot;:&quot;Siemers&quot;,&quot;given&quot;:&quot;Eric R&quot;,&quot;parse-names&quot;:false,&quot;dropping-particle&quot;:&quot;&quot;,&quot;non-dropping-particle&quot;:&quot;&quot;},{&quot;family&quot;:&quot;Vanderstichele&quot;,&quot;given&quot;:&quot;Hugo&quot;,&quot;parse-names&quot;:false,&quot;dropping-particle&quot;:&quot;&quot;,&quot;non-dropping-particle&quot;:&quot;&quot;},{&quot;family&quot;:&quot;Coart&quot;,&quot;given&quot;:&quot;Els&quot;,&quot;parse-names&quot;:false,&quot;dropping-particle&quot;:&quot;&quot;,&quot;non-dropping-particle&quot;:&quot;&quot;},{&quot;family&quot;:&quot;Konrad&quot;,&quot;given&quot;:&quot;Robert J&quot;,&quot;parse-names&quot;:false,&quot;dropping-particle&quot;:&quot;&quot;,&quot;non-dropping-particle&quot;:&quot;&quot;},{&quot;family&quot;:&quot;Zajac&quot;,&quot;given&quot;:&quot;Joseph J&quot;,&quot;parse-names&quot;:false,&quot;dropping-particle&quot;:&quot;&quot;,&quot;non-dropping-particle&quot;:&quot;&quot;},{&quot;family&quot;:&quot;Talbot&quot;,&quot;given&quot;:&quot;Jayne A&quot;,&quot;parse-names&quot;:false,&quot;dropping-particle&quot;:&quot;&quot;,&quot;non-dropping-particle&quot;:&quot;&quot;},{&quot;family&quot;:&quot;Jensen&quot;,&quot;given&quot;:&quot;Hans F&quot;,&quot;parse-names&quot;:false,&quot;dropping-particle&quot;:&quot;&quot;,&quot;non-dropping-particle&quot;:&quot;&quot;},{&quot;family&quot;:&quot;Sethuraman&quot;,&quot;given&quot;:&quot;Gopalan&quot;,&quot;parse-names&quot;:false,&quot;dropping-particle&quot;:&quot;&quot;,&quot;non-dropping-particle&quot;:&quot;&quot;},{&quot;family&quot;:&quot;Demattos&quot;,&quot;given&quot;:&quot;Ronald B&quot;,&quot;parse-names&quot;:false,&quot;dropping-particle&quot;:&quot;&quot;,&quot;non-dropping-particle&quot;:&quot;&quot;},{&quot;family&quot;:&quot;May&quot;,&quot;given&quot;:&quot;Patrick C&quot;,&quot;parse-names&quot;:false,&quot;dropping-particle&quot;:&quot;&quot;,&quot;non-dropping-particle&quot;:&quot;&quot;},{&quot;family&quot;:&quot;Dean&quot;,&quot;given&quot;:&quot;Robert A&quot;,&quot;parse-names&quot;:false,&quot;dropping-particle&quot;:&quot;&quot;,&quot;non-dropping-particle&quot;:&quot;&quot;}],&quot;container-title&quot;:&quot;Journal of Alzheimer's Disease&quot;,&quot;issued&quot;:{&quot;date-parts&quot;:[[2011]]},&quot;number-of-pages&quot;:&quot;1-5&quot;,&quot;publisher&quot;:&quot;IOS Press&quot;,&quot;volume&quot;:&quot;26&quot;},&quot;isTemporary&quot;:false},{&quot;id&quot;:&quot;89deabb7-66a1-3332-ac38-e741d2d955c4&quot;,&quot;itemData&quot;:{&quot;type&quot;:&quot;article-journal&quot;,&quot;id&quot;:&quot;89deabb7-66a1-3332-ac38-e741d2d955c4&quot;,&quot;title&quot;:&quot;Preanalytical sample handling and sample stability testing for the neurochemical dementia diagnostics&quot;,&quot;author&quot;:[{&quot;family&quot;:&quot;Zimmermann&quot;,&quot;given&quot;:&quot;Rüdiger&quot;,&quot;parse-names&quot;:false,&quot;dropping-particle&quot;:&quot;&quot;,&quot;non-dropping-particle&quot;:&quot;&quot;},{&quot;family&quot;:&quot;Lelental&quot;,&quot;given&quot;:&quot;Natalia&quot;,&quot;parse-names&quot;:false,&quot;dropping-particle&quot;:&quot;&quot;,&quot;non-dropping-particle&quot;:&quot;&quot;},{&quot;family&quot;:&quot;Ganslandt&quot;,&quot;given&quot;:&quot;Oliver&quot;,&quot;parse-names&quot;:false,&quot;dropping-particle&quot;:&quot;&quot;,&quot;non-dropping-particle&quot;:&quot;&quot;},{&quot;family&quot;:&quot;Maler&quot;,&quot;given&quot;:&quot;Juan Manuel&quot;,&quot;parse-names&quot;:false,&quot;dropping-particle&quot;:&quot;&quot;,&quot;non-dropping-particle&quot;:&quot;&quot;},{&quot;family&quot;:&quot;Kornhuber&quot;,&quot;given&quot;:&quot;Johannes&quot;,&quot;parse-names&quot;:false,&quot;dropping-particle&quot;:&quot;&quot;,&quot;non-dropping-particle&quot;:&quot;&quot;},{&quot;family&quot;:&quot;Lewczuk&quot;,&quot;given&quot;:&quot;Piotr&quot;,&quot;parse-names&quot;:false,&quot;dropping-particle&quot;:&quot;&quot;,&quot;non-dropping-particle&quot;:&quot;&quot;}],&quot;container-title&quot;:&quot;Journal of Alzheimer's Disease&quot;,&quot;DOI&quot;:&quot;10.3233/JAD-2011-110212&quot;,&quot;ISSN&quot;:&quot;18758908&quot;,&quot;issued&quot;:{&quot;date-parts&quot;:[[2011]]},&quot;page&quot;:&quot;739-745&quot;,&quot;abstract&quot;:&quot;Preanalytical sample handling and storage procedures play an extremely important role in reliably measuring neurochemical dementia diagnostics (NDD) biomarkers: Aβ1-40, Aβ1-42, Tau, and pTau181. To test different handling and storage conditions, the following protocols were applied: (a) storage at room temperature for one week, (b) deep-freezing and thawing up to three cycles, (c) deep-freezing, thawing and keeping under +4°C for two days before the analysis, and (d) long-term stability of a deeply frozen sample. Between the first and the seventh day of the storage at room temperature, the percentage of the concentrations (compared to the starting concentrations) fluctuated: 104.3-105.3, 97.6-93.2, 100.6-96.8, and 97.9-90.2 for Aβ1-40, Aβ1-42, Tau, and pTau181, respectively. Re-freezing cycles resulted in the percentage fluctuations of the concentrations: 101.1-105.5, 95.4-99.7, 98.3-100.0, and 100.5-101.4 for Aβ1-40, Aβ1-42, Tau, and pTau181, respectively. Keeping previously frozen/thawed samples under +4°C for two days resulted in the percentage differences of the concentrations: +15.9, +2.2,-1.1, and-0.1 for Aβ1-40, Aβ1-42, Tau, and pTau181, respectively. During long-term stability, the coefficients of linear correlation (R 2) were: Aβ1-40, 0.007; Aβ1-42, 0.02; Tau, 0.011; and pTau181, 0.02, and the corresponding inter-assay coefficients of variation: 13.9%, 13.9%, 11.0%, and 10.7% for Aβ1-40, Aβ1-42, Tau, and pTau181, respectively. We conclude that the NDD biomarkers are relatively stable when the cerebrospinal fluid sample is kept at room temperature for about four days; one or two thawing/refreezing cycles do not profoundly affect the biomarkers concentrations, however three cycles result in increased unsystematic variation. The four biomarkers seem to be stable in a sample stored deeply frozen for more than two years. © 2011-IOS Press and the authors. All rights reserved.&quot;,&quot;publisher&quot;:&quot;IOS Press&quot;,&quot;issue&quot;:&quot;4&quot;,&quot;volume&quot;:&quot;25&quot;},&quot;isTemporary&quot;:false},{&quot;id&quot;:&quot;9c0f8e66-0a20-3dc2-a129-17af1c2478d9&quot;,&quot;itemData&quot;:{&quot;type&quot;:&quot;article-journal&quot;,&quot;id&quot;:&quot;9c0f8e66-0a20-3dc2-a129-17af1c2478d9&quot;,&quot;title&quot;:&quot;Towards a unified protocol for handling of CSF before β-amyloid measurements&quot;,&quot;author&quot;:[{&quot;family&quot;:&quot;Janelidze&quot;,&quot;given&quot;:&quot;Shorena&quot;,&quot;parse-names&quot;:false,&quot;dropping-particle&quot;:&quot;&quot;,&quot;non-dropping-particle&quot;:&quot;&quot;},{&quot;family&quot;:&quot;Stomrud&quot;,&quot;given&quot;:&quot;Erik&quot;,&quot;parse-names&quot;:false,&quot;dropping-particle&quot;:&quot;&quot;,&quot;non-dropping-particle&quot;:&quot;&quot;},{&quot;family&quot;:&quot;Brix&quot;,&quot;given&quot;:&quot;Britta&quot;,&quot;parse-names&quot;:false,&quot;dropping-particle&quot;:&quot;&quot;,&quot;non-dropping-particle&quot;:&quot;&quot;},{&quot;family&quot;:&quot;Hansson&quot;,&quot;given&quot;:&quot;Oskar&quot;,&quot;parse-names&quot;:false,&quot;dropping-particle&quot;:&quot;&quot;,&quot;non-dropping-particle&quot;:&quot;&quot;}],&quot;container-title&quot;:&quot;Alzheimer's Research and Therapy&quot;,&quot;DOI&quot;:&quot;10.1186/s13195-019-0517-9&quot;,&quot;ISSN&quot;:&quot;17589193&quot;,&quot;PMID&quot;:&quot;31324260&quot;,&quot;issued&quot;:{&quot;date-parts&quot;:[[2019,7,19]]},&quot;abstract&quot;:&quot;Background: Widespread implementation of Alzheimer's disease biomarkers in routine clinical practice requires the establishment of standard operating procedures for pre-analytical handling of cerebrospinal fluid (CSF). Methods: Here, CSF collection and storage protocols were optimized for measurements of β-amyloid (Aβ). We investigated the effects of (1) storage temperature, (2) storage time, (3) centrifugation, (4) sample mixing, (5) blood contamination, and (6) collection gradient on CSF levels of Aβ. For each study participant, we used fresh CSF directly collected into a protein low binding (LoB) tube that was analyzed within hours after lumbar puncture (LP) as standard of truth. Aβ42 and Aβ40 were measured in de-identified CSF samples using EUROIMMUN and Mesoscale discovery assays. Results: CSF Aβ42 and Aβ40 were stable for at least 72 h at room temperature (RT), 1 week at 4 °C, and 2 weeks at - 20 °C and - 80 °C. Centrifugation of non-blood-contaminated CSF or mixing of samples before the analysis did not affect Aβ levels. Addition of 0.1-10% blood to CSF that was stored at RT without centrifugation led to a dose- and time-dependent decrease in Aβ42 and Aβ40, while Aβ42/Aβ40 did not change. The effects of blood contamination were mitigated by centrifugation and/or storage at 4 °C or - 20 °C. Aβ levels did not differ between the first to fourth 5-ml portions of CSF. Conclusions: CSF can be stored for up to 72 h at RT, 1 week at 4 °C, or at least 2 weeks at either - 20 °C or - 80 °C before Aβ measurements. Centrifugation of fresh non-blood-contaminated CSF after LP, or mixing before analysis, is not required. In case of visible blood contamination, centrifugation and storage at 4 °C or - 20 °C is recommended. After discarding the first 2 ml, any portion of up to 20 ml of CSF is suitable for Aβ analysis. These findings will be important for the development of a clinical routine protocol for pre-analytical handling of CSF.&quot;,&quot;publisher&quot;:&quot;BioMed Central Ltd.&quot;,&quot;issue&quot;:&quot;1&quot;,&quot;volume&quot;:&quot;11&quot;},&quot;isTemporary&quot;:false},{&quot;id&quot;:&quot;8e0bdd56-efb8-3f54-aa3e-25a3167b9a07&quot;,&quot;itemData&quot;:{&quot;type&quot;:&quot;article-journal&quot;,&quot;id&quot;:&quot;8e0bdd56-efb8-3f54-aa3e-25a3167b9a07&quot;,&quot;title&quot;:&quot;Pre-analytical protocol for measuring Alzheimer's disease biomarkers in fresh CSF&quot;,&quot;author&quot;:[{&quot;family&quot;:&quot;Hansson&quot;,&quot;given&quot;:&quot;Oskar&quot;,&quot;parse-names&quot;:false,&quot;dropping-particle&quot;:&quot;&quot;,&quot;non-dropping-particle&quot;:&quot;&quot;},{&quot;family&quot;:&quot;Rutz&quot;,&quot;given&quot;:&quot;Sandra&quot;,&quot;parse-names&quot;:false,&quot;dropping-particle&quot;:&quot;&quot;,&quot;non-dropping-particle&quot;:&quot;&quot;},{&quot;family&quot;:&quot;Zetterberg&quot;,&quot;given&quot;:&quot;Henrik&quot;,&quot;parse-names&quot;:false,&quot;dropping-particle&quot;:&quot;&quot;,&quot;non-dropping-particle&quot;:&quot;&quot;},{&quot;family&quot;:&quot;Bauer&quot;,&quot;given&quot;:&quot;Ekaterina&quot;,&quot;parse-names&quot;:false,&quot;dropping-particle&quot;:&quot;&quot;,&quot;non-dropping-particle&quot;:&quot;&quot;},{&quot;family&quot;:&quot;Hähl&quot;,&quot;given&quot;:&quot;Teresa&quot;,&quot;parse-names&quot;:false,&quot;dropping-particle&quot;:&quot;&quot;,&quot;non-dropping-particle&quot;:&quot;&quot;},{&quot;family&quot;:&quot;Manuilova&quot;,&quot;given&quot;:&quot;Ekaterina&quot;,&quot;parse-names&quot;:false,&quot;dropping-particle&quot;:&quot;&quot;,&quot;non-dropping-particle&quot;:&quot;&quot;},{&quot;family&quot;:&quot;Mert&quot;,&quot;given&quot;:&quot;Mehmet Can&quot;,&quot;parse-names&quot;:false,&quot;dropping-particle&quot;:&quot;&quot;,&quot;non-dropping-particle&quot;:&quot;&quot;},{&quot;family&quot;:&quot;Wahl&quot;,&quot;given&quot;:&quot;Simone&quot;,&quot;parse-names&quot;:false,&quot;dropping-particle&quot;:&quot;&quot;,&quot;non-dropping-particle&quot;:&quot;&quot;},{&quot;family&quot;:&quot;Blennow&quot;,&quot;given&quot;:&quot;Kaj&quot;,&quot;parse-names&quot;:false,&quot;dropping-particle&quot;:&quot;&quot;,&quot;non-dropping-particle&quot;:&quot;&quot;},{&quot;family&quot;:&quot;Stomrud&quot;,&quot;given&quot;:&quot;Erik&quot;,&quot;parse-names&quot;:false,&quot;dropping-particle&quot;:&quot;&quot;,&quot;non-dropping-particle&quot;:&quot;&quot;}],&quot;container-title&quot;:&quot;Alzheimer's and Dementia: Diagnosis, Assessment and Disease Monitoring&quot;,&quot;accessed&quot;:{&quot;date-parts&quot;:[[2022,2,5]]},&quot;DOI&quot;:&quot;10.1002/DAD2.12137&quot;,&quot;ISSN&quot;:&quot;23528729&quot;,&quot;issued&quot;:{&quot;date-parts&quot;:[[2020]]},&quot;abstract&quot;:&quot;Introduction: We aimed to establish a standardized, routine-use pre-analytical protocol for measuring Alzheimer's disease (AD) biomarkers in cerebrospinal fluid (CSF). Methods: The effect of pre-analytical factors (sample collection/handling/storage/transportation) on biomarker levels was assessed using freshly collected CSF. Tube type/sterilization was assessed using previously frozen samples. A low-bind false-bottom tube (FBT, Sarstedt) was used for all experiments, except tube types/sterilization experiments. Biomarkers were measured using Elecsys CSF assays. Results: Amyloid beta (Aβ)1-42 levels varied by tube type, using a low-bind FBT reduced variation. Aβ1-42 levels were higher with no mixing versus roller/inversion mixing. Aβ1-42 levels were lower with horizontal versus upright transportation; this was resolved by maximal tube filling and storage at 2°C to 8°C. Aβ1-40 levels were less strongly affected. Phospho-tau and total-tau levels were largely unaffected. Discussion: We propose an easy-to-use, standardized, routine-use pre-analytical protocol, using low-bind FBTs, for measuring AD CSF biomarkers in clinical practice.&quot;,&quot;publisher&quot;:&quot;John Wiley and Sons Inc&quot;,&quot;issue&quot;:&quot;1&quot;,&quot;volume&quot;:&quot;12&quot;},&quot;isTemporary&quot;:false},{&quot;id&quot;:&quot;1e73a94e-86f5-341a-aef7-bc35c07e72af&quot;,&quot;itemData&quot;:{&quot;type&quot;:&quot;report&quot;,&quot;id&quot;:&quot;1e73a94e-86f5-341a-aef7-bc35c07e72af&quot;,&quot;title&quot;:&quot;Longitudinal changes of CSF biomarkers in memory clinic patients&quot;,&quot;author&quot;:[{&quot;family&quot;:&quot;Bouwman&quot;,&quot;given&quot;:&quot;F H&quot;,&quot;parse-names&quot;:false,&quot;dropping-particle&quot;:&quot;&quot;,&quot;non-dropping-particle&quot;:&quot;&quot;},{&quot;family&quot;:&quot;Flier&quot;,&quot;given&quot;:&quot;W M&quot;,&quot;parse-names&quot;:false,&quot;dropping-particle&quot;:&quot;&quot;,&quot;non-dropping-particle&quot;:&quot;van der&quot;},{&quot;family&quot;:&quot;Schoonenboom&quot;,&quot;given&quot;:&quot;N S M&quot;,&quot;parse-names&quot;:false,&quot;dropping-particle&quot;:&quot;&quot;,&quot;non-dropping-particle&quot;:&quot;&quot;},{&quot;family&quot;:&quot;Elk&quot;,&quot;given&quot;:&quot;E J&quot;,&quot;parse-names&quot;:false,&quot;dropping-particle&quot;:&quot;&quot;,&quot;non-dropping-particle&quot;:&quot;van&quot;},{&quot;family&quot;:&quot;Kok&quot;,&quot;given&quot;:&quot;A&quot;,&quot;parse-names&quot;:false,&quot;dropping-particle&quot;:&quot;&quot;,&quot;non-dropping-particle&quot;:&quot;&quot;},{&quot;family&quot;:&quot;Rijmen&quot;,&quot;given&quot;:&quot;F&quot;,&quot;parse-names&quot;:false,&quot;dropping-particle&quot;:&quot;&quot;,&quot;non-dropping-particle&quot;:&quot;&quot;},{&quot;family&quot;:&quot;Blankenstein&quot;,&quot;given&quot;:&quot;M A&quot;,&quot;parse-names&quot;:false,&quot;dropping-particle&quot;:&quot;&quot;,&quot;non-dropping-particle&quot;:&quot;&quot;},{&quot;family&quot;:&quot;Scheltens&quot;,&quot;given&quot;:&quot;P&quot;,&quot;parse-names&quot;:false,&quot;dropping-particle&quot;:&quot;&quot;,&quot;non-dropping-particle&quot;:&quot;&quot;}],&quot;issued&quot;:{&quot;date-parts&quot;:[[2007]]},&quot;abstract&quot;:&quot;Objective: In Alzheimer disease (AD), longitudinal changes of beta-amyloid 1-42 (A 1-42), tau, and phosphorylated tau at threonine 181 (ptau-181) in CSF have been reported in small studies only. We evaluated the natural course of CSF biomarkers in patients with AD, subjective complaints, and mild cognitive impairment (MCI). Methods: One hundred five patients (50 AD, 38 MCI, 17 subjective complaints) underwent two lumbar punctures, with a mean interval of 21 9 months. CSF levels of A 1-42 , tau, and ptau-181 were measured. Results: CSF A 1-42 and tau levels showed main effects for both diagnosis and time (all p 0.05), with average increases of 47 72 and 49 143 pg/mL. The interaction terms were not significant , which implies a similar time effect for all diagnostic groups. CSF ptau-181 levels showed a main effect for diagnosis (p 0.01) but not for time (p 0.27, increase of 1.0 12 pg/mL). Conclusion: Levels of CSF beta-amyloid 1-42 and tau but not phosphorylated tau at threonine 181 increased over time in this memory clinic patient cohort with comparable change in all diagnostic groups. The cross-sectional difference between diagnostic groups, however, exceeded by far the longitudinal changes within individuals, suggesting that these biomarkers are not sensitive as markers of disease progression. Dementia is a rapidly growing socioeconomic and medical problem. 1 Alzheimer disease (AD) is the most common cause of dementia. The major histopathologic hallmarks of AD are senile plaques, containing beta-amyloid 1-42 (A 1-42) and neurofibrillary tangles with microtubule-associated tau protein. These pathologic changes are present before the onset of clinical dementia. 2 Decreased A 1-42 levels in CSF and increased tau and phosphorylated tau (ptau) levels can differentiate patients with AD from control subjects or patients with other neurologic conditions with relatively high accuracy. 3-5 Moreover, these CSF changes can already be detected in patients with mild cognitive impairment (MCI) who later develop AD. 6,7 Although of great importance to gain insight in the natural course of these biomarkers within individuals, only small studies described longitudinal changes of A 1-42 , tau, and ptau levels in CSF, mostly in AD patients. 8-15 The results of these studies are contradictory , the majority showing no significant changes of these CSF biomarkers, 8,11,12,14 some showing a decrease over time, 15 and others showing an increase over time. 10,13 Despite these inconclusive findings, clinical trials using CSF markers as outcome parameters have been reported and are being conducted. 10,16,17 Few studies with small patient samples described longitudinal changes of CSF biomarkers in MCI patients. 11,12 In this study, we evaluated the natural course of CSF biomarker levels over time in AD and MCI patients as well as in patients with subjective complaints only. In addition,&quot;},&quot;isTemporary&quot;:false}],&quot;citationTag&quot;:&quot;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&quot;},{&quot;citationID&quot;:&quot;MENDELEY_CITATION_24eb9a0f-78d1-439b-ac96-d941e536aedd&quot;,&quot;properties&quot;:{&quot;noteIndex&quot;:0},&quot;isEdited&quot;:false,&quot;manualOverride&quot;:{&quot;isManuallyOverridden&quot;:false,&quot;citeprocText&quot;:&quot;[15,16]&quot;,&quot;manualOverrideText&quot;:&quot;&quot;},&quot;citationItems&quot;:[{&quot;id&quot;:&quot;9c0f8e66-0a20-3dc2-a129-17af1c2478d9&quot;,&quot;itemData&quot;:{&quot;type&quot;:&quot;article-journal&quot;,&quot;id&quot;:&quot;9c0f8e66-0a20-3dc2-a129-17af1c2478d9&quot;,&quot;title&quot;:&quot;Towards a unified protocol for handling of CSF before β-amyloid measurements&quot;,&quot;author&quot;:[{&quot;family&quot;:&quot;Janelidze&quot;,&quot;given&quot;:&quot;Shorena&quot;,&quot;parse-names&quot;:false,&quot;dropping-particle&quot;:&quot;&quot;,&quot;non-dropping-particle&quot;:&quot;&quot;},{&quot;family&quot;:&quot;Stomrud&quot;,&quot;given&quot;:&quot;Erik&quot;,&quot;parse-names&quot;:false,&quot;dropping-particle&quot;:&quot;&quot;,&quot;non-dropping-particle&quot;:&quot;&quot;},{&quot;family&quot;:&quot;Brix&quot;,&quot;given&quot;:&quot;Britta&quot;,&quot;parse-names&quot;:false,&quot;dropping-particle&quot;:&quot;&quot;,&quot;non-dropping-particle&quot;:&quot;&quot;},{&quot;family&quot;:&quot;Hansson&quot;,&quot;given&quot;:&quot;Oskar&quot;,&quot;parse-names&quot;:false,&quot;dropping-particle&quot;:&quot;&quot;,&quot;non-dropping-particle&quot;:&quot;&quot;}],&quot;container-title&quot;:&quot;Alzheimer's Research and Therapy&quot;,&quot;DOI&quot;:&quot;10.1186/s13195-019-0517-9&quot;,&quot;ISSN&quot;:&quot;17589193&quot;,&quot;PMID&quot;:&quot;31324260&quot;,&quot;issued&quot;:{&quot;date-parts&quot;:[[2019,7,19]]},&quot;abstract&quot;:&quot;Background: Widespread implementation of Alzheimer's disease biomarkers in routine clinical practice requires the establishment of standard operating procedures for pre-analytical handling of cerebrospinal fluid (CSF). Methods: Here, CSF collection and storage protocols were optimized for measurements of β-amyloid (Aβ). We investigated the effects of (1) storage temperature, (2) storage time, (3) centrifugation, (4) sample mixing, (5) blood contamination, and (6) collection gradient on CSF levels of Aβ. For each study participant, we used fresh CSF directly collected into a protein low binding (LoB) tube that was analyzed within hours after lumbar puncture (LP) as standard of truth. Aβ42 and Aβ40 were measured in de-identified CSF samples using EUROIMMUN and Mesoscale discovery assays. Results: CSF Aβ42 and Aβ40 were stable for at least 72 h at room temperature (RT), 1 week at 4 °C, and 2 weeks at - 20 °C and - 80 °C. Centrifugation of non-blood-contaminated CSF or mixing of samples before the analysis did not affect Aβ levels. Addition of 0.1-10% blood to CSF that was stored at RT without centrifugation led to a dose- and time-dependent decrease in Aβ42 and Aβ40, while Aβ42/Aβ40 did not change. The effects of blood contamination were mitigated by centrifugation and/or storage at 4 °C or - 20 °C. Aβ levels did not differ between the first to fourth 5-ml portions of CSF. Conclusions: CSF can be stored for up to 72 h at RT, 1 week at 4 °C, or at least 2 weeks at either - 20 °C or - 80 °C before Aβ measurements. Centrifugation of fresh non-blood-contaminated CSF after LP, or mixing before analysis, is not required. In case of visible blood contamination, centrifugation and storage at 4 °C or - 20 °C is recommended. After discarding the first 2 ml, any portion of up to 20 ml of CSF is suitable for Aβ analysis. These findings will be important for the development of a clinical routine protocol for pre-analytical handling of CSF.&quot;,&quot;publisher&quot;:&quot;BioMed Central Ltd.&quot;,&quot;issue&quot;:&quot;1&quot;,&quot;volume&quot;:&quot;11&quot;,&quot;expandedJournalTitle&quot;:&quot;Alzheimer's Research and Therapy&quot;},&quot;isTemporary&quot;:false},{&quot;id&quot;:&quot;8e0bdd56-efb8-3f54-aa3e-25a3167b9a07&quot;,&quot;itemData&quot;:{&quot;type&quot;:&quot;article-journal&quot;,&quot;id&quot;:&quot;8e0bdd56-efb8-3f54-aa3e-25a3167b9a07&quot;,&quot;title&quot;:&quot;Pre-analytical protocol for measuring Alzheimer's disease biomarkers in fresh CSF&quot;,&quot;author&quot;:[{&quot;family&quot;:&quot;Hansson&quot;,&quot;given&quot;:&quot;Oskar&quot;,&quot;parse-names&quot;:false,&quot;dropping-particle&quot;:&quot;&quot;,&quot;non-dropping-particle&quot;:&quot;&quot;},{&quot;family&quot;:&quot;Rutz&quot;,&quot;given&quot;:&quot;Sandra&quot;,&quot;parse-names&quot;:false,&quot;dropping-particle&quot;:&quot;&quot;,&quot;non-dropping-particle&quot;:&quot;&quot;},{&quot;family&quot;:&quot;Zetterberg&quot;,&quot;given&quot;:&quot;Henrik&quot;,&quot;parse-names&quot;:false,&quot;dropping-particle&quot;:&quot;&quot;,&quot;non-dropping-particle&quot;:&quot;&quot;},{&quot;family&quot;:&quot;Bauer&quot;,&quot;given&quot;:&quot;Ekaterina&quot;,&quot;parse-names&quot;:false,&quot;dropping-particle&quot;:&quot;&quot;,&quot;non-dropping-particle&quot;:&quot;&quot;},{&quot;family&quot;:&quot;Hähl&quot;,&quot;given&quot;:&quot;Teresa&quot;,&quot;parse-names&quot;:false,&quot;dropping-particle&quot;:&quot;&quot;,&quot;non-dropping-particle&quot;:&quot;&quot;},{&quot;family&quot;:&quot;Manuilova&quot;,&quot;given&quot;:&quot;Ekaterina&quot;,&quot;parse-names&quot;:false,&quot;dropping-particle&quot;:&quot;&quot;,&quot;non-dropping-particle&quot;:&quot;&quot;},{&quot;family&quot;:&quot;Mert&quot;,&quot;given&quot;:&quot;Mehmet Can&quot;,&quot;parse-names&quot;:false,&quot;dropping-particle&quot;:&quot;&quot;,&quot;non-dropping-particle&quot;:&quot;&quot;},{&quot;family&quot;:&quot;Wahl&quot;,&quot;given&quot;:&quot;Simone&quot;,&quot;parse-names&quot;:false,&quot;dropping-particle&quot;:&quot;&quot;,&quot;non-dropping-particle&quot;:&quot;&quot;},{&quot;family&quot;:&quot;Blennow&quot;,&quot;given&quot;:&quot;Kaj&quot;,&quot;parse-names&quot;:false,&quot;dropping-particle&quot;:&quot;&quot;,&quot;non-dropping-particle&quot;:&quot;&quot;},{&quot;family&quot;:&quot;Stomrud&quot;,&quot;given&quot;:&quot;Erik&quot;,&quot;parse-names&quot;:false,&quot;dropping-particle&quot;:&quot;&quot;,&quot;non-dropping-particle&quot;:&quot;&quot;}],&quot;container-title&quot;:&quot;Alzheimer's and Dementia: Diagnosis, Assessment and Disease Monitoring&quot;,&quot;accessed&quot;:{&quot;date-parts&quot;:[[2022,2,5]]},&quot;DOI&quot;:&quot;10.1002/DAD2.12137&quot;,&quot;ISSN&quot;:&quot;23528729&quot;,&quot;issued&quot;:{&quot;date-parts&quot;:[[2020]]},&quot;abstract&quot;:&quot;Introduction: We aimed to establish a standardized, routine-use pre-analytical protocol for measuring Alzheimer's disease (AD) biomarkers in cerebrospinal fluid (CSF). Methods: The effect of pre-analytical factors (sample collection/handling/storage/transportation) on biomarker levels was assessed using freshly collected CSF. Tube type/sterilization was assessed using previously frozen samples. A low-bind false-bottom tube (FBT, Sarstedt) was used for all experiments, except tube types/sterilization experiments. Biomarkers were measured using Elecsys CSF assays. Results: Amyloid beta (Aβ)1-42 levels varied by tube type, using a low-bind FBT reduced variation. Aβ1-42 levels were higher with no mixing versus roller/inversion mixing. Aβ1-42 levels were lower with horizontal versus upright transportation; this was resolved by maximal tube filling and storage at 2°C to 8°C. Aβ1-40 levels were less strongly affected. Phospho-tau and total-tau levels were largely unaffected. Discussion: We propose an easy-to-use, standardized, routine-use pre-analytical protocol, using low-bind FBTs, for measuring AD CSF biomarkers in clinical practice.&quot;,&quot;publisher&quot;:&quot;John Wiley and Sons Inc&quot;,&quot;issue&quot;:&quot;1&quot;,&quot;volume&quot;:&quot;12&quot;},&quot;isTemporary&quot;:false}],&quot;citationTag&quot;:&quot;MENDELEY_CITATION_v3_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&quot;},{&quot;citationID&quot;:&quot;MENDELEY_CITATION_924e5cf6-2fed-400d-8529-8071ea0420a9&quot;,&quot;properties&quot;:{&quot;noteIndex&quot;:0},&quot;isEdited&quot;:false,&quot;manualOverride&quot;:{&quot;isManuallyOverridden&quot;:false,&quot;citeprocText&quot;:&quot;[10,17]&quot;,&quot;manualOverrideText&quot;:&quot;&quot;},&quot;citationItems&quot;:[{&quot;id&quot;:&quot;16fbdbf0-8669-3fe5-9c8b-8d1a5db16dbe&quot;,&quot;itemData&quot;:{&quot;type&quot;:&quot;article-journal&quot;,&quot;id&quot;:&quot;16fbdbf0-8669-3fe5-9c8b-8d1a5db16dbe&quot;,&quot;title&quot;:&quot;Confounding factors influencing amyloid beta concentration in cerebrospinal fluid&quot;,&quot;author&quot;:[{&quot;family&quot;:&quot;Bjerke&quot;,&quot;given&quot;:&quot;Maria&quot;,&quot;parse-names&quot;:false,&quot;dropping-particle&quot;:&quot;&quot;,&quot;non-dropping-particle&quot;:&quot;&quot;},{&quot;family&quot;:&quot;Portelius&quot;,&quot;given&quot;:&quot;Erik&quot;,&quot;parse-names&quot;:false,&quot;dropping-particle&quot;:&quot;&quot;,&quot;non-dropping-particle&quot;:&quot;&quot;},{&quot;family&quot;:&quot;Minthon&quot;,&quot;given&quot;:&quot;Lennart&quot;,&quot;parse-names&quot;:false,&quot;dropping-particle&quot;:&quot;&quot;,&quot;non-dropping-particle&quot;:&quot;&quot;},{&quot;family&quot;:&quot;Wallin&quot;,&quot;given&quot;:&quot;Anders&quot;,&quot;parse-names&quot;:false,&quot;dropping-particle&quot;:&quot;&quot;,&quot;non-dropping-particle&quot;:&quot;&quot;},{&quot;family&quot;:&quot;Anckarster&quot;,&quot;given&quot;:&quot;Henrik&quot;,&quot;parse-names&quot;:false,&quot;dropping-particle&quot;:&quot;&quot;,&quot;non-dropping-particle&quot;:&quot;&quot;},{&quot;family&quot;:&quot;Anckarster&quot;,&quot;given&quot;:&quot;Rolf&quot;,&quot;parse-names&quot;:false,&quot;dropping-particle&quot;:&quot;&quot;,&quot;non-dropping-particle&quot;:&quot;&quot;},{&quot;family&quot;:&quot;Andreasen&quot;,&quot;given&quot;:&quot;Niels&quot;,&quot;parse-names&quot;:false,&quot;dropping-particle&quot;:&quot;&quot;,&quot;non-dropping-particle&quot;:&quot;&quot;},{&quot;family&quot;:&quot;Zetterberg&quot;,&quot;given&quot;:&quot;Henrik&quot;,&quot;parse-names&quot;:false,&quot;dropping-particle&quot;:&quot;&quot;,&quot;non-dropping-particle&quot;:&quot;&quot;},{&quot;family&quot;:&quot;Andreasson&quot;,&quot;given&quot;:&quot;Ulf&quot;,&quot;parse-names&quot;:false,&quot;dropping-particle&quot;:&quot;&quot;,&quot;non-dropping-particle&quot;:&quot;&quot;},{&quot;family&quot;:&quot;Blennow&quot;,&quot;given&quot;:&quot;Kaj&quot;,&quot;parse-names&quot;:false,&quot;dropping-particle&quot;:&quot;&quot;,&quot;non-dropping-particle&quot;:&quot;&quot;}],&quot;container-title&quot;:&quot;International Journal of Alzheimer's Disease&quot;,&quot;DOI&quot;:&quot;10.4061/2010/986310&quot;,&quot;ISSN&quot;:&quot;20900252&quot;,&quot;issued&quot;:{&quot;date-parts&quot;:[[2010]]},&quot;abstract&quot;:&quot;Background. Patients afflicted with Alzheimer's disease (AD) exhibit a decrease in the cerebrospinal fluid (CSF) concentration of the 42 amino acid form of -amyloid (A 42). However, a high discrepancy between different centers in measured A 42 levels reduces the utility of this biomarker as a diagnostic tool and in monitoring the effect of disease modifying drugs. Preanalytical and analytical confounding factors were examined with respect to their effect on the measured A 42 level. Methods. Aliquots of CSF samples were either treated differently prior to A 42 measurement or analyzed using different commercially available xMAP or ELISA assays. Results. Confounding factors affecting CSF A 42 levels were storage in different types of test tubes, dilution with detergent-containing buffer, plasma contamination, heat treatment, and the origin of the immunoassays used for quantification. Conclusion. In order to conduct multicenter studies, a standardized protocol to minimize preanalytical and analytical confounding factors is warranted. Copyright © 2010 Maria Bjerke et al.&quot;,&quot;expandedJournalTitle&quot;:&quot;International Journal of Alzheimer's Disease&quot;},&quot;isTemporary&quot;:false},{&quot;id&quot;:&quot;cedabe72-c4d8-3553-bea8-f51e176d5e49&quot;,&quot;itemData&quot;:{&quot;type&quot;:&quot;article-journal&quot;,&quot;id&quot;:&quot;cedabe72-c4d8-3553-bea8-f51e176d5e49&quot;,&quot;title&quot;:&quot;Effects of Processing and Storage Conditions on Amyloid (1-42) and Tau Concentrations in Cerebrospinal Fluid: Implications for Use in Clinical Practice&quot;,&quot;author&quot;:[{&quot;family&quot;:&quot;Schoonenboom&quot;,&quot;given&quot;:&quot;Niki S M&quot;,&quot;parse-names&quot;:false,&quot;dropping-particle&quot;:&quot;&quot;,&quot;non-dropping-particle&quot;:&quot;&quot;},{&quot;family&quot;:&quot;Mulder&quot;,&quot;given&quot;:&quot;Cees&quot;,&quot;parse-names&quot;:false,&quot;dropping-particle&quot;:&quot;&quot;,&quot;non-dropping-particle&quot;:&quot;&quot;},{&quot;family&quot;:&quot;Vanderstichele&quot;,&quot;given&quot;:&quot;Hugo&quot;,&quot;parse-names&quot;:false,&quot;dropping-particle&quot;:&quot;&quot;,&quot;non-dropping-particle&quot;:&quot;&quot;},{&quot;family&quot;:&quot;Elk&quot;,&quot;given&quot;:&quot;Evert-Jan&quot;,&quot;parse-names&quot;:false,&quot;dropping-particle&quot;:&quot;&quot;,&quot;non-dropping-particle&quot;:&quot;van&quot;},{&quot;family&quot;:&quot;Kok&quot;,&quot;given&quot;:&quot;Astrid&quot;,&quot;parse-names&quot;:false,&quot;dropping-particle&quot;:&quot;&quot;,&quot;non-dropping-particle&quot;:&quot;&quot;},{&quot;family&quot;:&quot;Kamp&quot;,&quot;given&quot;:&quot;Gerard J&quot;,&quot;parse-names&quot;:false,&quot;dropping-particle&quot;:&quot;&quot;,&quot;non-dropping-particle&quot;:&quot;van&quot;},{&quot;family&quot;:&quot;Scheltens&quot;,&quot;given&quot;:&quot;Philip&quot;,&quot;parse-names&quot;:false,&quot;dropping-particle&quot;:&quot;&quot;,&quot;non-dropping-particle&quot;:&quot;&quot;},{&quot;family&quot;:&quot;Blankenstein&quot;,&quot;given&quot;:&quot;Marinus A&quot;,&quot;parse-names&quot;:false,&quot;dropping-particle&quot;:&quot;&quot;,&quot;non-dropping-particle&quot;:&quot;&quot;}],&quot;DOI&quot;:&quot;10.1373/clinchem.2004.039735&quot;,&quot;issued&quot;:{&quot;date-parts&quot;:[[2005]]},&quot;abstract&quot;:&quot;Background: Reported concentrations of amyloid (1-42) (A42) and tau in cerebrospinal fluid (CSF) differ among reports. We investigated the effects of storage temperature, repeated freeze/thaw cycles, and centrifu-gation on the concentrations of A42 and tau in CSF. Methods: Stability of samples stored at 80 °C was determined by use of an accelerated stability testing protocol according to the Arrhenius equation. A42 and tau concentrations were measured in CSF samples stored at 4, 18, 37, and 80 °C. Relative CSF concentrations (%) of the biomarkers after one freeze/thaw cycle were compared with those after two, three, four, five, and six freeze/thaw cycles. In addition, relative A42 and tau concentrations in samples not centrifuged were compared with samples centrifuged after 1, 4, 48, and 72 h. Results: A42 and tau concentrations were stable in CSF when stored for a long period at 80 °C. CSF A42 decreased by 20% during the first 2 days at 4, 18, and 37 °C compared with 80 °C. CSF tau decreased after storage for 12 days at 37 °C. After three freeze/thaw cycles, CSF A42 decreased 20%. CSF tau was stable during six freeze/thaw cycles. Centrifugation did not influence the biomarker concentrations.&quot;},&quot;isTemporary&quot;:false}],&quot;citationTag&quot;:&quot;MENDELEY_CITATION_v3_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&quot;},{&quot;citationID&quot;:&quot;MENDELEY_CITATION_47c45804-99bb-4140-87ab-467e88699ed3&quot;,&quot;properties&quot;:{&quot;noteIndex&quot;:0},&quot;isEdited&quot;:false,&quot;manualOverride&quot;:{&quot;isManuallyOverridden&quot;:false,&quot;citeprocText&quot;:&quot;[13,18,19]&quot;,&quot;manualOverrideText&quot;:&quot;&quot;},&quot;citationItems&quot;:[{&quot;id&quot;:&quot;e76f181b-70ec-3e29-9c99-6083103c53bd&quot;,&quot;itemData&quot;:{&quot;type&quot;:&quot;article-journal&quot;,&quot;id&quot;:&quot;e76f181b-70ec-3e29-9c99-6083103c53bd&quot;,&quot;title&quot;:&quot;Analytical performance and clinical utility of the INNOTEST® PHOSPHO-TAU(181P) assay for discrimination between Alzheimer's disease and dementia with Lewy bodies&quot;,&quot;author&quot;:[{&quot;family&quot;:&quot;Vanderstichele&quot;,&quot;given&quot;:&quot;Hugo&quot;,&quot;parse-names&quot;:false,&quot;dropping-particle&quot;:&quot;&quot;,&quot;non-dropping-particle&quot;:&quot;&quot;},{&quot;family&quot;:&quot;Vreese&quot;,&quot;given&quot;:&quot;Karen&quot;,&quot;parse-names&quot;:false,&quot;dropping-particle&quot;:&quot;&quot;,&quot;non-dropping-particle&quot;:&quot;de&quot;},{&quot;family&quot;:&quot;Blennow&quot;,&quot;given&quot;:&quot;Kaj&quot;,&quot;parse-names&quot;:false,&quot;dropping-particle&quot;:&quot;&quot;,&quot;non-dropping-particle&quot;:&quot;&quot;},{&quot;family&quot;:&quot;Andreasen&quot;,&quot;given&quot;:&quot;Niels&quot;,&quot;parse-names&quot;:false,&quot;dropping-particle&quot;:&quot;&quot;,&quot;non-dropping-particle&quot;:&quot;&quot;},{&quot;family&quot;:&quot;Sindic&quot;,&quot;given&quot;:&quot;Christian&quot;,&quot;parse-names&quot;:false,&quot;dropping-particle&quot;:&quot;&quot;,&quot;non-dropping-particle&quot;:&quot;&quot;},{&quot;family&quot;:&quot;Ivanoiu&quot;,&quot;given&quot;:&quot;Adrian&quot;,&quot;parse-names&quot;:false,&quot;dropping-particle&quot;:&quot;&quot;,&quot;non-dropping-particle&quot;:&quot;&quot;},{&quot;family&quot;:&quot;Hampel&quot;,&quot;given&quot;:&quot;Harald&quot;,&quot;parse-names&quot;:false,&quot;dropping-particle&quot;:&quot;&quot;,&quot;non-dropping-particle&quot;:&quot;&quot;},{&quot;family&quot;:&quot;Bürger&quot;,&quot;given&quot;:&quot;Katharina&quot;,&quot;parse-names&quot;:false,&quot;dropping-particle&quot;:&quot;&quot;,&quot;non-dropping-particle&quot;:&quot;&quot;},{&quot;family&quot;:&quot;Parnetti&quot;,&quot;given&quot;:&quot;Lucilla&quot;,&quot;parse-names&quot;:false,&quot;dropping-particle&quot;:&quot;&quot;,&quot;non-dropping-particle&quot;:&quot;&quot;},{&quot;family&quot;:&quot;Lanari&quot;,&quot;given&quot;:&quot;Alessia&quot;,&quot;parse-names&quot;:false,&quot;dropping-particle&quot;:&quot;&quot;,&quot;non-dropping-particle&quot;:&quot;&quot;},{&quot;family&quot;:&quot;Padovani&quot;,&quot;given&quot;:&quot;Allesandro&quot;,&quot;parse-names&quot;:false,&quot;dropping-particle&quot;:&quot;&quot;,&quot;non-dropping-particle&quot;:&quot;&quot;},{&quot;family&quot;:&quot;DiLuca&quot;,&quot;given&quot;:&quot;Monica&quot;,&quot;parse-names&quot;:false,&quot;dropping-particle&quot;:&quot;&quot;,&quot;non-dropping-particle&quot;:&quot;&quot;},{&quot;family&quot;:&quot;Bläser&quot;,&quot;given&quot;:&quot;Miriam&quot;,&quot;parse-names&quot;:false,&quot;dropping-particle&quot;:&quot;&quot;,&quot;non-dropping-particle&quot;:&quot;&quot;},{&quot;family&quot;:&quot;Ohrfelt Olsson&quot;,&quot;given&quot;:&quot;Annika&quot;,&quot;parse-names&quot;:false,&quot;dropping-particle&quot;:&quot;&quot;,&quot;non-dropping-particle&quot;:&quot;&quot;},{&quot;family&quot;:&quot;Pottel&quot;,&quot;given&quot;:&quot;Hans&quot;,&quot;parse-names&quot;:false,&quot;dropping-particle&quot;:&quot;&quot;,&quot;non-dropping-particle&quot;:&quot;&quot;},{&quot;family&quot;:&quot;Hulstaert&quot;,&quot;given&quot;:&quot;Frank&quot;,&quot;parse-names&quot;:false,&quot;dropping-particle&quot;:&quot;&quot;,&quot;non-dropping-particle&quot;:&quot;&quot;},{&quot;family&quot;:&quot;Vanmechelen&quot;,&quot;given&quot;:&quot;Eugeen&quot;,&quot;parse-names&quot;:false,&quot;dropping-particle&quot;:&quot;&quot;,&quot;non-dropping-particle&quot;:&quot;&quot;}],&quot;container-title&quot;:&quot;Clinical Chemistry and Laboratory Medicine&quot;,&quot;DOI&quot;:&quot;10.1515/CCLM.2006.258&quot;,&quot;ISSN&quot;:&quot;14346621&quot;,&quot;PMID&quot;:&quot;17163825&quot;,&quot;issued&quot;:{&quot;date-parts&quot;:[[2006,12,1]]},&quot;page&quot;:&quot;1472-1480&quot;,&quot;abstract&quot;:&quot;Background: Total tau (T-tau) and β-amyloid(1-42) (Aβ1-42) levels in cerebrospinal fluid (CSF) can differentiate Alzheimer's disease (AD) from normal aging or depressive pseudo-dementia. Differential diagnosis from dementia with Lewy bodies (DLB) in clinical settings is difficult. Methods: The analytical performance of the INNOTEST® PHOSPHO-TAU(181P) assay was validated in terms of selectivity, sensitivity, specificity, precision, robustness, and stability. Clinical utility of the assay alone, or combined with T-tau and Aβ1-42, for discrimination of AD (n=94) from patients suffering from DLB (n=60) or from age-matched control subjects (CS) (n=60) was assessed in a multicenter study. Results: CSF concentrations of tau phosphorylated at threonine 181 (P-tau 181P) in AD was significantly higher than in DLB and CS. Discriminant analysis, a classification tree, and logistic regression showed that P-tau 181P was the most statistically significant single variable of the three biomarkers for discrimination between AD and DLB. Conclusions: P-tau 181P quantification is a robust and reliable assay that may be useful in discriminating AD from DLB. © 2006 by Walter de Gruyter.&quot;,&quot;issue&quot;:&quot;12&quot;,&quot;volume&quot;:&quot;44&quot;,&quot;expandedJournalTitle&quot;:&quot;Clinical Chemistry and Laboratory Medicine&quot;},&quot;isTemporary&quot;:false},{&quot;id&quot;:&quot;3fd3c823-9e51-3fd3-adc3-bc76e79f807a&quot;,&quot;itemData&quot;:{&quot;type&quot;:&quot;article-journal&quot;,&quot;id&quot;:&quot;3fd3c823-9e51-3fd3-adc3-bc76e79f807a&quot;,&quot;title&quot;:&quot;Both total and phosphorylated tau are increased in Alzheimer's disease&quot;,&quot;author&quot;:[{&quot;family&quot;:&quot;Sjögren&quot;,&quot;given&quot;:&quot;M&quot;,&quot;parse-names&quot;:false,&quot;dropping-particle&quot;:&quot;&quot;,&quot;non-dropping-particle&quot;:&quot;&quot;},{&quot;family&quot;:&quot;Davidsson&quot;,&quot;given&quot;:&quot;P&quot;,&quot;parse-names&quot;:false,&quot;dropping-particle&quot;:&quot;&quot;,&quot;non-dropping-particle&quot;:&quot;&quot;},{&quot;family&quot;:&quot;Tullberg&quot;,&quot;given&quot;:&quot;M&quot;,&quot;parse-names&quot;:false,&quot;dropping-particle&quot;:&quot;&quot;,&quot;non-dropping-particle&quot;:&quot;&quot;},{&quot;family&quot;:&quot;Minthon&quot;,&quot;given&quot;:&quot;L&quot;,&quot;parse-names&quot;:false,&quot;dropping-particle&quot;:&quot;&quot;,&quot;non-dropping-particle&quot;:&quot;&quot;},{&quot;family&quot;:&quot;Wallin&quot;,&quot;given&quot;:&quot;A&quot;,&quot;parse-names&quot;:false,&quot;dropping-particle&quot;:&quot;&quot;,&quot;non-dropping-particle&quot;:&quot;&quot;},{&quot;family&quot;:&quot;Wikkelso&quot;,&quot;given&quot;:&quot;C&quot;,&quot;parse-names&quot;:false,&quot;dropping-particle&quot;:&quot;&quot;,&quot;non-dropping-particle&quot;:&quot;&quot;},{&quot;family&quot;:&quot;Granérus&quot;,&quot;given&quot;:&quot;A-K&quot;,&quot;parse-names&quot;:false,&quot;dropping-particle&quot;:&quot;&quot;,&quot;non-dropping-particle&quot;:&quot;&quot;},{&quot;family&quot;:&quot;Vanderstichele&quot;,&quot;given&quot;:&quot;H&quot;,&quot;parse-names&quot;:false,&quot;dropping-particle&quot;:&quot;&quot;,&quot;non-dropping-particle&quot;:&quot;&quot;},{&quot;family&quot;:&quot;Vanmechelen&quot;,&quot;given&quot;:&quot;E&quot;,&quot;parse-names&quot;:false,&quot;dropping-particle&quot;:&quot;&quot;,&quot;non-dropping-particle&quot;:&quot;&quot;},{&quot;family&quot;:&quot;Blennow&quot;,&quot;given&quot;:&quot;K&quot;,&quot;parse-names&quot;:false,&quot;dropping-particle&quot;:&quot;&quot;,&quot;non-dropping-particle&quot;:&quot;&quot;}],&quot;DOI&quot;:&quot;10.1136/jnnp.70.5.624&quot;,&quot;URL&quot;:&quot;www.jnnp.com&quot;,&quot;abstract&quot;:&quot;Backround-Pathological tau protein concentrations in CSF are found in both Alzheimer's disease (AD) and frontotem-poral dementia (FTD), but studies on brain tissue have suggested that the tau pathology in AD diVers from that in FTD and that the diVerence may be related to the degree of phosphorylation. As CSF tau protein is increased after stroke, tau may also be implicated in the pathophysiology of vascular dementia, of which subcortical arteriosclerotic encephalopathy (SAE) is a putative subtype. Objectives-To investigate the nature of tau protein in CSF and the involvement of total CSF tau and phosphorylated CSF tau (phosphotau) in various types of dementia. Methods-Using ELISAs for total tau and tau phosphorylated at Thr181 (phospho-tau), the CSF concentrations of total tau and phosphotau were determined in patients with probable and possible AD (n=41 and 19, respectively), FTD (n=18), SAE (n=17), and Parkinson's disease (PD; n=15) and in age matched controls (n=17). All the antibodies stained the lower molecular weight bands, whereas only the antibodies that recognise phosphorylated tau stained the higher molecular bands. Results-Both CSF tau and CSF phos-photau were increased in probable AD compared with FTD (p&lt;0.001), SAE (p&lt;0.001), PD (p&lt;0.001), and controls (p&lt;0.001). CSF phosphotau was increased in possible AD compared with FTD (p&lt;0.001) and SAE (p&lt;0.001). CSF tau and CSF phosphotau were positively correlated in all the groups. Molecular weight forms of tau ranging from 25 kDa to 80 kDa were found in the CSF Conclusion-Both phosphorylated and unphosphorylated tau isoforms were present in the CSF, and tau protein appeared in both truncated and full length forms. The results suggest that the CSF concentrations of tau and phosphotau are increased in about two thirds of patients with probable AD and in half of those with possible AD but are normal in FTD, SAE, and PD compared with normal aging. Values in the normal range do not exclude AD. (J Neurol Neurosurg Psychiatry 2001;70:624-630)&quot;},&quot;isTemporary&quot;:false},{&quot;id&quot;:&quot;76e466c7-f95a-3473-8838-e0f1187dffdf&quot;,&quot;itemData&quot;:{&quot;type&quot;:&quot;report&quot;,&quot;id&quot;:&quot;76e466c7-f95a-3473-8838-e0f1187dffdf&quot;,&quot;title&quot;:&quot;Supplementary Data Validation of ELISA Methods for Quantification of Total Tau and Phosporylated-Tau 181 in Human Cerebrospinal Fluid with Measurement in Specimens from Two Alzheimer's Disease Studies&quot;,&quot;author&quot;:[{&quot;family&quot;:&quot;Lachno&quot;,&quot;given&quot;:&quot;D Richard&quot;,&quot;parse-names&quot;:false,&quot;dropping-particle&quot;:&quot;&quot;,&quot;non-dropping-particle&quot;:&quot;&quot;},{&quot;family&quot;:&quot;Romeo&quot;,&quot;given&quot;:&quot;Martin J&quot;,&quot;parse-names&quot;:false,&quot;dropping-particle&quot;:&quot;&quot;,&quot;non-dropping-particle&quot;:&quot;&quot;},{&quot;family&quot;:&quot;Siemers&quot;,&quot;given&quot;:&quot;Eric R&quot;,&quot;parse-names&quot;:false,&quot;dropping-particle&quot;:&quot;&quot;,&quot;non-dropping-particle&quot;:&quot;&quot;},{&quot;family&quot;:&quot;Vanderstichele&quot;,&quot;given&quot;:&quot;Hugo&quot;,&quot;parse-names&quot;:false,&quot;dropping-particle&quot;:&quot;&quot;,&quot;non-dropping-particle&quot;:&quot;&quot;},{&quot;family&quot;:&quot;Coart&quot;,&quot;given&quot;:&quot;Els&quot;,&quot;parse-names&quot;:false,&quot;dropping-particle&quot;:&quot;&quot;,&quot;non-dropping-particle&quot;:&quot;&quot;},{&quot;family&quot;:&quot;Konrad&quot;,&quot;given&quot;:&quot;Robert J&quot;,&quot;parse-names&quot;:false,&quot;dropping-particle&quot;:&quot;&quot;,&quot;non-dropping-particle&quot;:&quot;&quot;},{&quot;family&quot;:&quot;Zajac&quot;,&quot;given&quot;:&quot;Joseph J&quot;,&quot;parse-names&quot;:false,&quot;dropping-particle&quot;:&quot;&quot;,&quot;non-dropping-particle&quot;:&quot;&quot;},{&quot;family&quot;:&quot;Talbot&quot;,&quot;given&quot;:&quot;Jayne A&quot;,&quot;parse-names&quot;:false,&quot;dropping-particle&quot;:&quot;&quot;,&quot;non-dropping-particle&quot;:&quot;&quot;},{&quot;family&quot;:&quot;Jensen&quot;,&quot;given&quot;:&quot;Hans F&quot;,&quot;parse-names&quot;:false,&quot;dropping-particle&quot;:&quot;&quot;,&quot;non-dropping-particle&quot;:&quot;&quot;},{&quot;family&quot;:&quot;Sethuraman&quot;,&quot;given&quot;:&quot;Gopalan&quot;,&quot;parse-names&quot;:false,&quot;dropping-particle&quot;:&quot;&quot;,&quot;non-dropping-particle&quot;:&quot;&quot;},{&quot;family&quot;:&quot;Demattos&quot;,&quot;given&quot;:&quot;Ronald B&quot;,&quot;parse-names&quot;:false,&quot;dropping-particle&quot;:&quot;&quot;,&quot;non-dropping-particle&quot;:&quot;&quot;},{&quot;family&quot;:&quot;May&quot;,&quot;given&quot;:&quot;Patrick C&quot;,&quot;parse-names&quot;:false,&quot;dropping-particle&quot;:&quot;&quot;,&quot;non-dropping-particle&quot;:&quot;&quot;},{&quot;family&quot;:&quot;Dean&quot;,&quot;given&quot;:&quot;Robert A&quot;,&quot;parse-names&quot;:false,&quot;dropping-particle&quot;:&quot;&quot;,&quot;non-dropping-particle&quot;:&quot;&quot;}],&quot;container-title&quot;:&quot;Journal of Alzheimer's Disease&quot;,&quot;issued&quot;:{&quot;date-parts&quot;:[[2011]]},&quot;number-of-pages&quot;:&quot;1-5&quot;,&quot;publisher&quot;:&quot;IOS Press&quot;,&quot;volume&quot;:&quot;26&quot;},&quot;isTemporary&quot;:false}],&quot;citationTag&quot;:&quot;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&quot;},{&quot;citationID&quot;:&quot;MENDELEY_CITATION_e6d181e4-6a85-4137-9239-cfd21c3ef1bf&quot;,&quot;properties&quot;:{&quot;noteIndex&quot;:0},&quot;isEdited&quot;:false,&quot;manualOverride&quot;:{&quot;isManuallyOverridden&quot;:false,&quot;citeprocText&quot;:&quot;[20]&quot;,&quot;manualOverrideText&quot;:&quot;&quot;},&quot;citationItems&quot;:[{&quot;id&quot;:&quot;01efde40-05c7-30ba-8df5-6d83167cf1a9&quot;,&quot;itemData&quot;:{&quot;type&quot;:&quot;article&quot;,&quot;id&quot;:&quot;01efde40-05c7-30ba-8df5-6d83167cf1a9&quot;,&quot;title&quot;:&quot;Cerebrospinal fluid biomarkers in Alzheimer's and Parkinson's diseases-From pathophysiology to clinical practice&quot;,&quot;author&quot;:[{&quot;family&quot;:&quot;Blennow&quot;,&quot;given&quot;:&quot;Kaj&quot;,&quot;parse-names&quot;:false,&quot;dropping-particle&quot;:&quot;&quot;,&quot;non-dropping-particle&quot;:&quot;&quot;},{&quot;family&quot;:&quot;Biscetti&quot;,&quot;given&quot;:&quot;Leonardo&quot;,&quot;parse-names&quot;:false,&quot;dropping-particle&quot;:&quot;&quot;,&quot;non-dropping-particle&quot;:&quot;&quot;},{&quot;family&quot;:&quot;Eusebi&quot;,&quot;given&quot;:&quot;Paolo&quot;,&quot;parse-names&quot;:false,&quot;dropping-particle&quot;:&quot;&quot;,&quot;non-dropping-particle&quot;:&quot;&quot;},{&quot;family&quot;:&quot;Parnetti&quot;,&quot;given&quot;:&quot;Lucilla&quot;,&quot;parse-names&quot;:false,&quot;dropping-particle&quot;:&quot;&quot;,&quot;non-dropping-particle&quot;:&quot;&quot;}],&quot;container-title&quot;:&quot;Movement Disorders&quot;,&quot;DOI&quot;:&quot;10.1002/mds.26656&quot;,&quot;ISSN&quot;:&quot;15318257&quot;,&quot;PMID&quot;:&quot;27145480&quot;,&quot;issued&quot;:{&quot;date-parts&quot;:[[2016,6,1]]},&quot;page&quot;:&quot;836-847&quot;,&quot;abstract&quot;:&quot;This review provides an update on the role, development, and validation of CSF biomarkers in the diagnosis and prognosis of Alzheimer's disease and PD. Some recent developments on novel biomarkers are also discussed. We also give an overview of methodological/technical factors still hampering the global validation and standardization of CSF Alzheimer's disease and PD biomarkers. CSF biomarkers have the potential to improve the diagnostic accuracy at the early stages not only for Alzheimer's disease but also for PD. This step is essential in view of the availability of disease-modifying treatments. Our vision for the future is that analyzing biomarker panels on a minute amount of CSF could provide important information on the whole spectrum of the molecular pathogenic events characterizing these neurodegenerative disorders. CSF core biomarkers have already been included in the diagnostic criteria for Alzheimer's disease, and they are also under consideration as tools to monitor the effects of disease-modifying drugs. With respect to PD, their potential for improving diagnostic accuracy in early diagnosis is under intense research, resembling the same path followed for Alzheimer's disease.&quot;,&quot;publisher&quot;:&quot;John Wiley and Sons Inc.&quot;,&quot;issue&quot;:&quot;6&quot;,&quot;volume&quot;:&quot;31&quot;},&quot;isTemporary&quot;:false}],&quot;citationTag&quot;:&quot;MENDELEY_CITATION_v3_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&quot;},{&quot;citationID&quot;:&quot;MENDELEY_CITATION_e8f758f2-3ed2-4f4b-a0da-7d0cd3f31376&quot;,&quot;properties&quot;:{&quot;noteIndex&quot;:0},&quot;isEdited&quot;:false,&quot;manualOverride&quot;:{&quot;isManuallyOverridden&quot;:false,&quot;citeprocText&quot;:&quot;[21]&quot;,&quot;manualOverrideText&quot;:&quot;&quot;},&quot;citationItems&quot;:[{&quot;id&quot;:&quot;b4005aa2-0536-36d7-9d4c-e48a1ae7fe28&quot;,&quot;itemData&quot;:{&quot;type&quot;:&quot;article-journal&quot;,&quot;id&quot;:&quot;b4005aa2-0536-36d7-9d4c-e48a1ae7fe28&quot;,&quot;title&quot;:&quot;Measurement of CSF core Alzheimer disease biomarkers for routine clinical diagnosis: do fresh vs frozen samples differ?&quot;,&quot;author&quot;:[{&quot;family&quot;:&quot;Bellomo&quot;,&quot;given&quot;:&quot;Giovanni&quot;,&quot;parse-names&quot;:false,&quot;dropping-particle&quot;:&quot;&quot;,&quot;non-dropping-particle&quot;:&quot;&quot;},{&quot;family&quot;:&quot;Cataldi&quot;,&quot;given&quot;:&quot;Samuela&quot;,&quot;parse-names&quot;:false,&quot;dropping-particle&quot;:&quot;&quot;,&quot;non-dropping-particle&quot;:&quot;&quot;},{&quot;family&quot;:&quot;Paciotti&quot;,&quot;given&quot;:&quot;Silvia&quot;,&quot;parse-names&quot;:false,&quot;dropping-particle&quot;:&quot;&quot;,&quot;non-dropping-particle&quot;:&quot;&quot;},{&quot;family&quot;:&quot;Paoletti&quot;,&quot;given&quot;:&quot;Federico Paolini&quot;,&quot;parse-names&quot;:false,&quot;dropping-particle&quot;:&quot;&quot;,&quot;non-dropping-particle&quot;:&quot;&quot;},{&quot;family&quot;:&quot;Chiasserini&quot;,&quot;given&quot;:&quot;Davide&quot;,&quot;parse-names&quot;:false,&quot;dropping-particle&quot;:&quot;&quot;,&quot;non-dropping-particle&quot;:&quot;&quot;},{&quot;family&quot;:&quot;Parnetti&quot;,&quot;given&quot;:&quot;Lucilla&quot;,&quot;parse-names&quot;:false,&quot;dropping-particle&quot;:&quot;&quot;,&quot;non-dropping-particle&quot;:&quot;&quot;}],&quot;accessed&quot;:{&quot;date-parts&quot;:[[2022,2,5]]},&quot;DOI&quot;:&quot;10.1186/s13195-020-00689-0&quot;,&quot;URL&quot;:&quot;https://doi.org/10.1186/s13195-020-00689-0&quot;,&quot;abstract&quot;:&quot;Background: Cerebrospinal fluid (CSF) amyloid-beta (Aβ) 42/40 ratio, threonine-181-phosphorylated-tau (p-tau), and total-tau (t-tau) represent core biomarkers of Alzheimer disease (AD). The recent availability of automated platforms has represented a significant achievement for reducing the pre-analytical variability of these determinations in clinical setting. With respect to classical manual ELISAs, these platforms give us also the possibility to measure any single sample and to get the result within approximately 30 min. So far, reference values have been calculated from measurements obtained in frozen samples. In this work, we wanted to check if the values obtained in fresh CSF samples differ from those obtained in frozen samples, since this issue is mandatory in routine diagnostic work. Methods: Fifty-eight consecutive CSF samples have been analyzed immediately after lumbar puncture and after 1-month deep freezing (− 80 °C). As an automated platform, we used Lumipulse G600-II (Fujirebio Inc.). Both the fresh and the frozen aliquots were analyzed in their storage tubes. Results: In fresh samples, a mean increase of Aβ40 (6%), Aβ42 (2%), p-tau (2%), and t-tau (4%) was observed as compared to frozen samples, whereas a slight decrease was observed for Aβ42/Aβ40 ratio (4%), due to the higher deviation of Aβ40 in fresh samples compared to Aβ42. These differences are significant for Aβ40, Aβ42/Aβ40 ratio, p-tau, and t-tau. Nevertheless, the Aβ42/Aβ40 ratio showed a lower variability (smaller standard deviation of relative differences) with respect to Aβ42. With respect to the AD profile according to the A/T/(N) criteria for AD diagnosis, no significant changes in classification were observed when comparing results obtained in fresh vs frozen samples. Conclusions: Small but significant differences have been found for Aβ40, Aβ42/Aβ40 ratio, p-tau, and t-tau in fresh vs frozen samples. Importantly, these differences did not imply a modification in the A/T/(N) classification system. In order to know if different cutoffs for fresh and frozen samples are required, larger, multi-center investigations are needed.&quot;},&quot;isTemporary&quot;:false}],&quot;citationTag&quot;:&quot;MENDELEY_CITATION_v3_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&quot;},{&quot;citationID&quot;:&quot;MENDELEY_CITATION_2f33396d-a1e0-4a20-86f5-eec1d936f1b4&quot;,&quot;properties&quot;:{&quot;noteIndex&quot;:0},&quot;isEdited&quot;:false,&quot;manualOverride&quot;:{&quot;isManuallyOverridden&quot;:false,&quot;citeprocText&quot;:&quot;[16,21]&quot;,&quot;manualOverrideText&quot;:&quot;&quot;},&quot;citationItems&quot;:[{&quot;id&quot;:&quot;8e0bdd56-efb8-3f54-aa3e-25a3167b9a07&quot;,&quot;itemData&quot;:{&quot;type&quot;:&quot;article-journal&quot;,&quot;id&quot;:&quot;8e0bdd56-efb8-3f54-aa3e-25a3167b9a07&quot;,&quot;title&quot;:&quot;Pre-analytical protocol for measuring Alzheimer's disease biomarkers in fresh CSF&quot;,&quot;author&quot;:[{&quot;family&quot;:&quot;Hansson&quot;,&quot;given&quot;:&quot;Oskar&quot;,&quot;parse-names&quot;:false,&quot;dropping-particle&quot;:&quot;&quot;,&quot;non-dropping-particle&quot;:&quot;&quot;},{&quot;family&quot;:&quot;Rutz&quot;,&quot;given&quot;:&quot;Sandra&quot;,&quot;parse-names&quot;:false,&quot;dropping-particle&quot;:&quot;&quot;,&quot;non-dropping-particle&quot;:&quot;&quot;},{&quot;family&quot;:&quot;Zetterberg&quot;,&quot;given&quot;:&quot;Henrik&quot;,&quot;parse-names&quot;:false,&quot;dropping-particle&quot;:&quot;&quot;,&quot;non-dropping-particle&quot;:&quot;&quot;},{&quot;family&quot;:&quot;Bauer&quot;,&quot;given&quot;:&quot;Ekaterina&quot;,&quot;parse-names&quot;:false,&quot;dropping-particle&quot;:&quot;&quot;,&quot;non-dropping-particle&quot;:&quot;&quot;},{&quot;family&quot;:&quot;Hähl&quot;,&quot;given&quot;:&quot;Teresa&quot;,&quot;parse-names&quot;:false,&quot;dropping-particle&quot;:&quot;&quot;,&quot;non-dropping-particle&quot;:&quot;&quot;},{&quot;family&quot;:&quot;Manuilova&quot;,&quot;given&quot;:&quot;Ekaterina&quot;,&quot;parse-names&quot;:false,&quot;dropping-particle&quot;:&quot;&quot;,&quot;non-dropping-particle&quot;:&quot;&quot;},{&quot;family&quot;:&quot;Mert&quot;,&quot;given&quot;:&quot;Mehmet Can&quot;,&quot;parse-names&quot;:false,&quot;dropping-particle&quot;:&quot;&quot;,&quot;non-dropping-particle&quot;:&quot;&quot;},{&quot;family&quot;:&quot;Wahl&quot;,&quot;given&quot;:&quot;Simone&quot;,&quot;parse-names&quot;:false,&quot;dropping-particle&quot;:&quot;&quot;,&quot;non-dropping-particle&quot;:&quot;&quot;},{&quot;family&quot;:&quot;Blennow&quot;,&quot;given&quot;:&quot;Kaj&quot;,&quot;parse-names&quot;:false,&quot;dropping-particle&quot;:&quot;&quot;,&quot;non-dropping-particle&quot;:&quot;&quot;},{&quot;family&quot;:&quot;Stomrud&quot;,&quot;given&quot;:&quot;Erik&quot;,&quot;parse-names&quot;:false,&quot;dropping-particle&quot;:&quot;&quot;,&quot;non-dropping-particle&quot;:&quot;&quot;}],&quot;container-title&quot;:&quot;Alzheimer's and Dementia: Diagnosis, Assessment and Disease Monitoring&quot;,&quot;accessed&quot;:{&quot;date-parts&quot;:[[2022,2,5]]},&quot;DOI&quot;:&quot;10.1002/DAD2.12137&quot;,&quot;ISSN&quot;:&quot;23528729&quot;,&quot;issued&quot;:{&quot;date-parts&quot;:[[2020]]},&quot;abstract&quot;:&quot;Introduction: We aimed to establish a standardized, routine-use pre-analytical protocol for measuring Alzheimer's disease (AD) biomarkers in cerebrospinal fluid (CSF). Methods: The effect of pre-analytical factors (sample collection/handling/storage/transportation) on biomarker levels was assessed using freshly collected CSF. Tube type/sterilization was assessed using previously frozen samples. A low-bind false-bottom tube (FBT, Sarstedt) was used for all experiments, except tube types/sterilization experiments. Biomarkers were measured using Elecsys CSF assays. Results: Amyloid beta (Aβ)1-42 levels varied by tube type, using a low-bind FBT reduced variation. Aβ1-42 levels were higher with no mixing versus roller/inversion mixing. Aβ1-42 levels were lower with horizontal versus upright transportation; this was resolved by maximal tube filling and storage at 2°C to 8°C. Aβ1-40 levels were less strongly affected. Phospho-tau and total-tau levels were largely unaffected. Discussion: We propose an easy-to-use, standardized, routine-use pre-analytical protocol, using low-bind FBTs, for measuring AD CSF biomarkers in clinical practice.&quot;,&quot;publisher&quot;:&quot;John Wiley and Sons Inc&quot;,&quot;issue&quot;:&quot;1&quot;,&quot;volume&quot;:&quot;12&quot;,&quot;expandedJournalTitle&quot;:&quot;Alzheimer's and Dementia: Diagnosis, Assessment and Disease Monitoring&quot;},&quot;isTemporary&quot;:false},{&quot;id&quot;:&quot;b4005aa2-0536-36d7-9d4c-e48a1ae7fe28&quot;,&quot;itemData&quot;:{&quot;type&quot;:&quot;article-journal&quot;,&quot;id&quot;:&quot;b4005aa2-0536-36d7-9d4c-e48a1ae7fe28&quot;,&quot;title&quot;:&quot;Measurement of CSF core Alzheimer disease biomarkers for routine clinical diagnosis: do fresh vs frozen samples differ?&quot;,&quot;author&quot;:[{&quot;family&quot;:&quot;Bellomo&quot;,&quot;given&quot;:&quot;Giovanni&quot;,&quot;parse-names&quot;:false,&quot;dropping-particle&quot;:&quot;&quot;,&quot;non-dropping-particle&quot;:&quot;&quot;},{&quot;family&quot;:&quot;Cataldi&quot;,&quot;given&quot;:&quot;Samuela&quot;,&quot;parse-names&quot;:false,&quot;dropping-particle&quot;:&quot;&quot;,&quot;non-dropping-particle&quot;:&quot;&quot;},{&quot;family&quot;:&quot;Paciotti&quot;,&quot;given&quot;:&quot;Silvia&quot;,&quot;parse-names&quot;:false,&quot;dropping-particle&quot;:&quot;&quot;,&quot;non-dropping-particle&quot;:&quot;&quot;},{&quot;family&quot;:&quot;Paoletti&quot;,&quot;given&quot;:&quot;Federico Paolini&quot;,&quot;parse-names&quot;:false,&quot;dropping-particle&quot;:&quot;&quot;,&quot;non-dropping-particle&quot;:&quot;&quot;},{&quot;family&quot;:&quot;Chiasserini&quot;,&quot;given&quot;:&quot;Davide&quot;,&quot;parse-names&quot;:false,&quot;dropping-particle&quot;:&quot;&quot;,&quot;non-dropping-particle&quot;:&quot;&quot;},{&quot;family&quot;:&quot;Parnetti&quot;,&quot;given&quot;:&quot;Lucilla&quot;,&quot;parse-names&quot;:false,&quot;dropping-particle&quot;:&quot;&quot;,&quot;non-dropping-particle&quot;:&quot;&quot;}],&quot;accessed&quot;:{&quot;date-parts&quot;:[[2022,2,5]]},&quot;DOI&quot;:&quot;10.1186/s13195-020-00689-0&quot;,&quot;URL&quot;:&quot;https://doi.org/10.1186/s13195-020-00689-0&quot;,&quot;abstract&quot;:&quot;Background: Cerebrospinal fluid (CSF) amyloid-beta (Aβ) 42/40 ratio, threonine-181-phosphorylated-tau (p-tau), and total-tau (t-tau) represent core biomarkers of Alzheimer disease (AD). The recent availability of automated platforms has represented a significant achievement for reducing the pre-analytical variability of these determinations in clinical setting. With respect to classical manual ELISAs, these platforms give us also the possibility to measure any single sample and to get the result within approximately 30 min. So far, reference values have been calculated from measurements obtained in frozen samples. In this work, we wanted to check if the values obtained in fresh CSF samples differ from those obtained in frozen samples, since this issue is mandatory in routine diagnostic work. Methods: Fifty-eight consecutive CSF samples have been analyzed immediately after lumbar puncture and after 1-month deep freezing (− 80 °C). As an automated platform, we used Lumipulse G600-II (Fujirebio Inc.). Both the fresh and the frozen aliquots were analyzed in their storage tubes. Results: In fresh samples, a mean increase of Aβ40 (6%), Aβ42 (2%), p-tau (2%), and t-tau (4%) was observed as compared to frozen samples, whereas a slight decrease was observed for Aβ42/Aβ40 ratio (4%), due to the higher deviation of Aβ40 in fresh samples compared to Aβ42. These differences are significant for Aβ40, Aβ42/Aβ40 ratio, p-tau, and t-tau. Nevertheless, the Aβ42/Aβ40 ratio showed a lower variability (smaller standard deviation of relative differences) with respect to Aβ42. With respect to the AD profile according to the A/T/(N) criteria for AD diagnosis, no significant changes in classification were observed when comparing results obtained in fresh vs frozen samples. Conclusions: Small but significant differences have been found for Aβ40, Aβ42/Aβ40 ratio, p-tau, and t-tau in fresh vs frozen samples. Importantly, these differences did not imply a modification in the A/T/(N) classification system. In order to know if different cutoffs for fresh and frozen samples are required, larger, multi-center investigations are needed.&quot;},&quot;isTemporary&quot;:false}],&quot;citationTag&quot;:&quot;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&quot;},{&quot;citationID&quot;:&quot;MENDELEY_CITATION_565f780e-3fe2-474c-9299-0516112939c2&quot;,&quot;properties&quot;:{&quot;noteIndex&quot;:0},&quot;isEdited&quot;:false,&quot;manualOverride&quot;:{&quot;isManuallyOverridden&quot;:false,&quot;citeprocText&quot;:&quot;[25]&quot;,&quot;manualOverrideText&quot;:&quot;&quot;},&quot;citationItems&quot;:[{&quot;id&quot;:&quot;598c683f-a48c-3e67-bf30-6fe35ff977ca&quot;,&quot;itemData&quot;:{&quot;type&quot;:&quot;article-journal&quot;,&quot;id&quot;:&quot;598c683f-a48c-3e67-bf30-6fe35ff977ca&quot;,&quot;title&quot;:&quot;Long-term stability of Alzheimer's disease biomarker proteins in cerebrospinal fluid&quot;,&quot;author&quot;:[{&quot;family&quot;:&quot;Schipke&quot;,&quot;given&quot;:&quot;Carola G.&quot;,&quot;parse-names&quot;:false,&quot;dropping-particle&quot;:&quot;&quot;,&quot;non-dropping-particle&quot;:&quot;&quot;},{&quot;family&quot;:&quot;Jessen&quot;,&quot;given&quot;:&quot;Frank&quot;,&quot;parse-names&quot;:false,&quot;dropping-particle&quot;:&quot;&quot;,&quot;non-dropping-particle&quot;:&quot;&quot;},{&quot;family&quot;:&quot;Teipel&quot;,&quot;given&quot;:&quot;Stefan&quot;,&quot;parse-names&quot;:false,&quot;dropping-particle&quot;:&quot;&quot;,&quot;non-dropping-particle&quot;:&quot;&quot;},{&quot;family&quot;:&quot;Luckhaus&quot;,&quot;given&quot;:&quot;Christian&quot;,&quot;parse-names&quot;:false,&quot;dropping-particle&quot;:&quot;&quot;,&quot;non-dropping-particle&quot;:&quot;&quot;},{&quot;family&quot;:&quot;Wiltfang&quot;,&quot;given&quot;:&quot;Jens&quot;,&quot;parse-names&quot;:false,&quot;dropping-particle&quot;:&quot;&quot;,&quot;non-dropping-particle&quot;:&quot;&quot;},{&quot;family&quot;:&quot;Esselmann&quot;,&quot;given&quot;:&quot;Hermann&quot;,&quot;parse-names&quot;:false,&quot;dropping-particle&quot;:&quot;&quot;,&quot;non-dropping-particle&quot;:&quot;&quot;},{&quot;family&quot;:&quot;Frölich&quot;,&quot;given&quot;:&quot;Lutz&quot;,&quot;parse-names&quot;:false,&quot;dropping-particle&quot;:&quot;&quot;,&quot;non-dropping-particle&quot;:&quot;&quot;},{&quot;family&quot;:&quot;Maier&quot;,&quot;given&quot;:&quot;Wolfgang&quot;,&quot;parse-names&quot;:false,&quot;dropping-particle&quot;:&quot;&quot;,&quot;non-dropping-particle&quot;:&quot;&quot;},{&quot;family&quot;:&quot;Rüther&quot;,&quot;given&quot;:&quot;Eckart&quot;,&quot;parse-names&quot;:false,&quot;dropping-particle&quot;:&quot;&quot;,&quot;non-dropping-particle&quot;:&quot;&quot;},{&quot;family&quot;:&quot;Heppner&quot;,&quot;given&quot;:&quot;Frank L.&quot;,&quot;parse-names&quot;:false,&quot;dropping-particle&quot;:&quot;&quot;,&quot;non-dropping-particle&quot;:&quot;&quot;},{&quot;family&quot;:&quot;Prokop&quot;,&quot;given&quot;:&quot;Stefan&quot;,&quot;parse-names&quot;:false,&quot;dropping-particle&quot;:&quot;&quot;,&quot;non-dropping-particle&quot;:&quot;&quot;},{&quot;family&quot;:&quot;Heuser&quot;,&quot;given&quot;:&quot;Isabella&quot;,&quot;parse-names&quot;:false,&quot;dropping-particle&quot;:&quot;&quot;,&quot;non-dropping-particle&quot;:&quot;&quot;},{&quot;family&quot;:&quot;Peters&quot;,&quot;given&quot;:&quot;Oliver&quot;,&quot;parse-names&quot;:false,&quot;dropping-particle&quot;:&quot;&quot;,&quot;non-dropping-particle&quot;:&quot;&quot;}],&quot;container-title&quot;:&quot;Journal of Alzheimer's Disease&quot;,&quot;DOI&quot;:&quot;10.3233/JAD-2011-110329&quot;,&quot;ISSN&quot;:&quot;18758908&quot;,&quot;issued&quot;:{&quot;date-parts&quot;:[[2011]]},&quot;page&quot;:&quot;255-262&quot;,&quot;abstract&quot;:&quot;The quantitative analysis of peptides in human cerebrospinal fluid (CSF) has become an important step in the early diagnosis of dementia, e.g., Alzheimer's disease. In search of new biomarkers for early detection and differential diagnosis of chronic neurodegenerative diseases, \&quot;biobanking\&quot; and long-term storage of human samples is increasingly important. The German Dementia Competence Network (DCN) has accomplished one of the largest biomaterial banks in this field, comprising CSF from several hundreds of patients. Since little is known about long-term stability of biomarker proteins in frozen CSF, we investigated the reliability of quantitative analysis in a total of 56 CSF samples that had been frozen for up to six years. Here, we compare a second quantitative analysis of Aβ40, Aβ42, and the total-tau protein after several years of storage at-80°C with initial results obtained within six months after lumbar puncture. The second analysis was done using standard ELISAs or the newly developed Mesocale System. We found that regarding Aβ42 and total-tau, the results highly correlate with correlation coefficients of c = 0.73 and c = 0.82 respectively, while for Aβ40 the correlation coefficient was lower (c = 0.53), suggesting that Aβ40 is more vulnerable to degradation. We conclude that the quantitative analysis of the concentration of Aβ42, as well as for total-tau, in CSF in samples that have been stored for years is reliable. The determination of these biomarkers and potentially new biomarkers in CSF samples stored in large biomaterial banks assembled over many years is feasible. © 2011-IOS Press and the authors. All rights reserved.&quot;,&quot;publisher&quot;:&quot;IOS Press&quot;,&quot;issue&quot;:&quot;2&quot;,&quot;volume&quot;:&quot;26&quot;,&quot;expandedJournalTitle&quot;:&quot;Journal of Alzheimer's Disease&quot;},&quot;isTemporary&quot;:false}],&quot;citationTag&quot;:&quot;MENDELEY_CITATION_v3_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&quot;}]"/>
    <we:property name="MENDELEY_CITATIONS_STYLE" value="&quot;https://www.zotero.org/styles/elsevier-vancouve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2388C-643A-4132-BE42-301F5E9FD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TotalTime>
  <Pages>15</Pages>
  <Words>3658</Words>
  <Characters>20851</Characters>
  <Application>Microsoft Office Word</Application>
  <DocSecurity>0</DocSecurity>
  <Lines>173</Lines>
  <Paragraphs>48</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Mireia Tondo Colomer</dc:creator>
  <cp:keywords/>
  <dc:description/>
  <cp:lastModifiedBy>Mireia Tondo Colomer</cp:lastModifiedBy>
  <cp:revision>25</cp:revision>
  <dcterms:created xsi:type="dcterms:W3CDTF">2022-12-14T14:55:00Z</dcterms:created>
  <dcterms:modified xsi:type="dcterms:W3CDTF">2022-12-16T13:14:00Z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ef254410-74aa-358a-ab5c-4ce596152555</vt:lpwstr>
  </property>
  <property fmtid="{D5CDD505-2E9C-101B-9397-08002B2CF9AE}" pid="4" name="Mendeley Citation Style_1">
    <vt:lpwstr>http://www.zotero.org/styles/nature</vt:lpwstr>
  </property>
  <property fmtid="{D5CDD505-2E9C-101B-9397-08002B2CF9AE}" pid="5" name="Mendeley Recent Style Id 0_1">
    <vt:lpwstr>http://www.zotero.org/styles/acta-neuropathologica</vt:lpwstr>
  </property>
  <property fmtid="{D5CDD505-2E9C-101B-9397-08002B2CF9AE}" pid="6" name="Mendeley Recent Style Name 0_1">
    <vt:lpwstr>Acta Neuropathologica</vt:lpwstr>
  </property>
  <property fmtid="{D5CDD505-2E9C-101B-9397-08002B2CF9AE}" pid="7" name="Mendeley Recent Style Id 1_1">
    <vt:lpwstr>http://www.zotero.org/styles/alzheimers-and-dementia-the-journal-of-the-alzheimers-association</vt:lpwstr>
  </property>
  <property fmtid="{D5CDD505-2E9C-101B-9397-08002B2CF9AE}" pid="8" name="Mendeley Recent Style Name 1_1">
    <vt:lpwstr>Alzheimer's &amp; Dementia: The Journal of the Alzheimer's Association</vt:lpwstr>
  </property>
  <property fmtid="{D5CDD505-2E9C-101B-9397-08002B2CF9AE}" pid="9" name="Mendeley Recent Style Id 2_1">
    <vt:lpwstr>http://www.zotero.org/styles/alzheimers-research-and-therapy</vt:lpwstr>
  </property>
  <property fmtid="{D5CDD505-2E9C-101B-9397-08002B2CF9AE}" pid="10" name="Mendeley Recent Style Name 2_1">
    <vt:lpwstr>Alzheimer's Research &amp; Therapy</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6th edition</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http://www.zotero.org/styles/clinica-chimica-acta</vt:lpwstr>
  </property>
  <property fmtid="{D5CDD505-2E9C-101B-9397-08002B2CF9AE}" pid="16" name="Mendeley Recent Style Name 5_1">
    <vt:lpwstr>Clinica Chimica Acta</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http://csl.mendeley.com/styles/20448741/minimal-grant-proposals</vt:lpwstr>
  </property>
  <property fmtid="{D5CDD505-2E9C-101B-9397-08002B2CF9AE}" pid="20" name="Mendeley Recent Style Name 7_1">
    <vt:lpwstr>Minimal style for grant proposals</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http://www.zotero.org/styles/the-lancet-neurology</vt:lpwstr>
  </property>
  <property fmtid="{D5CDD505-2E9C-101B-9397-08002B2CF9AE}" pid="24" name="Mendeley Recent Style Name 9_1">
    <vt:lpwstr>The Lancet Neurology</vt:lpwstr>
  </property>
</Properties>
</file>