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920B4" w14:textId="4C0F783D" w:rsidR="00E23A92" w:rsidRPr="0001617C" w:rsidRDefault="00D97B0D">
      <w:pPr>
        <w:spacing w:before="120" w:after="120" w:line="240" w:lineRule="auto"/>
        <w:jc w:val="both"/>
        <w:rPr>
          <w:rFonts w:cs="Times New Roman"/>
          <w:b/>
          <w:caps/>
          <w:sz w:val="24"/>
          <w:szCs w:val="24"/>
          <w:lang w:val="en-GB"/>
        </w:rPr>
      </w:pPr>
      <w:bookmarkStart w:id="0" w:name="_Hlk127555587"/>
      <w:bookmarkStart w:id="1" w:name="_Hlk138280235"/>
      <w:bookmarkStart w:id="2" w:name="_Hlk148198349"/>
      <w:r>
        <w:rPr>
          <w:rFonts w:cs="Times New Roman"/>
          <w:b/>
          <w:caps/>
          <w:sz w:val="24"/>
          <w:szCs w:val="24"/>
          <w:lang w:val="en-GB"/>
        </w:rPr>
        <w:t xml:space="preserve">legal LIABILITY FOR </w:t>
      </w:r>
      <w:r w:rsidR="00BB539D" w:rsidRPr="0001617C">
        <w:rPr>
          <w:rFonts w:cs="Times New Roman"/>
          <w:b/>
          <w:caps/>
          <w:sz w:val="24"/>
          <w:szCs w:val="24"/>
          <w:lang w:val="en-GB"/>
        </w:rPr>
        <w:t xml:space="preserve">maritime </w:t>
      </w:r>
      <w:r w:rsidR="00D82B15" w:rsidRPr="0001617C">
        <w:rPr>
          <w:rFonts w:cs="Times New Roman"/>
          <w:b/>
          <w:caps/>
          <w:sz w:val="24"/>
          <w:szCs w:val="24"/>
          <w:lang w:val="en-GB"/>
        </w:rPr>
        <w:t xml:space="preserve">oil </w:t>
      </w:r>
      <w:r w:rsidR="00BB539D" w:rsidRPr="0001617C">
        <w:rPr>
          <w:rFonts w:cs="Times New Roman"/>
          <w:b/>
          <w:caps/>
          <w:sz w:val="24"/>
          <w:szCs w:val="24"/>
          <w:lang w:val="en-GB"/>
        </w:rPr>
        <w:t>pollution</w:t>
      </w:r>
      <w:r w:rsidR="007713FC">
        <w:rPr>
          <w:rFonts w:cs="Times New Roman"/>
          <w:b/>
          <w:caps/>
          <w:sz w:val="24"/>
          <w:szCs w:val="24"/>
          <w:lang w:val="en-GB"/>
        </w:rPr>
        <w:t>:</w:t>
      </w:r>
      <w:r>
        <w:rPr>
          <w:rFonts w:cs="Times New Roman"/>
          <w:b/>
          <w:caps/>
          <w:sz w:val="24"/>
          <w:szCs w:val="24"/>
          <w:lang w:val="en-GB"/>
        </w:rPr>
        <w:t xml:space="preserve"> </w:t>
      </w:r>
      <w:r w:rsidR="00D82B15" w:rsidRPr="0001617C">
        <w:rPr>
          <w:rFonts w:cs="Times New Roman"/>
          <w:b/>
          <w:i/>
          <w:iCs/>
          <w:caps/>
          <w:sz w:val="24"/>
          <w:szCs w:val="24"/>
          <w:lang w:val="en-GB"/>
        </w:rPr>
        <w:t>the</w:t>
      </w:r>
      <w:r w:rsidR="00D82B15" w:rsidRPr="0001617C">
        <w:rPr>
          <w:rFonts w:cs="Times New Roman"/>
          <w:b/>
          <w:caps/>
          <w:sz w:val="24"/>
          <w:szCs w:val="24"/>
          <w:lang w:val="en-GB"/>
        </w:rPr>
        <w:t xml:space="preserve"> </w:t>
      </w:r>
      <w:r w:rsidR="00D82B15" w:rsidRPr="0001617C">
        <w:rPr>
          <w:rFonts w:cs="Times New Roman"/>
          <w:b/>
          <w:i/>
          <w:iCs/>
          <w:caps/>
          <w:sz w:val="24"/>
          <w:szCs w:val="24"/>
          <w:lang w:val="en-GB"/>
        </w:rPr>
        <w:t>Prestige</w:t>
      </w:r>
      <w:r w:rsidR="00D82B15" w:rsidRPr="0001617C">
        <w:rPr>
          <w:rFonts w:cs="Times New Roman"/>
          <w:b/>
          <w:caps/>
          <w:sz w:val="24"/>
          <w:szCs w:val="24"/>
          <w:lang w:val="en-GB"/>
        </w:rPr>
        <w:t xml:space="preserve"> case</w:t>
      </w:r>
    </w:p>
    <w:p w14:paraId="131220BA" w14:textId="77777777" w:rsidR="00C77AF2" w:rsidRPr="0001617C" w:rsidRDefault="00C77AF2" w:rsidP="00E17EC6">
      <w:pPr>
        <w:spacing w:before="120" w:after="120" w:line="240" w:lineRule="auto"/>
        <w:ind w:left="360"/>
        <w:jc w:val="both"/>
        <w:rPr>
          <w:rFonts w:cs="Times New Roman"/>
          <w:b/>
          <w:sz w:val="24"/>
          <w:szCs w:val="24"/>
          <w:lang w:val="en-GB"/>
        </w:rPr>
      </w:pPr>
    </w:p>
    <w:p w14:paraId="18B857F5" w14:textId="77777777" w:rsidR="00E23A92" w:rsidRPr="0001617C" w:rsidRDefault="00BB539D">
      <w:pPr>
        <w:spacing w:after="0" w:line="240" w:lineRule="auto"/>
        <w:jc w:val="right"/>
        <w:rPr>
          <w:rFonts w:cs="Times New Roman"/>
          <w:sz w:val="24"/>
          <w:szCs w:val="24"/>
          <w:lang w:val="en-GB"/>
        </w:rPr>
      </w:pPr>
      <w:r w:rsidRPr="0001617C">
        <w:rPr>
          <w:rFonts w:cs="Times New Roman"/>
          <w:sz w:val="24"/>
          <w:szCs w:val="24"/>
          <w:lang w:val="en-GB"/>
        </w:rPr>
        <w:t>Eliseo Sierra Noguero</w:t>
      </w:r>
    </w:p>
    <w:p w14:paraId="73131F2D" w14:textId="57732B8D" w:rsidR="00E23A92" w:rsidRPr="0001617C" w:rsidRDefault="00BB539D">
      <w:pPr>
        <w:spacing w:after="0" w:line="240" w:lineRule="auto"/>
        <w:jc w:val="right"/>
        <w:rPr>
          <w:rFonts w:cs="Times New Roman"/>
          <w:sz w:val="24"/>
          <w:szCs w:val="24"/>
          <w:lang w:val="en-GB"/>
        </w:rPr>
      </w:pPr>
      <w:r w:rsidRPr="0001617C">
        <w:rPr>
          <w:rFonts w:cs="Times New Roman"/>
          <w:sz w:val="24"/>
          <w:szCs w:val="24"/>
          <w:lang w:val="en-GB"/>
        </w:rPr>
        <w:t xml:space="preserve">Associate </w:t>
      </w:r>
      <w:r w:rsidR="000E402C" w:rsidRPr="0001617C">
        <w:rPr>
          <w:rFonts w:cs="Times New Roman"/>
          <w:sz w:val="24"/>
          <w:szCs w:val="24"/>
          <w:lang w:val="en-GB"/>
        </w:rPr>
        <w:t>Lecturer</w:t>
      </w:r>
      <w:r w:rsidRPr="0001617C">
        <w:rPr>
          <w:rFonts w:cs="Times New Roman"/>
          <w:sz w:val="24"/>
          <w:szCs w:val="24"/>
          <w:lang w:val="en-GB"/>
        </w:rPr>
        <w:t xml:space="preserve"> of Commercial Law</w:t>
      </w:r>
      <w:r w:rsidR="00951915" w:rsidRPr="0001617C">
        <w:rPr>
          <w:rFonts w:cs="Times New Roman"/>
          <w:sz w:val="24"/>
          <w:szCs w:val="24"/>
          <w:lang w:val="en-GB"/>
        </w:rPr>
        <w:t>, accredited as Full Professor</w:t>
      </w:r>
    </w:p>
    <w:p w14:paraId="3FA004FF" w14:textId="77777777" w:rsidR="00E23A92" w:rsidRDefault="00BB539D">
      <w:pPr>
        <w:spacing w:after="0" w:line="240" w:lineRule="auto"/>
        <w:jc w:val="right"/>
        <w:rPr>
          <w:rFonts w:cs="Times New Roman"/>
          <w:sz w:val="24"/>
          <w:szCs w:val="24"/>
          <w:lang w:val="en-GB"/>
        </w:rPr>
      </w:pPr>
      <w:r w:rsidRPr="0001617C">
        <w:rPr>
          <w:rFonts w:cs="Times New Roman"/>
          <w:sz w:val="24"/>
          <w:szCs w:val="24"/>
          <w:lang w:val="en-GB"/>
        </w:rPr>
        <w:t>Autonomous University of Barcelona</w:t>
      </w:r>
    </w:p>
    <w:p w14:paraId="047A481C" w14:textId="6BD73DCB" w:rsidR="00D97B0D" w:rsidRPr="0001617C" w:rsidRDefault="00D97B0D">
      <w:pPr>
        <w:spacing w:after="0" w:line="240" w:lineRule="auto"/>
        <w:jc w:val="right"/>
        <w:rPr>
          <w:rFonts w:cs="Times New Roman"/>
          <w:sz w:val="24"/>
          <w:szCs w:val="24"/>
          <w:lang w:val="en-GB"/>
        </w:rPr>
      </w:pPr>
      <w:r>
        <w:rPr>
          <w:rFonts w:cs="Times New Roman"/>
          <w:sz w:val="24"/>
          <w:szCs w:val="24"/>
          <w:lang w:val="en-GB"/>
        </w:rPr>
        <w:t xml:space="preserve">ORCID: </w:t>
      </w:r>
      <w:r w:rsidRPr="00D97B0D">
        <w:rPr>
          <w:rFonts w:cs="Times New Roman"/>
          <w:sz w:val="24"/>
          <w:szCs w:val="24"/>
          <w:lang w:val="en-GB"/>
        </w:rPr>
        <w:t>0000-0002-6023-690X</w:t>
      </w:r>
    </w:p>
    <w:p w14:paraId="608FFF70" w14:textId="77777777" w:rsidR="006B3493" w:rsidRPr="0001617C" w:rsidRDefault="006B3493" w:rsidP="00E17EC6">
      <w:pPr>
        <w:spacing w:before="120" w:after="120" w:line="240" w:lineRule="auto"/>
        <w:jc w:val="both"/>
        <w:rPr>
          <w:rFonts w:cs="Times New Roman"/>
          <w:b/>
          <w:bCs/>
          <w:sz w:val="24"/>
          <w:szCs w:val="24"/>
          <w:lang w:val="en-GB"/>
        </w:rPr>
      </w:pPr>
    </w:p>
    <w:p w14:paraId="2577C46D" w14:textId="326A63E7" w:rsidR="00E23A92" w:rsidRPr="0001617C" w:rsidRDefault="00D97B0D" w:rsidP="00D97B0D">
      <w:pPr>
        <w:spacing w:before="120" w:after="120" w:line="240" w:lineRule="auto"/>
        <w:jc w:val="both"/>
        <w:rPr>
          <w:rFonts w:cs="Times New Roman"/>
          <w:sz w:val="24"/>
          <w:szCs w:val="24"/>
          <w:lang w:val="en-GB"/>
        </w:rPr>
      </w:pPr>
      <w:r>
        <w:rPr>
          <w:rFonts w:cs="Times New Roman"/>
          <w:b/>
          <w:bCs/>
          <w:sz w:val="24"/>
          <w:szCs w:val="24"/>
          <w:lang w:val="en-GB"/>
        </w:rPr>
        <w:t xml:space="preserve">ABSTRACT: </w:t>
      </w:r>
      <w:r w:rsidR="00673801" w:rsidRPr="0001617C">
        <w:rPr>
          <w:rFonts w:cs="Times New Roman"/>
          <w:sz w:val="24"/>
          <w:szCs w:val="24"/>
          <w:lang w:val="en-GB"/>
        </w:rPr>
        <w:t xml:space="preserve">The article analyses </w:t>
      </w:r>
      <w:r w:rsidR="00725019" w:rsidRPr="0001617C">
        <w:rPr>
          <w:rFonts w:cs="Times New Roman"/>
          <w:i/>
          <w:iCs/>
          <w:sz w:val="24"/>
          <w:szCs w:val="24"/>
          <w:lang w:val="en-GB"/>
        </w:rPr>
        <w:t>T</w:t>
      </w:r>
      <w:r w:rsidR="00673801" w:rsidRPr="0001617C">
        <w:rPr>
          <w:rFonts w:cs="Times New Roman"/>
          <w:i/>
          <w:iCs/>
          <w:sz w:val="24"/>
          <w:szCs w:val="24"/>
          <w:lang w:val="en-GB"/>
        </w:rPr>
        <w:t>he</w:t>
      </w:r>
      <w:r w:rsidR="00673801" w:rsidRPr="0001617C">
        <w:rPr>
          <w:rFonts w:cs="Times New Roman"/>
          <w:sz w:val="24"/>
          <w:szCs w:val="24"/>
          <w:lang w:val="en-GB"/>
        </w:rPr>
        <w:t xml:space="preserve"> </w:t>
      </w:r>
      <w:r w:rsidR="00673801" w:rsidRPr="0001617C">
        <w:rPr>
          <w:rFonts w:cs="Times New Roman"/>
          <w:i/>
          <w:iCs/>
          <w:sz w:val="24"/>
          <w:szCs w:val="24"/>
          <w:lang w:val="en-GB"/>
        </w:rPr>
        <w:t>Prestige</w:t>
      </w:r>
      <w:r w:rsidR="00673801" w:rsidRPr="0001617C">
        <w:rPr>
          <w:rFonts w:cs="Times New Roman"/>
          <w:sz w:val="24"/>
          <w:szCs w:val="24"/>
          <w:lang w:val="en-GB"/>
        </w:rPr>
        <w:t xml:space="preserve"> case</w:t>
      </w:r>
      <w:r w:rsidR="00A25323" w:rsidRPr="0001617C">
        <w:rPr>
          <w:rFonts w:cs="Times New Roman"/>
          <w:sz w:val="24"/>
          <w:szCs w:val="24"/>
          <w:lang w:val="en-GB"/>
        </w:rPr>
        <w:t xml:space="preserve"> and</w:t>
      </w:r>
      <w:r w:rsidR="00673801" w:rsidRPr="0001617C">
        <w:rPr>
          <w:rFonts w:cs="Times New Roman"/>
          <w:sz w:val="24"/>
          <w:szCs w:val="24"/>
          <w:lang w:val="en-GB"/>
        </w:rPr>
        <w:t xml:space="preserve"> the latest </w:t>
      </w:r>
      <w:r w:rsidR="00A25323" w:rsidRPr="0001617C">
        <w:rPr>
          <w:rFonts w:cs="Times New Roman"/>
          <w:sz w:val="24"/>
          <w:szCs w:val="24"/>
          <w:lang w:val="en-GB"/>
        </w:rPr>
        <w:t>developments</w:t>
      </w:r>
      <w:r w:rsidR="00673801" w:rsidRPr="0001617C">
        <w:rPr>
          <w:rFonts w:cs="Times New Roman"/>
          <w:sz w:val="24"/>
          <w:szCs w:val="24"/>
          <w:lang w:val="en-GB"/>
        </w:rPr>
        <w:t xml:space="preserve"> between British interests in protecting the shipping and insurance industry, which relies on arbitration </w:t>
      </w:r>
      <w:r w:rsidR="0084463F" w:rsidRPr="0001617C">
        <w:rPr>
          <w:rFonts w:cs="Times New Roman"/>
          <w:sz w:val="24"/>
          <w:szCs w:val="24"/>
          <w:lang w:val="en-GB"/>
        </w:rPr>
        <w:t xml:space="preserve">of the London courts </w:t>
      </w:r>
      <w:r w:rsidR="00673801" w:rsidRPr="0001617C">
        <w:rPr>
          <w:rFonts w:cs="Times New Roman"/>
          <w:sz w:val="24"/>
          <w:szCs w:val="24"/>
          <w:lang w:val="en-GB"/>
        </w:rPr>
        <w:t>in its contracts, and the interests of those affected in being able to make a legal claim in the place where the damage occurred. In particular,</w:t>
      </w:r>
      <w:r w:rsidR="002A0FB0" w:rsidRPr="0001617C">
        <w:rPr>
          <w:rFonts w:cs="Times New Roman"/>
          <w:sz w:val="24"/>
          <w:szCs w:val="24"/>
          <w:lang w:val="en-GB"/>
        </w:rPr>
        <w:t xml:space="preserve"> it looks at</w:t>
      </w:r>
      <w:r w:rsidR="00673801" w:rsidRPr="0001617C">
        <w:rPr>
          <w:rFonts w:cs="Times New Roman"/>
          <w:sz w:val="24"/>
          <w:szCs w:val="24"/>
          <w:lang w:val="en-GB"/>
        </w:rPr>
        <w:t xml:space="preserve"> the judgment of 6 October </w:t>
      </w:r>
      <w:r w:rsidR="00F64697" w:rsidRPr="0001617C">
        <w:rPr>
          <w:rFonts w:cs="Times New Roman"/>
          <w:sz w:val="24"/>
          <w:szCs w:val="24"/>
          <w:lang w:val="en-GB"/>
        </w:rPr>
        <w:t>2023 of the High Court</w:t>
      </w:r>
      <w:r w:rsidR="005D4C3B" w:rsidRPr="0001617C">
        <w:rPr>
          <w:rFonts w:cs="Times New Roman"/>
          <w:sz w:val="24"/>
          <w:szCs w:val="24"/>
          <w:lang w:val="en-GB"/>
        </w:rPr>
        <w:t xml:space="preserve"> of Justice </w:t>
      </w:r>
      <w:r w:rsidR="00B81A5A" w:rsidRPr="0001617C">
        <w:rPr>
          <w:rFonts w:cs="Times New Roman"/>
          <w:sz w:val="24"/>
          <w:szCs w:val="24"/>
          <w:lang w:val="en-GB"/>
        </w:rPr>
        <w:t>of</w:t>
      </w:r>
      <w:r w:rsidR="005D4C3B" w:rsidRPr="0001617C">
        <w:rPr>
          <w:rFonts w:cs="Times New Roman"/>
          <w:sz w:val="24"/>
          <w:szCs w:val="24"/>
          <w:lang w:val="en-GB"/>
        </w:rPr>
        <w:t xml:space="preserve"> England</w:t>
      </w:r>
      <w:r w:rsidR="00B81A5A" w:rsidRPr="0001617C">
        <w:rPr>
          <w:rFonts w:cs="Times New Roman"/>
          <w:sz w:val="24"/>
          <w:szCs w:val="24"/>
          <w:lang w:val="en-GB"/>
        </w:rPr>
        <w:t xml:space="preserve"> and Wales</w:t>
      </w:r>
      <w:r w:rsidR="00673801" w:rsidRPr="0001617C">
        <w:rPr>
          <w:rFonts w:cs="Times New Roman"/>
          <w:sz w:val="24"/>
          <w:szCs w:val="24"/>
          <w:lang w:val="en-GB"/>
        </w:rPr>
        <w:t xml:space="preserve">, which </w:t>
      </w:r>
      <w:r w:rsidR="009F2050" w:rsidRPr="0001617C">
        <w:rPr>
          <w:rFonts w:cs="Times New Roman"/>
          <w:sz w:val="24"/>
          <w:szCs w:val="24"/>
          <w:lang w:val="en-GB"/>
        </w:rPr>
        <w:t>restrains</w:t>
      </w:r>
      <w:r w:rsidR="00F64697" w:rsidRPr="0001617C">
        <w:rPr>
          <w:rFonts w:cs="Times New Roman"/>
          <w:sz w:val="24"/>
          <w:szCs w:val="24"/>
          <w:lang w:val="en-GB"/>
        </w:rPr>
        <w:t xml:space="preserve"> enforcement in the United Kingdom</w:t>
      </w:r>
      <w:r w:rsidR="006A2BA9" w:rsidRPr="0001617C">
        <w:rPr>
          <w:rFonts w:cs="Times New Roman"/>
          <w:sz w:val="24"/>
          <w:szCs w:val="24"/>
          <w:lang w:val="en-GB"/>
        </w:rPr>
        <w:t xml:space="preserve"> (</w:t>
      </w:r>
      <w:r w:rsidR="00673801" w:rsidRPr="0001617C">
        <w:rPr>
          <w:rFonts w:cs="Times New Roman"/>
          <w:sz w:val="24"/>
          <w:szCs w:val="24"/>
          <w:lang w:val="en-GB"/>
        </w:rPr>
        <w:t xml:space="preserve">the domicile of the P&amp;I </w:t>
      </w:r>
      <w:r w:rsidR="0093703A" w:rsidRPr="0001617C">
        <w:rPr>
          <w:rFonts w:cs="Times New Roman"/>
          <w:sz w:val="24"/>
          <w:szCs w:val="24"/>
          <w:lang w:val="en-GB"/>
        </w:rPr>
        <w:t>C</w:t>
      </w:r>
      <w:r w:rsidR="00673801" w:rsidRPr="0001617C">
        <w:rPr>
          <w:rFonts w:cs="Times New Roman"/>
          <w:sz w:val="24"/>
          <w:szCs w:val="24"/>
          <w:lang w:val="en-GB"/>
        </w:rPr>
        <w:t xml:space="preserve">lub of </w:t>
      </w:r>
      <w:r w:rsidR="00A23F11" w:rsidRPr="0001617C">
        <w:rPr>
          <w:rFonts w:cs="Times New Roman"/>
          <w:i/>
          <w:iCs/>
          <w:sz w:val="24"/>
          <w:szCs w:val="24"/>
          <w:lang w:val="en-GB"/>
        </w:rPr>
        <w:t>T</w:t>
      </w:r>
      <w:r w:rsidR="00673801" w:rsidRPr="0001617C">
        <w:rPr>
          <w:rFonts w:cs="Times New Roman"/>
          <w:i/>
          <w:iCs/>
          <w:sz w:val="24"/>
          <w:szCs w:val="24"/>
          <w:lang w:val="en-GB"/>
        </w:rPr>
        <w:t>he</w:t>
      </w:r>
      <w:r w:rsidR="00673801" w:rsidRPr="0001617C">
        <w:rPr>
          <w:rFonts w:cs="Times New Roman"/>
          <w:sz w:val="24"/>
          <w:szCs w:val="24"/>
          <w:lang w:val="en-GB"/>
        </w:rPr>
        <w:t xml:space="preserve"> </w:t>
      </w:r>
      <w:r w:rsidR="00673801" w:rsidRPr="0001617C">
        <w:rPr>
          <w:rFonts w:cs="Times New Roman"/>
          <w:i/>
          <w:iCs/>
          <w:sz w:val="24"/>
          <w:szCs w:val="24"/>
          <w:lang w:val="en-GB"/>
        </w:rPr>
        <w:t>Prestige</w:t>
      </w:r>
      <w:r w:rsidR="006A2BA9" w:rsidRPr="0001617C">
        <w:rPr>
          <w:rFonts w:cs="Times New Roman"/>
          <w:sz w:val="24"/>
          <w:szCs w:val="24"/>
          <w:lang w:val="en-GB"/>
        </w:rPr>
        <w:t>)</w:t>
      </w:r>
      <w:r w:rsidR="00673801" w:rsidRPr="0001617C">
        <w:rPr>
          <w:rFonts w:cs="Times New Roman"/>
          <w:sz w:val="24"/>
          <w:szCs w:val="24"/>
          <w:lang w:val="en-GB"/>
        </w:rPr>
        <w:t xml:space="preserve"> of </w:t>
      </w:r>
      <w:r w:rsidR="00F64697" w:rsidRPr="0001617C">
        <w:rPr>
          <w:rFonts w:cs="Times New Roman"/>
          <w:sz w:val="24"/>
          <w:szCs w:val="24"/>
          <w:lang w:val="en-GB"/>
        </w:rPr>
        <w:t xml:space="preserve">the </w:t>
      </w:r>
      <w:r w:rsidR="00673801" w:rsidRPr="0001617C">
        <w:rPr>
          <w:rFonts w:cs="Times New Roman"/>
          <w:sz w:val="24"/>
          <w:szCs w:val="24"/>
          <w:lang w:val="en-GB"/>
        </w:rPr>
        <w:t xml:space="preserve">order of the Provincial Court of A Coruña </w:t>
      </w:r>
      <w:r w:rsidR="00A56385" w:rsidRPr="0001617C">
        <w:rPr>
          <w:rFonts w:cs="Times New Roman"/>
          <w:sz w:val="24"/>
          <w:szCs w:val="24"/>
          <w:lang w:val="en-GB"/>
        </w:rPr>
        <w:t>of 1 March 2019</w:t>
      </w:r>
      <w:r w:rsidR="004C1945" w:rsidRPr="0001617C">
        <w:rPr>
          <w:rFonts w:cs="Times New Roman"/>
          <w:sz w:val="24"/>
          <w:szCs w:val="24"/>
          <w:lang w:val="en-GB"/>
        </w:rPr>
        <w:t xml:space="preserve"> which sentenced </w:t>
      </w:r>
      <w:r w:rsidR="00F64697" w:rsidRPr="0001617C">
        <w:rPr>
          <w:rFonts w:cs="Times New Roman"/>
          <w:sz w:val="24"/>
          <w:szCs w:val="24"/>
          <w:lang w:val="en-GB"/>
        </w:rPr>
        <w:t xml:space="preserve">the insurer to pay </w:t>
      </w:r>
      <w:r w:rsidR="00170A3E" w:rsidRPr="0001617C">
        <w:rPr>
          <w:rFonts w:cs="Times New Roman"/>
          <w:sz w:val="24"/>
          <w:szCs w:val="24"/>
          <w:lang w:val="en-GB"/>
        </w:rPr>
        <w:t xml:space="preserve">EUR </w:t>
      </w:r>
      <w:r w:rsidR="00F64697" w:rsidRPr="0001617C">
        <w:rPr>
          <w:rFonts w:cs="Times New Roman"/>
          <w:sz w:val="24"/>
          <w:szCs w:val="24"/>
          <w:lang w:val="en-GB"/>
        </w:rPr>
        <w:t xml:space="preserve">855 million. </w:t>
      </w:r>
      <w:r w:rsidR="00EC4C27" w:rsidRPr="0001617C">
        <w:rPr>
          <w:rFonts w:cs="Times New Roman"/>
          <w:sz w:val="24"/>
          <w:szCs w:val="24"/>
          <w:lang w:val="en-GB"/>
        </w:rPr>
        <w:t xml:space="preserve">This restraint </w:t>
      </w:r>
      <w:r w:rsidR="00093673" w:rsidRPr="0001617C">
        <w:rPr>
          <w:rFonts w:cs="Times New Roman"/>
          <w:sz w:val="24"/>
          <w:szCs w:val="24"/>
          <w:lang w:val="en-GB"/>
        </w:rPr>
        <w:t xml:space="preserve">of the Spanish order in the United Kingdom </w:t>
      </w:r>
      <w:r w:rsidR="008B3623" w:rsidRPr="0001617C">
        <w:rPr>
          <w:rFonts w:cs="Times New Roman"/>
          <w:sz w:val="24"/>
          <w:szCs w:val="24"/>
          <w:lang w:val="en-GB"/>
        </w:rPr>
        <w:t>is c</w:t>
      </w:r>
      <w:r w:rsidR="00A56385" w:rsidRPr="0001617C">
        <w:rPr>
          <w:rFonts w:cs="Times New Roman"/>
          <w:sz w:val="24"/>
          <w:szCs w:val="24"/>
          <w:lang w:val="en-GB"/>
        </w:rPr>
        <w:t xml:space="preserve">ontrary to the </w:t>
      </w:r>
      <w:r w:rsidR="00D82B52" w:rsidRPr="0001617C">
        <w:rPr>
          <w:rFonts w:cs="Times New Roman"/>
          <w:sz w:val="24"/>
          <w:szCs w:val="24"/>
          <w:lang w:val="en-GB"/>
        </w:rPr>
        <w:t>response given to the reference for a preliminary ruling</w:t>
      </w:r>
      <w:r w:rsidR="00657DA8" w:rsidRPr="0001617C">
        <w:rPr>
          <w:rFonts w:cs="Times New Roman"/>
          <w:sz w:val="24"/>
          <w:szCs w:val="24"/>
          <w:lang w:val="en-GB"/>
        </w:rPr>
        <w:t xml:space="preserve"> submitted by the same High Court to</w:t>
      </w:r>
      <w:r w:rsidR="00A56385" w:rsidRPr="0001617C">
        <w:rPr>
          <w:rFonts w:cs="Times New Roman"/>
          <w:sz w:val="24"/>
          <w:szCs w:val="24"/>
          <w:lang w:val="en-GB"/>
        </w:rPr>
        <w:t xml:space="preserve"> the Court of Justice of the European Union. If the United Kingdom had remained in the European Union, </w:t>
      </w:r>
      <w:r w:rsidR="004C1945" w:rsidRPr="0001617C">
        <w:rPr>
          <w:rFonts w:cs="Times New Roman"/>
          <w:sz w:val="24"/>
          <w:szCs w:val="24"/>
          <w:lang w:val="en-GB"/>
        </w:rPr>
        <w:t xml:space="preserve">the </w:t>
      </w:r>
      <w:r w:rsidR="00A56385" w:rsidRPr="0001617C">
        <w:rPr>
          <w:rFonts w:cs="Times New Roman"/>
          <w:sz w:val="24"/>
          <w:szCs w:val="24"/>
          <w:lang w:val="en-GB"/>
        </w:rPr>
        <w:t xml:space="preserve">British insurers would not have been able to </w:t>
      </w:r>
      <w:r w:rsidR="005050B1" w:rsidRPr="0001617C">
        <w:rPr>
          <w:rFonts w:cs="Times New Roman"/>
          <w:sz w:val="24"/>
          <w:szCs w:val="24"/>
          <w:lang w:val="en-GB"/>
        </w:rPr>
        <w:t>oppose</w:t>
      </w:r>
      <w:r w:rsidR="00A56385" w:rsidRPr="0001617C">
        <w:rPr>
          <w:rFonts w:cs="Times New Roman"/>
          <w:sz w:val="24"/>
          <w:szCs w:val="24"/>
          <w:lang w:val="en-GB"/>
        </w:rPr>
        <w:t xml:space="preserve"> the </w:t>
      </w:r>
      <w:r w:rsidR="00AF37EE" w:rsidRPr="0001617C">
        <w:rPr>
          <w:rFonts w:cs="Times New Roman"/>
          <w:sz w:val="24"/>
          <w:szCs w:val="24"/>
          <w:lang w:val="en-GB"/>
        </w:rPr>
        <w:t xml:space="preserve">extension of the </w:t>
      </w:r>
      <w:r w:rsidR="00A56385" w:rsidRPr="0001617C">
        <w:rPr>
          <w:rFonts w:cs="Times New Roman"/>
          <w:sz w:val="24"/>
          <w:szCs w:val="24"/>
          <w:lang w:val="en-GB"/>
        </w:rPr>
        <w:t xml:space="preserve">arbitration clause </w:t>
      </w:r>
      <w:r w:rsidR="00AF37EE" w:rsidRPr="0001617C">
        <w:rPr>
          <w:rFonts w:cs="Times New Roman"/>
          <w:sz w:val="24"/>
          <w:szCs w:val="24"/>
          <w:lang w:val="en-GB"/>
        </w:rPr>
        <w:t>to</w:t>
      </w:r>
      <w:r w:rsidR="00A56385" w:rsidRPr="0001617C">
        <w:rPr>
          <w:rFonts w:cs="Times New Roman"/>
          <w:sz w:val="24"/>
          <w:szCs w:val="24"/>
          <w:lang w:val="en-GB"/>
        </w:rPr>
        <w:t xml:space="preserve"> </w:t>
      </w:r>
      <w:r w:rsidR="000F0AD5" w:rsidRPr="0001617C">
        <w:rPr>
          <w:rFonts w:cs="Times New Roman"/>
          <w:sz w:val="24"/>
          <w:szCs w:val="24"/>
          <w:lang w:val="en-GB"/>
        </w:rPr>
        <w:t xml:space="preserve">the </w:t>
      </w:r>
      <w:r w:rsidR="00A56385" w:rsidRPr="0001617C">
        <w:rPr>
          <w:rFonts w:cs="Times New Roman"/>
          <w:sz w:val="24"/>
          <w:szCs w:val="24"/>
          <w:lang w:val="en-GB"/>
        </w:rPr>
        <w:t xml:space="preserve">injured third parties. </w:t>
      </w:r>
      <w:r w:rsidR="00673801" w:rsidRPr="0001617C">
        <w:rPr>
          <w:rFonts w:cs="Times New Roman"/>
          <w:sz w:val="24"/>
          <w:szCs w:val="24"/>
          <w:lang w:val="en-GB"/>
        </w:rPr>
        <w:t>It is proposed to raise the compensation limits of the 1992 Civil Liability Convention</w:t>
      </w:r>
      <w:r w:rsidR="00DB58F9" w:rsidRPr="0001617C">
        <w:rPr>
          <w:rFonts w:cs="Times New Roman"/>
          <w:sz w:val="24"/>
          <w:szCs w:val="24"/>
          <w:lang w:val="en-GB"/>
        </w:rPr>
        <w:t>.</w:t>
      </w:r>
    </w:p>
    <w:p w14:paraId="56E850FD" w14:textId="3131D339" w:rsidR="00E23A92" w:rsidRPr="0001617C" w:rsidRDefault="00BB539D">
      <w:pPr>
        <w:spacing w:before="120" w:after="120" w:line="240" w:lineRule="auto"/>
        <w:jc w:val="both"/>
        <w:rPr>
          <w:rFonts w:cs="Times New Roman"/>
          <w:i/>
          <w:iCs/>
          <w:sz w:val="24"/>
          <w:szCs w:val="24"/>
          <w:lang w:val="en-GB"/>
        </w:rPr>
      </w:pPr>
      <w:r w:rsidRPr="0001617C">
        <w:rPr>
          <w:rFonts w:cs="Times New Roman"/>
          <w:b/>
          <w:bCs/>
          <w:sz w:val="24"/>
          <w:szCs w:val="24"/>
          <w:lang w:val="en-GB"/>
        </w:rPr>
        <w:t>Keywords</w:t>
      </w:r>
      <w:r w:rsidR="009965CC" w:rsidRPr="0001617C">
        <w:rPr>
          <w:rFonts w:cs="Times New Roman"/>
          <w:b/>
          <w:bCs/>
          <w:sz w:val="24"/>
          <w:szCs w:val="24"/>
          <w:lang w:val="en-GB"/>
        </w:rPr>
        <w:t xml:space="preserve">: </w:t>
      </w:r>
      <w:r w:rsidR="009965CC" w:rsidRPr="0001617C">
        <w:rPr>
          <w:rFonts w:cs="Times New Roman"/>
          <w:sz w:val="24"/>
          <w:szCs w:val="24"/>
          <w:lang w:val="en-GB"/>
        </w:rPr>
        <w:t>Oil pollution</w:t>
      </w:r>
      <w:r w:rsidR="00D97B0D">
        <w:rPr>
          <w:rFonts w:cs="Times New Roman"/>
          <w:sz w:val="24"/>
          <w:szCs w:val="24"/>
          <w:lang w:val="en-GB"/>
        </w:rPr>
        <w:t>;</w:t>
      </w:r>
      <w:r w:rsidR="009965CC" w:rsidRPr="0001617C">
        <w:rPr>
          <w:rFonts w:cs="Times New Roman"/>
          <w:sz w:val="24"/>
          <w:szCs w:val="24"/>
          <w:lang w:val="en-GB"/>
        </w:rPr>
        <w:t xml:space="preserve"> Civil Liability</w:t>
      </w:r>
      <w:r w:rsidR="00D97B0D">
        <w:rPr>
          <w:rFonts w:cs="Times New Roman"/>
          <w:sz w:val="24"/>
          <w:szCs w:val="24"/>
          <w:lang w:val="en-GB"/>
        </w:rPr>
        <w:t>;</w:t>
      </w:r>
      <w:r w:rsidR="009965CC" w:rsidRPr="0001617C">
        <w:rPr>
          <w:rFonts w:cs="Times New Roman"/>
          <w:sz w:val="24"/>
          <w:szCs w:val="24"/>
          <w:lang w:val="en-GB"/>
        </w:rPr>
        <w:t xml:space="preserve"> Marine Insurance</w:t>
      </w:r>
      <w:r w:rsidR="00D97B0D">
        <w:rPr>
          <w:rFonts w:cs="Times New Roman"/>
          <w:sz w:val="24"/>
          <w:szCs w:val="24"/>
          <w:lang w:val="en-GB"/>
        </w:rPr>
        <w:t>;</w:t>
      </w:r>
      <w:r w:rsidR="009965CC" w:rsidRPr="0001617C">
        <w:rPr>
          <w:rFonts w:cs="Times New Roman"/>
          <w:sz w:val="24"/>
          <w:szCs w:val="24"/>
          <w:lang w:val="en-GB"/>
        </w:rPr>
        <w:t xml:space="preserve"> P&amp;I </w:t>
      </w:r>
      <w:r w:rsidR="00741142" w:rsidRPr="0001617C">
        <w:rPr>
          <w:rFonts w:cs="Times New Roman"/>
          <w:sz w:val="24"/>
          <w:szCs w:val="24"/>
          <w:lang w:val="en-GB"/>
        </w:rPr>
        <w:t>C</w:t>
      </w:r>
      <w:r w:rsidR="009965CC" w:rsidRPr="0001617C">
        <w:rPr>
          <w:rFonts w:cs="Times New Roman"/>
          <w:sz w:val="24"/>
          <w:szCs w:val="24"/>
          <w:lang w:val="en-GB"/>
        </w:rPr>
        <w:t>lub</w:t>
      </w:r>
      <w:r w:rsidR="00D97B0D">
        <w:rPr>
          <w:rFonts w:cs="Times New Roman"/>
          <w:sz w:val="24"/>
          <w:szCs w:val="24"/>
          <w:lang w:val="en-GB"/>
        </w:rPr>
        <w:t>;</w:t>
      </w:r>
      <w:r w:rsidR="009965CC" w:rsidRPr="0001617C">
        <w:rPr>
          <w:rFonts w:cs="Times New Roman"/>
          <w:sz w:val="24"/>
          <w:szCs w:val="24"/>
          <w:lang w:val="en-GB"/>
        </w:rPr>
        <w:t xml:space="preserve"> IOPC Funds</w:t>
      </w:r>
    </w:p>
    <w:p w14:paraId="4F0305B6" w14:textId="77777777" w:rsidR="00FC6064" w:rsidRPr="0001617C" w:rsidRDefault="00FC6064" w:rsidP="00E17EC6">
      <w:pPr>
        <w:spacing w:before="120" w:after="120" w:line="240" w:lineRule="auto"/>
        <w:jc w:val="both"/>
        <w:rPr>
          <w:rFonts w:cs="Times New Roman"/>
          <w:bCs/>
          <w:i/>
          <w:iCs/>
          <w:sz w:val="24"/>
          <w:szCs w:val="24"/>
          <w:lang w:val="en-GB"/>
        </w:rPr>
      </w:pPr>
    </w:p>
    <w:p w14:paraId="2977CDC2" w14:textId="48DB97C0" w:rsidR="00E23A92" w:rsidRPr="00D97B0D" w:rsidRDefault="00BB539D" w:rsidP="00D97B0D">
      <w:pPr>
        <w:pStyle w:val="Prrafodelista"/>
        <w:numPr>
          <w:ilvl w:val="0"/>
          <w:numId w:val="50"/>
        </w:numPr>
        <w:spacing w:before="120" w:after="120" w:line="240" w:lineRule="auto"/>
        <w:jc w:val="both"/>
        <w:rPr>
          <w:rFonts w:cs="Times New Roman"/>
          <w:b/>
          <w:sz w:val="24"/>
          <w:szCs w:val="24"/>
          <w:lang w:val="en-GB"/>
        </w:rPr>
      </w:pPr>
      <w:bookmarkStart w:id="3" w:name="_Hlk138226229"/>
      <w:r w:rsidRPr="00D97B0D">
        <w:rPr>
          <w:rFonts w:cs="Times New Roman"/>
          <w:b/>
          <w:sz w:val="24"/>
          <w:szCs w:val="24"/>
          <w:lang w:val="en-GB"/>
        </w:rPr>
        <w:t>INTRODUCTION</w:t>
      </w:r>
    </w:p>
    <w:p w14:paraId="741D48C4" w14:textId="5B8CD667" w:rsidR="00E23A92" w:rsidRPr="0001617C" w:rsidRDefault="00BB539D">
      <w:pPr>
        <w:spacing w:before="120" w:after="120" w:line="240" w:lineRule="auto"/>
        <w:jc w:val="both"/>
        <w:rPr>
          <w:rFonts w:cs="Times New Roman"/>
          <w:bCs/>
          <w:sz w:val="24"/>
          <w:szCs w:val="24"/>
          <w:lang w:val="en-GB"/>
        </w:rPr>
      </w:pPr>
      <w:r w:rsidRPr="0001617C">
        <w:rPr>
          <w:rFonts w:cs="Times New Roman"/>
          <w:bCs/>
          <w:sz w:val="24"/>
          <w:szCs w:val="24"/>
          <w:lang w:val="en-GB"/>
        </w:rPr>
        <w:t xml:space="preserve">Since the environmental disaster </w:t>
      </w:r>
      <w:r w:rsidR="00ED5F2B" w:rsidRPr="0001617C">
        <w:rPr>
          <w:rFonts w:cs="Times New Roman"/>
          <w:bCs/>
          <w:sz w:val="24"/>
          <w:szCs w:val="24"/>
          <w:lang w:val="en-GB"/>
        </w:rPr>
        <w:t>caused by</w:t>
      </w:r>
      <w:r w:rsidRPr="0001617C">
        <w:rPr>
          <w:rFonts w:cs="Times New Roman"/>
          <w:bCs/>
          <w:sz w:val="24"/>
          <w:szCs w:val="24"/>
          <w:lang w:val="en-GB"/>
        </w:rPr>
        <w:t xml:space="preserve"> the oil tanker </w:t>
      </w:r>
      <w:r w:rsidR="00EF1736" w:rsidRPr="0001617C">
        <w:rPr>
          <w:rFonts w:cs="Times New Roman"/>
          <w:bCs/>
          <w:i/>
          <w:iCs/>
          <w:sz w:val="24"/>
          <w:szCs w:val="24"/>
          <w:lang w:val="en-GB"/>
        </w:rPr>
        <w:t xml:space="preserve">The </w:t>
      </w:r>
      <w:r w:rsidRPr="0001617C">
        <w:rPr>
          <w:rFonts w:cs="Times New Roman"/>
          <w:bCs/>
          <w:i/>
          <w:iCs/>
          <w:sz w:val="24"/>
          <w:szCs w:val="24"/>
          <w:lang w:val="en-GB"/>
        </w:rPr>
        <w:t>Prestige</w:t>
      </w:r>
      <w:r w:rsidRPr="0001617C">
        <w:rPr>
          <w:rFonts w:cs="Times New Roman"/>
          <w:bCs/>
          <w:sz w:val="24"/>
          <w:szCs w:val="24"/>
          <w:lang w:val="en-GB"/>
        </w:rPr>
        <w:t xml:space="preserve"> in November 2002, there has been a succession of Spanish, English and EU court rulings </w:t>
      </w:r>
      <w:r w:rsidR="00DE3167" w:rsidRPr="0001617C">
        <w:rPr>
          <w:rFonts w:cs="Times New Roman"/>
          <w:bCs/>
          <w:sz w:val="24"/>
          <w:szCs w:val="24"/>
          <w:lang w:val="en-GB"/>
        </w:rPr>
        <w:t xml:space="preserve">and arbitration awards </w:t>
      </w:r>
      <w:r w:rsidRPr="0001617C">
        <w:rPr>
          <w:rFonts w:cs="Times New Roman"/>
          <w:bCs/>
          <w:sz w:val="24"/>
          <w:szCs w:val="24"/>
          <w:lang w:val="en-GB"/>
        </w:rPr>
        <w:t>on the legal liability arising from the incident. The latest is the judgment of the English High Court of</w:t>
      </w:r>
      <w:r w:rsidRPr="0001617C">
        <w:rPr>
          <w:rFonts w:cs="Times New Roman"/>
          <w:bCs/>
          <w:i/>
          <w:iCs/>
          <w:sz w:val="24"/>
          <w:szCs w:val="24"/>
          <w:lang w:val="en-GB"/>
        </w:rPr>
        <w:t xml:space="preserve"> </w:t>
      </w:r>
      <w:r w:rsidRPr="0001617C">
        <w:rPr>
          <w:rFonts w:cs="Times New Roman"/>
          <w:bCs/>
          <w:sz w:val="24"/>
          <w:szCs w:val="24"/>
          <w:lang w:val="en-GB"/>
        </w:rPr>
        <w:t xml:space="preserve">6 October 2023, which </w:t>
      </w:r>
      <w:r w:rsidR="0061515B" w:rsidRPr="0001617C">
        <w:rPr>
          <w:rFonts w:cs="Times New Roman"/>
          <w:bCs/>
          <w:sz w:val="24"/>
          <w:szCs w:val="24"/>
          <w:lang w:val="en-GB"/>
        </w:rPr>
        <w:t>re</w:t>
      </w:r>
      <w:r w:rsidR="00721929" w:rsidRPr="0001617C">
        <w:rPr>
          <w:rFonts w:cs="Times New Roman"/>
          <w:bCs/>
          <w:sz w:val="24"/>
          <w:szCs w:val="24"/>
          <w:lang w:val="en-GB"/>
        </w:rPr>
        <w:t>strains</w:t>
      </w:r>
      <w:r w:rsidRPr="0001617C">
        <w:rPr>
          <w:rFonts w:cs="Times New Roman"/>
          <w:bCs/>
          <w:sz w:val="24"/>
          <w:szCs w:val="24"/>
          <w:lang w:val="en-GB"/>
        </w:rPr>
        <w:t xml:space="preserve"> the enforcement in the United Kingdom of the order of the Provincial Court of A Coruña of 1 March 2019</w:t>
      </w:r>
      <w:r w:rsidR="00DE3167" w:rsidRPr="0001617C">
        <w:rPr>
          <w:rFonts w:cs="Times New Roman"/>
          <w:bCs/>
          <w:sz w:val="24"/>
          <w:szCs w:val="24"/>
          <w:lang w:val="en-GB"/>
        </w:rPr>
        <w:t xml:space="preserve">. This order enforces the sentence imposed by the judgment of the </w:t>
      </w:r>
      <w:r w:rsidR="00A66DFB" w:rsidRPr="0001617C">
        <w:rPr>
          <w:rFonts w:cs="Times New Roman"/>
          <w:bCs/>
          <w:sz w:val="24"/>
          <w:szCs w:val="24"/>
          <w:lang w:val="en-GB"/>
        </w:rPr>
        <w:t xml:space="preserve">Spanish </w:t>
      </w:r>
      <w:r w:rsidR="00DF0262" w:rsidRPr="0001617C">
        <w:rPr>
          <w:rFonts w:cs="Times New Roman"/>
          <w:bCs/>
          <w:sz w:val="24"/>
          <w:szCs w:val="24"/>
          <w:lang w:val="en-GB"/>
        </w:rPr>
        <w:t>Supreme</w:t>
      </w:r>
      <w:r w:rsidR="00DE3167" w:rsidRPr="0001617C">
        <w:rPr>
          <w:rFonts w:cs="Times New Roman"/>
          <w:bCs/>
          <w:sz w:val="24"/>
          <w:szCs w:val="24"/>
          <w:lang w:val="en-GB"/>
        </w:rPr>
        <w:t xml:space="preserve"> Court of 14 January 2016 on the ship</w:t>
      </w:r>
      <w:r w:rsidR="00B84357" w:rsidRPr="0001617C">
        <w:rPr>
          <w:rFonts w:cs="Times New Roman"/>
          <w:bCs/>
          <w:sz w:val="24"/>
          <w:szCs w:val="24"/>
          <w:lang w:val="en-GB"/>
        </w:rPr>
        <w:t>’</w:t>
      </w:r>
      <w:r w:rsidR="00DE3167" w:rsidRPr="0001617C">
        <w:rPr>
          <w:rFonts w:cs="Times New Roman"/>
          <w:bCs/>
          <w:sz w:val="24"/>
          <w:szCs w:val="24"/>
          <w:lang w:val="en-GB"/>
        </w:rPr>
        <w:t>s insurer, The London</w:t>
      </w:r>
      <w:r w:rsidR="0036125F" w:rsidRPr="0001617C">
        <w:rPr>
          <w:rFonts w:cs="Times New Roman"/>
          <w:bCs/>
          <w:sz w:val="24"/>
          <w:szCs w:val="24"/>
          <w:lang w:val="en-GB"/>
        </w:rPr>
        <w:t xml:space="preserve"> P&amp;I Club</w:t>
      </w:r>
      <w:r w:rsidR="00DE3167" w:rsidRPr="0001617C">
        <w:rPr>
          <w:rFonts w:cs="Times New Roman"/>
          <w:bCs/>
          <w:sz w:val="24"/>
          <w:szCs w:val="24"/>
          <w:lang w:val="en-GB"/>
        </w:rPr>
        <w:t xml:space="preserve">, and quantifies the amount payable at </w:t>
      </w:r>
      <w:r w:rsidR="00415B39" w:rsidRPr="0001617C">
        <w:rPr>
          <w:rFonts w:cs="Times New Roman"/>
          <w:bCs/>
          <w:sz w:val="24"/>
          <w:szCs w:val="24"/>
          <w:lang w:val="en-GB"/>
        </w:rPr>
        <w:t xml:space="preserve">EUR </w:t>
      </w:r>
      <w:r w:rsidR="00DE3167" w:rsidRPr="0001617C">
        <w:rPr>
          <w:rFonts w:cs="Times New Roman"/>
          <w:bCs/>
          <w:sz w:val="24"/>
          <w:szCs w:val="24"/>
          <w:lang w:val="en-GB"/>
        </w:rPr>
        <w:t>855 million.</w:t>
      </w:r>
    </w:p>
    <w:p w14:paraId="227D775F" w14:textId="632C0A81" w:rsidR="00E23A92" w:rsidRPr="0001617C" w:rsidRDefault="00BB539D">
      <w:pPr>
        <w:pStyle w:val="Textonotapie"/>
        <w:spacing w:before="120" w:after="120"/>
        <w:jc w:val="both"/>
        <w:rPr>
          <w:rFonts w:cs="Times New Roman"/>
          <w:sz w:val="24"/>
          <w:szCs w:val="24"/>
        </w:rPr>
      </w:pPr>
      <w:r w:rsidRPr="0001617C">
        <w:rPr>
          <w:rFonts w:cs="Times New Roman"/>
          <w:sz w:val="24"/>
          <w:szCs w:val="24"/>
        </w:rPr>
        <w:t xml:space="preserve">The Spanish State, without having been declared civilly liable for </w:t>
      </w:r>
      <w:r w:rsidR="007A69A4" w:rsidRPr="0001617C">
        <w:rPr>
          <w:rFonts w:cs="Times New Roman"/>
          <w:sz w:val="24"/>
          <w:szCs w:val="24"/>
        </w:rPr>
        <w:t>keeping</w:t>
      </w:r>
      <w:r w:rsidRPr="0001617C">
        <w:rPr>
          <w:rFonts w:cs="Times New Roman"/>
          <w:sz w:val="24"/>
          <w:szCs w:val="24"/>
        </w:rPr>
        <w:t xml:space="preserve"> </w:t>
      </w:r>
      <w:r w:rsidR="00DB43DC" w:rsidRPr="0001617C">
        <w:rPr>
          <w:rFonts w:cs="Times New Roman"/>
          <w:i/>
          <w:iCs/>
          <w:sz w:val="24"/>
          <w:szCs w:val="24"/>
        </w:rPr>
        <w:t>The Prestige</w:t>
      </w:r>
      <w:r w:rsidRPr="0001617C">
        <w:rPr>
          <w:rFonts w:cs="Times New Roman"/>
          <w:sz w:val="24"/>
          <w:szCs w:val="24"/>
        </w:rPr>
        <w:t xml:space="preserve"> </w:t>
      </w:r>
      <w:r w:rsidR="007A69A4" w:rsidRPr="0001617C">
        <w:rPr>
          <w:rFonts w:cs="Times New Roman"/>
          <w:sz w:val="24"/>
          <w:szCs w:val="24"/>
        </w:rPr>
        <w:t xml:space="preserve">away </w:t>
      </w:r>
      <w:r w:rsidRPr="0001617C">
        <w:rPr>
          <w:rFonts w:cs="Times New Roman"/>
          <w:sz w:val="24"/>
          <w:szCs w:val="24"/>
        </w:rPr>
        <w:t xml:space="preserve">from the coast, has assumed a large part of the direct </w:t>
      </w:r>
      <w:r w:rsidR="00EC4662" w:rsidRPr="0001617C">
        <w:rPr>
          <w:rFonts w:cs="Times New Roman"/>
          <w:sz w:val="24"/>
          <w:szCs w:val="24"/>
        </w:rPr>
        <w:t>costs</w:t>
      </w:r>
      <w:r w:rsidRPr="0001617C">
        <w:rPr>
          <w:rFonts w:cs="Times New Roman"/>
          <w:sz w:val="24"/>
          <w:szCs w:val="24"/>
        </w:rPr>
        <w:t xml:space="preserve"> </w:t>
      </w:r>
      <w:r w:rsidR="005D4E36" w:rsidRPr="0001617C">
        <w:rPr>
          <w:rFonts w:cs="Times New Roman"/>
          <w:sz w:val="24"/>
          <w:szCs w:val="24"/>
        </w:rPr>
        <w:t xml:space="preserve">of compensation </w:t>
      </w:r>
      <w:r w:rsidRPr="0001617C">
        <w:rPr>
          <w:rFonts w:cs="Times New Roman"/>
          <w:sz w:val="24"/>
          <w:szCs w:val="24"/>
        </w:rPr>
        <w:t xml:space="preserve">with public funds, subrogating itself to the rights of those affected. As a result, part of the compensation has been paid to the injured parties. Nevertheless, </w:t>
      </w:r>
      <w:r w:rsidR="005202AB" w:rsidRPr="0001617C">
        <w:rPr>
          <w:rFonts w:cs="Times New Roman"/>
          <w:sz w:val="24"/>
          <w:szCs w:val="24"/>
        </w:rPr>
        <w:t xml:space="preserve">between direct damages and advances to those affected, </w:t>
      </w:r>
      <w:r w:rsidRPr="0001617C">
        <w:rPr>
          <w:rFonts w:cs="Times New Roman"/>
          <w:sz w:val="24"/>
          <w:szCs w:val="24"/>
        </w:rPr>
        <w:t xml:space="preserve">the cost to the </w:t>
      </w:r>
      <w:r w:rsidR="00FD24E9" w:rsidRPr="0001617C">
        <w:rPr>
          <w:rFonts w:cs="Times New Roman"/>
          <w:sz w:val="24"/>
          <w:szCs w:val="24"/>
        </w:rPr>
        <w:t>treasury</w:t>
      </w:r>
      <w:r w:rsidRPr="0001617C">
        <w:rPr>
          <w:rFonts w:cs="Times New Roman"/>
          <w:sz w:val="24"/>
          <w:szCs w:val="24"/>
        </w:rPr>
        <w:t xml:space="preserve"> has been </w:t>
      </w:r>
      <w:r w:rsidR="005202AB" w:rsidRPr="0001617C">
        <w:rPr>
          <w:rFonts w:cs="Times New Roman"/>
          <w:sz w:val="24"/>
          <w:szCs w:val="24"/>
        </w:rPr>
        <w:t xml:space="preserve">EUR </w:t>
      </w:r>
      <w:r w:rsidRPr="0001617C">
        <w:rPr>
          <w:rFonts w:cs="Times New Roman"/>
          <w:sz w:val="24"/>
          <w:szCs w:val="24"/>
        </w:rPr>
        <w:t>2,355 million</w:t>
      </w:r>
      <w:r w:rsidR="00A34AC5" w:rsidRPr="0001617C">
        <w:rPr>
          <w:rFonts w:cs="Times New Roman"/>
          <w:sz w:val="24"/>
          <w:szCs w:val="24"/>
        </w:rPr>
        <w:t>, and t</w:t>
      </w:r>
      <w:r w:rsidRPr="0001617C">
        <w:rPr>
          <w:rFonts w:cs="Times New Roman"/>
          <w:sz w:val="24"/>
          <w:szCs w:val="24"/>
        </w:rPr>
        <w:t xml:space="preserve">he Spanish </w:t>
      </w:r>
      <w:r w:rsidR="00A34AC5" w:rsidRPr="0001617C">
        <w:rPr>
          <w:rFonts w:cs="Times New Roman"/>
          <w:sz w:val="24"/>
          <w:szCs w:val="24"/>
        </w:rPr>
        <w:t>S</w:t>
      </w:r>
      <w:r w:rsidRPr="0001617C">
        <w:rPr>
          <w:rFonts w:cs="Times New Roman"/>
          <w:sz w:val="24"/>
          <w:szCs w:val="24"/>
        </w:rPr>
        <w:t>tate</w:t>
      </w:r>
      <w:r w:rsidR="00A34AC5" w:rsidRPr="0001617C">
        <w:rPr>
          <w:rFonts w:cs="Times New Roman"/>
          <w:sz w:val="24"/>
          <w:szCs w:val="24"/>
        </w:rPr>
        <w:t xml:space="preserve"> is clearly</w:t>
      </w:r>
      <w:r w:rsidRPr="0001617C">
        <w:rPr>
          <w:rFonts w:cs="Times New Roman"/>
          <w:sz w:val="24"/>
          <w:szCs w:val="24"/>
        </w:rPr>
        <w:t xml:space="preserve"> determin</w:t>
      </w:r>
      <w:r w:rsidR="00A34AC5" w:rsidRPr="0001617C">
        <w:rPr>
          <w:rFonts w:cs="Times New Roman"/>
          <w:sz w:val="24"/>
          <w:szCs w:val="24"/>
        </w:rPr>
        <w:t>ed</w:t>
      </w:r>
      <w:r w:rsidRPr="0001617C">
        <w:rPr>
          <w:rFonts w:cs="Times New Roman"/>
          <w:sz w:val="24"/>
          <w:szCs w:val="24"/>
        </w:rPr>
        <w:t xml:space="preserve"> to prosecute the only entity that could pay </w:t>
      </w:r>
      <w:r w:rsidR="00566BEF" w:rsidRPr="0001617C">
        <w:rPr>
          <w:rFonts w:cs="Times New Roman"/>
          <w:sz w:val="24"/>
          <w:szCs w:val="24"/>
        </w:rPr>
        <w:t>above</w:t>
      </w:r>
      <w:r w:rsidRPr="0001617C">
        <w:rPr>
          <w:rFonts w:cs="Times New Roman"/>
          <w:sz w:val="24"/>
          <w:szCs w:val="24"/>
        </w:rPr>
        <w:t xml:space="preserve"> the international compensation limits</w:t>
      </w:r>
      <w:r w:rsidR="00E955F7" w:rsidRPr="0001617C">
        <w:rPr>
          <w:rFonts w:cs="Times New Roman"/>
          <w:sz w:val="24"/>
          <w:szCs w:val="24"/>
        </w:rPr>
        <w:t>, namely</w:t>
      </w:r>
      <w:r w:rsidRPr="0001617C">
        <w:rPr>
          <w:rFonts w:cs="Times New Roman"/>
          <w:sz w:val="24"/>
          <w:szCs w:val="24"/>
        </w:rPr>
        <w:t xml:space="preserve"> the ship</w:t>
      </w:r>
      <w:r w:rsidR="00B84357" w:rsidRPr="0001617C">
        <w:rPr>
          <w:rFonts w:cs="Times New Roman"/>
          <w:sz w:val="24"/>
          <w:szCs w:val="24"/>
        </w:rPr>
        <w:t>’</w:t>
      </w:r>
      <w:r w:rsidRPr="0001617C">
        <w:rPr>
          <w:rFonts w:cs="Times New Roman"/>
          <w:sz w:val="24"/>
          <w:szCs w:val="24"/>
        </w:rPr>
        <w:t xml:space="preserve">s civil liability insurer, the P&amp;I </w:t>
      </w:r>
      <w:r w:rsidR="0058276D" w:rsidRPr="0001617C">
        <w:rPr>
          <w:rFonts w:cs="Times New Roman"/>
          <w:sz w:val="24"/>
          <w:szCs w:val="24"/>
        </w:rPr>
        <w:t>C</w:t>
      </w:r>
      <w:r w:rsidRPr="0001617C">
        <w:rPr>
          <w:rFonts w:cs="Times New Roman"/>
          <w:sz w:val="24"/>
          <w:szCs w:val="24"/>
        </w:rPr>
        <w:t>lub</w:t>
      </w:r>
      <w:r w:rsidR="0037142A" w:rsidRPr="0001617C">
        <w:rPr>
          <w:rFonts w:cs="Times New Roman"/>
          <w:sz w:val="24"/>
          <w:szCs w:val="24"/>
        </w:rPr>
        <w:t>.</w:t>
      </w:r>
      <w:r w:rsidRPr="0001617C">
        <w:rPr>
          <w:rStyle w:val="Refdenotaalpie"/>
          <w:rFonts w:cs="Times New Roman"/>
          <w:sz w:val="24"/>
          <w:szCs w:val="24"/>
        </w:rPr>
        <w:footnoteReference w:id="1"/>
      </w:r>
      <w:r w:rsidRPr="0001617C">
        <w:rPr>
          <w:rFonts w:cs="Times New Roman"/>
          <w:sz w:val="24"/>
          <w:szCs w:val="24"/>
        </w:rPr>
        <w:t xml:space="preserve">  </w:t>
      </w:r>
    </w:p>
    <w:p w14:paraId="27AA20FB" w14:textId="77777777" w:rsidR="00DE3167" w:rsidRPr="0001617C" w:rsidRDefault="00DE3167" w:rsidP="00564130">
      <w:pPr>
        <w:spacing w:before="120" w:after="120" w:line="240" w:lineRule="auto"/>
        <w:jc w:val="both"/>
        <w:rPr>
          <w:rFonts w:cs="Times New Roman"/>
          <w:bCs/>
          <w:sz w:val="24"/>
          <w:szCs w:val="24"/>
          <w:lang w:val="en-GB"/>
        </w:rPr>
      </w:pPr>
    </w:p>
    <w:p w14:paraId="3B9D7F21" w14:textId="0F90FCA4" w:rsidR="00E23A92" w:rsidRPr="00D97B0D" w:rsidRDefault="00BB539D" w:rsidP="00D97B0D">
      <w:pPr>
        <w:pStyle w:val="Prrafodelista"/>
        <w:numPr>
          <w:ilvl w:val="0"/>
          <w:numId w:val="50"/>
        </w:numPr>
        <w:spacing w:before="120" w:after="120" w:line="240" w:lineRule="auto"/>
        <w:jc w:val="both"/>
        <w:rPr>
          <w:rFonts w:cs="Times New Roman"/>
          <w:b/>
          <w:sz w:val="24"/>
          <w:szCs w:val="24"/>
          <w:lang w:val="en-GB"/>
        </w:rPr>
      </w:pPr>
      <w:r w:rsidRPr="00D97B0D">
        <w:rPr>
          <w:rFonts w:cs="Times New Roman"/>
          <w:b/>
          <w:sz w:val="24"/>
          <w:szCs w:val="24"/>
          <w:lang w:val="en-GB"/>
        </w:rPr>
        <w:t xml:space="preserve">FACTS, LEGAL PROCEEDINGS AND </w:t>
      </w:r>
      <w:r w:rsidR="008A1169" w:rsidRPr="00D97B0D">
        <w:rPr>
          <w:rFonts w:cs="Times New Roman"/>
          <w:b/>
          <w:sz w:val="24"/>
          <w:szCs w:val="24"/>
          <w:lang w:val="en-GB"/>
        </w:rPr>
        <w:t>REFERENCE</w:t>
      </w:r>
      <w:r w:rsidRPr="00D97B0D">
        <w:rPr>
          <w:rFonts w:cs="Times New Roman"/>
          <w:b/>
          <w:sz w:val="24"/>
          <w:szCs w:val="24"/>
          <w:lang w:val="en-GB"/>
        </w:rPr>
        <w:t xml:space="preserve"> FOR PRELIMINARY RULING</w:t>
      </w:r>
    </w:p>
    <w:p w14:paraId="7A1485B6" w14:textId="77777777" w:rsidR="00FC096A" w:rsidRPr="0001617C" w:rsidRDefault="00FC096A" w:rsidP="00FC096A">
      <w:pPr>
        <w:pStyle w:val="Prrafodelista"/>
        <w:spacing w:before="120" w:after="120" w:line="240" w:lineRule="auto"/>
        <w:ind w:left="1080"/>
        <w:jc w:val="both"/>
        <w:rPr>
          <w:rFonts w:cs="Times New Roman"/>
          <w:b/>
          <w:sz w:val="24"/>
          <w:szCs w:val="24"/>
          <w:lang w:val="en-GB"/>
        </w:rPr>
      </w:pPr>
    </w:p>
    <w:p w14:paraId="2422F9EB" w14:textId="45342DCD" w:rsidR="00E23A92" w:rsidRPr="00D97B0D" w:rsidRDefault="00BB539D" w:rsidP="00D97B0D">
      <w:pPr>
        <w:pStyle w:val="Prrafodelista"/>
        <w:numPr>
          <w:ilvl w:val="1"/>
          <w:numId w:val="50"/>
        </w:numPr>
        <w:spacing w:before="120" w:after="120" w:line="240" w:lineRule="auto"/>
        <w:jc w:val="both"/>
        <w:rPr>
          <w:rFonts w:cs="Times New Roman"/>
          <w:b/>
          <w:sz w:val="24"/>
          <w:szCs w:val="24"/>
          <w:lang w:val="en-GB"/>
        </w:rPr>
      </w:pPr>
      <w:r w:rsidRPr="00D97B0D">
        <w:rPr>
          <w:rFonts w:cs="Times New Roman"/>
          <w:b/>
          <w:sz w:val="24"/>
          <w:szCs w:val="24"/>
          <w:lang w:val="en-GB"/>
        </w:rPr>
        <w:t>Spanish court case</w:t>
      </w:r>
      <w:r w:rsidR="00F64697" w:rsidRPr="00D97B0D">
        <w:rPr>
          <w:rFonts w:cs="Times New Roman"/>
          <w:b/>
          <w:sz w:val="24"/>
          <w:szCs w:val="24"/>
          <w:lang w:val="en-GB"/>
        </w:rPr>
        <w:t xml:space="preserve">: insurer ordered to pay </w:t>
      </w:r>
      <w:r w:rsidR="00587DF3" w:rsidRPr="00D97B0D">
        <w:rPr>
          <w:rFonts w:cs="Times New Roman"/>
          <w:b/>
          <w:sz w:val="24"/>
          <w:szCs w:val="24"/>
          <w:lang w:val="en-GB"/>
        </w:rPr>
        <w:t xml:space="preserve">EUR </w:t>
      </w:r>
      <w:r w:rsidR="00F64697" w:rsidRPr="00D97B0D">
        <w:rPr>
          <w:rFonts w:cs="Times New Roman"/>
          <w:b/>
          <w:sz w:val="24"/>
          <w:szCs w:val="24"/>
          <w:lang w:val="en-GB"/>
        </w:rPr>
        <w:t>855 million</w:t>
      </w:r>
    </w:p>
    <w:bookmarkEnd w:id="3"/>
    <w:p w14:paraId="6CDA798B" w14:textId="47E91416" w:rsidR="00E23A92" w:rsidRPr="0001617C" w:rsidRDefault="00BB539D">
      <w:pPr>
        <w:spacing w:before="120" w:after="120" w:line="240" w:lineRule="auto"/>
        <w:jc w:val="both"/>
        <w:rPr>
          <w:rFonts w:cs="Times New Roman"/>
          <w:sz w:val="24"/>
          <w:szCs w:val="24"/>
          <w:lang w:val="en-GB"/>
        </w:rPr>
      </w:pPr>
      <w:r w:rsidRPr="0001617C">
        <w:rPr>
          <w:rFonts w:cs="Times New Roman"/>
          <w:sz w:val="24"/>
          <w:szCs w:val="24"/>
          <w:lang w:val="en-GB"/>
        </w:rPr>
        <w:t>In November 2002, the Bahamas-flagged, single-hulled vessel</w:t>
      </w:r>
      <w:r w:rsidR="006719AA" w:rsidRPr="0001617C">
        <w:rPr>
          <w:rFonts w:cs="Times New Roman"/>
          <w:sz w:val="24"/>
          <w:szCs w:val="24"/>
          <w:lang w:val="en-GB"/>
        </w:rPr>
        <w:t xml:space="preserve">, </w:t>
      </w:r>
      <w:r w:rsidRPr="0001617C">
        <w:rPr>
          <w:rFonts w:cs="Times New Roman"/>
          <w:sz w:val="24"/>
          <w:szCs w:val="24"/>
          <w:lang w:val="en-GB"/>
        </w:rPr>
        <w:t xml:space="preserve">insured by The London P&amp;I Club, sailed from St Petersburg to Gibraltar, where it </w:t>
      </w:r>
      <w:r w:rsidR="00C41116" w:rsidRPr="0001617C">
        <w:rPr>
          <w:rFonts w:cs="Times New Roman"/>
          <w:sz w:val="24"/>
          <w:szCs w:val="24"/>
          <w:lang w:val="en-GB"/>
        </w:rPr>
        <w:t xml:space="preserve">was to </w:t>
      </w:r>
      <w:r w:rsidRPr="0001617C">
        <w:rPr>
          <w:rFonts w:cs="Times New Roman"/>
          <w:sz w:val="24"/>
          <w:szCs w:val="24"/>
          <w:lang w:val="en-GB"/>
        </w:rPr>
        <w:t xml:space="preserve">continue on to Singapore or another Asian destination. </w:t>
      </w:r>
      <w:r w:rsidR="003B57E6" w:rsidRPr="0001617C">
        <w:rPr>
          <w:rFonts w:cs="Times New Roman"/>
          <w:sz w:val="24"/>
          <w:szCs w:val="24"/>
          <w:lang w:val="en-GB"/>
        </w:rPr>
        <w:t>It</w:t>
      </w:r>
      <w:r w:rsidRPr="0001617C">
        <w:rPr>
          <w:rFonts w:cs="Times New Roman"/>
          <w:sz w:val="24"/>
          <w:szCs w:val="24"/>
          <w:lang w:val="en-GB"/>
        </w:rPr>
        <w:t xml:space="preserve"> </w:t>
      </w:r>
      <w:r w:rsidR="00F67863" w:rsidRPr="0001617C">
        <w:rPr>
          <w:rFonts w:cs="Times New Roman"/>
          <w:sz w:val="24"/>
          <w:szCs w:val="24"/>
          <w:lang w:val="en-GB"/>
        </w:rPr>
        <w:t>was</w:t>
      </w:r>
      <w:r w:rsidRPr="0001617C">
        <w:rPr>
          <w:rFonts w:cs="Times New Roman"/>
          <w:sz w:val="24"/>
          <w:szCs w:val="24"/>
          <w:lang w:val="en-GB"/>
        </w:rPr>
        <w:t xml:space="preserve"> carrying </w:t>
      </w:r>
      <w:r w:rsidR="003B57E6" w:rsidRPr="0001617C">
        <w:rPr>
          <w:rFonts w:cs="Times New Roman"/>
          <w:sz w:val="24"/>
          <w:szCs w:val="24"/>
          <w:lang w:val="en-GB"/>
        </w:rPr>
        <w:t>around</w:t>
      </w:r>
      <w:r w:rsidRPr="0001617C">
        <w:rPr>
          <w:rFonts w:cs="Times New Roman"/>
          <w:sz w:val="24"/>
          <w:szCs w:val="24"/>
          <w:lang w:val="en-GB"/>
        </w:rPr>
        <w:t xml:space="preserve"> 76,000 metric tonnes of fuel oil on board. Near Cape Fisterra (Galicia) it </w:t>
      </w:r>
      <w:r w:rsidR="00EE0C20" w:rsidRPr="0001617C">
        <w:rPr>
          <w:rFonts w:cs="Times New Roman"/>
          <w:sz w:val="24"/>
          <w:szCs w:val="24"/>
          <w:lang w:val="en-GB"/>
        </w:rPr>
        <w:t>suffer</w:t>
      </w:r>
      <w:r w:rsidR="00984CD5" w:rsidRPr="0001617C">
        <w:rPr>
          <w:rFonts w:cs="Times New Roman"/>
          <w:sz w:val="24"/>
          <w:szCs w:val="24"/>
          <w:lang w:val="en-GB"/>
        </w:rPr>
        <w:t>ed</w:t>
      </w:r>
      <w:r w:rsidR="00EE0C20" w:rsidRPr="0001617C">
        <w:rPr>
          <w:rFonts w:cs="Times New Roman"/>
          <w:sz w:val="24"/>
          <w:szCs w:val="24"/>
          <w:lang w:val="en-GB"/>
        </w:rPr>
        <w:t xml:space="preserve"> </w:t>
      </w:r>
      <w:r w:rsidRPr="0001617C">
        <w:rPr>
          <w:rFonts w:cs="Times New Roman"/>
          <w:sz w:val="24"/>
          <w:szCs w:val="24"/>
          <w:lang w:val="en-GB"/>
        </w:rPr>
        <w:t xml:space="preserve">damage and </w:t>
      </w:r>
      <w:r w:rsidR="00984CD5" w:rsidRPr="0001617C">
        <w:rPr>
          <w:rFonts w:cs="Times New Roman"/>
          <w:sz w:val="24"/>
          <w:szCs w:val="24"/>
          <w:lang w:val="en-GB"/>
        </w:rPr>
        <w:t>sought</w:t>
      </w:r>
      <w:r w:rsidR="00EE0C20" w:rsidRPr="0001617C">
        <w:rPr>
          <w:rFonts w:cs="Times New Roman"/>
          <w:sz w:val="24"/>
          <w:szCs w:val="24"/>
          <w:lang w:val="en-GB"/>
        </w:rPr>
        <w:t xml:space="preserve"> </w:t>
      </w:r>
      <w:r w:rsidRPr="0001617C">
        <w:rPr>
          <w:rFonts w:cs="Times New Roman"/>
          <w:sz w:val="24"/>
          <w:szCs w:val="24"/>
          <w:lang w:val="en-GB"/>
        </w:rPr>
        <w:t xml:space="preserve">refuge. The authorities </w:t>
      </w:r>
      <w:r w:rsidR="00C17901" w:rsidRPr="0001617C">
        <w:rPr>
          <w:rFonts w:cs="Times New Roman"/>
          <w:sz w:val="24"/>
          <w:szCs w:val="24"/>
          <w:lang w:val="en-GB"/>
        </w:rPr>
        <w:t>made the decision</w:t>
      </w:r>
      <w:r w:rsidRPr="0001617C">
        <w:rPr>
          <w:rFonts w:cs="Times New Roman"/>
          <w:sz w:val="24"/>
          <w:szCs w:val="24"/>
          <w:lang w:val="en-GB"/>
        </w:rPr>
        <w:t xml:space="preserve"> </w:t>
      </w:r>
      <w:r w:rsidR="00EE0C20" w:rsidRPr="0001617C">
        <w:rPr>
          <w:rFonts w:cs="Times New Roman"/>
          <w:sz w:val="24"/>
          <w:szCs w:val="24"/>
          <w:lang w:val="en-GB"/>
        </w:rPr>
        <w:t xml:space="preserve">to </w:t>
      </w:r>
      <w:r w:rsidR="00C17901" w:rsidRPr="0001617C">
        <w:rPr>
          <w:rFonts w:cs="Times New Roman"/>
          <w:sz w:val="24"/>
          <w:szCs w:val="24"/>
          <w:lang w:val="en-GB"/>
        </w:rPr>
        <w:t>keep</w:t>
      </w:r>
      <w:r w:rsidRPr="0001617C">
        <w:rPr>
          <w:rFonts w:cs="Times New Roman"/>
          <w:sz w:val="24"/>
          <w:szCs w:val="24"/>
          <w:lang w:val="en-GB"/>
        </w:rPr>
        <w:t xml:space="preserve"> the damaged vessel away from the Spanish coast</w:t>
      </w:r>
      <w:r w:rsidR="00FD1EF4" w:rsidRPr="0001617C">
        <w:rPr>
          <w:rFonts w:cs="Times New Roman"/>
          <w:sz w:val="24"/>
          <w:szCs w:val="24"/>
          <w:lang w:val="en-GB"/>
        </w:rPr>
        <w:t xml:space="preserve">, an order that </w:t>
      </w:r>
      <w:r w:rsidR="00C41116" w:rsidRPr="0001617C">
        <w:rPr>
          <w:rFonts w:cs="Times New Roman"/>
          <w:sz w:val="24"/>
          <w:szCs w:val="24"/>
          <w:lang w:val="en-GB"/>
        </w:rPr>
        <w:t xml:space="preserve">was later </w:t>
      </w:r>
      <w:r w:rsidRPr="0001617C">
        <w:rPr>
          <w:rFonts w:cs="Times New Roman"/>
          <w:sz w:val="24"/>
          <w:szCs w:val="24"/>
          <w:lang w:val="en-GB"/>
        </w:rPr>
        <w:t xml:space="preserve">proven </w:t>
      </w:r>
      <w:r w:rsidR="008D427C" w:rsidRPr="0001617C">
        <w:rPr>
          <w:rFonts w:cs="Times New Roman"/>
          <w:sz w:val="24"/>
          <w:szCs w:val="24"/>
          <w:lang w:val="en-GB"/>
        </w:rPr>
        <w:t xml:space="preserve">in court </w:t>
      </w:r>
      <w:r w:rsidR="00FD1EF4" w:rsidRPr="0001617C">
        <w:rPr>
          <w:rFonts w:cs="Times New Roman"/>
          <w:sz w:val="24"/>
          <w:szCs w:val="24"/>
          <w:lang w:val="en-GB"/>
        </w:rPr>
        <w:t>to have been disobeyed by</w:t>
      </w:r>
      <w:r w:rsidRPr="0001617C">
        <w:rPr>
          <w:rFonts w:cs="Times New Roman"/>
          <w:sz w:val="24"/>
          <w:szCs w:val="24"/>
          <w:lang w:val="en-GB"/>
        </w:rPr>
        <w:t xml:space="preserve"> the captain. The situation </w:t>
      </w:r>
      <w:r w:rsidR="00EE0C20" w:rsidRPr="0001617C">
        <w:rPr>
          <w:rFonts w:cs="Times New Roman"/>
          <w:sz w:val="24"/>
          <w:szCs w:val="24"/>
          <w:lang w:val="en-GB"/>
        </w:rPr>
        <w:t xml:space="preserve">worsened </w:t>
      </w:r>
      <w:r w:rsidRPr="0001617C">
        <w:rPr>
          <w:rFonts w:cs="Times New Roman"/>
          <w:sz w:val="24"/>
          <w:szCs w:val="24"/>
          <w:lang w:val="en-GB"/>
        </w:rPr>
        <w:t xml:space="preserve">and rescue attempts </w:t>
      </w:r>
      <w:r w:rsidR="00EE0C20" w:rsidRPr="0001617C">
        <w:rPr>
          <w:rFonts w:cs="Times New Roman"/>
          <w:sz w:val="24"/>
          <w:szCs w:val="24"/>
          <w:lang w:val="en-GB"/>
        </w:rPr>
        <w:t xml:space="preserve">were </w:t>
      </w:r>
      <w:r w:rsidRPr="0001617C">
        <w:rPr>
          <w:rFonts w:cs="Times New Roman"/>
          <w:sz w:val="24"/>
          <w:szCs w:val="24"/>
          <w:lang w:val="en-GB"/>
        </w:rPr>
        <w:t>unsuccessful</w:t>
      </w:r>
      <w:r w:rsidR="00915D46" w:rsidRPr="0001617C">
        <w:rPr>
          <w:rFonts w:cs="Times New Roman"/>
          <w:sz w:val="24"/>
          <w:szCs w:val="24"/>
          <w:lang w:val="en-GB"/>
        </w:rPr>
        <w:t>, and</w:t>
      </w:r>
      <w:r w:rsidR="00C45C0F" w:rsidRPr="0001617C">
        <w:rPr>
          <w:rFonts w:cs="Times New Roman"/>
          <w:sz w:val="24"/>
          <w:szCs w:val="24"/>
          <w:lang w:val="en-GB"/>
        </w:rPr>
        <w:t xml:space="preserve"> </w:t>
      </w:r>
      <w:r w:rsidR="00915D46" w:rsidRPr="0001617C">
        <w:rPr>
          <w:rFonts w:cs="Times New Roman"/>
          <w:sz w:val="24"/>
          <w:szCs w:val="24"/>
          <w:lang w:val="en-GB"/>
        </w:rPr>
        <w:t>t</w:t>
      </w:r>
      <w:r w:rsidRPr="0001617C">
        <w:rPr>
          <w:rFonts w:cs="Times New Roman"/>
          <w:sz w:val="24"/>
          <w:szCs w:val="24"/>
          <w:lang w:val="en-GB"/>
        </w:rPr>
        <w:t xml:space="preserve">he ship </w:t>
      </w:r>
      <w:r w:rsidR="00915D46" w:rsidRPr="0001617C">
        <w:rPr>
          <w:rFonts w:cs="Times New Roman"/>
          <w:sz w:val="24"/>
          <w:szCs w:val="24"/>
          <w:lang w:val="en-GB"/>
        </w:rPr>
        <w:t xml:space="preserve">finally </w:t>
      </w:r>
      <w:r w:rsidR="00EE0C20" w:rsidRPr="0001617C">
        <w:rPr>
          <w:rFonts w:cs="Times New Roman"/>
          <w:sz w:val="24"/>
          <w:szCs w:val="24"/>
          <w:lang w:val="en-GB"/>
        </w:rPr>
        <w:t xml:space="preserve">broke </w:t>
      </w:r>
      <w:r w:rsidRPr="0001617C">
        <w:rPr>
          <w:rFonts w:cs="Times New Roman"/>
          <w:sz w:val="24"/>
          <w:szCs w:val="24"/>
          <w:lang w:val="en-GB"/>
        </w:rPr>
        <w:t>in two</w:t>
      </w:r>
      <w:r w:rsidR="00915D46" w:rsidRPr="0001617C">
        <w:rPr>
          <w:rFonts w:cs="Times New Roman"/>
          <w:sz w:val="24"/>
          <w:szCs w:val="24"/>
          <w:lang w:val="en-GB"/>
        </w:rPr>
        <w:t xml:space="preserve"> and</w:t>
      </w:r>
      <w:r w:rsidR="0025307F" w:rsidRPr="0001617C">
        <w:rPr>
          <w:rFonts w:cs="Times New Roman"/>
          <w:sz w:val="24"/>
          <w:szCs w:val="24"/>
          <w:lang w:val="en-GB"/>
        </w:rPr>
        <w:t xml:space="preserve"> </w:t>
      </w:r>
      <w:r w:rsidR="00EE0C20" w:rsidRPr="0001617C">
        <w:rPr>
          <w:rFonts w:cs="Times New Roman"/>
          <w:sz w:val="24"/>
          <w:szCs w:val="24"/>
          <w:lang w:val="en-GB"/>
        </w:rPr>
        <w:t>sank</w:t>
      </w:r>
      <w:r w:rsidR="00915D46" w:rsidRPr="0001617C">
        <w:rPr>
          <w:rFonts w:cs="Times New Roman"/>
          <w:sz w:val="24"/>
          <w:szCs w:val="24"/>
          <w:lang w:val="en-GB"/>
        </w:rPr>
        <w:t>,</w:t>
      </w:r>
      <w:r w:rsidR="00EE0C20" w:rsidRPr="0001617C">
        <w:rPr>
          <w:rFonts w:cs="Times New Roman"/>
          <w:sz w:val="24"/>
          <w:szCs w:val="24"/>
          <w:lang w:val="en-GB"/>
        </w:rPr>
        <w:t xml:space="preserve"> </w:t>
      </w:r>
      <w:r w:rsidR="00B41121" w:rsidRPr="0001617C">
        <w:rPr>
          <w:rFonts w:cs="Times New Roman"/>
          <w:sz w:val="24"/>
          <w:szCs w:val="24"/>
          <w:lang w:val="en-GB"/>
        </w:rPr>
        <w:t>spill</w:t>
      </w:r>
      <w:r w:rsidR="00915D46" w:rsidRPr="0001617C">
        <w:rPr>
          <w:rFonts w:cs="Times New Roman"/>
          <w:sz w:val="24"/>
          <w:szCs w:val="24"/>
          <w:lang w:val="en-GB"/>
        </w:rPr>
        <w:t>ing</w:t>
      </w:r>
      <w:r w:rsidR="00B41121" w:rsidRPr="0001617C">
        <w:rPr>
          <w:rFonts w:cs="Times New Roman"/>
          <w:sz w:val="24"/>
          <w:szCs w:val="24"/>
          <w:lang w:val="en-GB"/>
        </w:rPr>
        <w:t xml:space="preserve"> </w:t>
      </w:r>
      <w:r w:rsidRPr="0001617C">
        <w:rPr>
          <w:rFonts w:cs="Times New Roman"/>
          <w:sz w:val="24"/>
          <w:szCs w:val="24"/>
          <w:lang w:val="en-GB"/>
        </w:rPr>
        <w:t>some 63,000 tonnes of oil on</w:t>
      </w:r>
      <w:r w:rsidR="00FD1EF4" w:rsidRPr="0001617C">
        <w:rPr>
          <w:rFonts w:cs="Times New Roman"/>
          <w:sz w:val="24"/>
          <w:szCs w:val="24"/>
          <w:lang w:val="en-GB"/>
        </w:rPr>
        <w:t>to</w:t>
      </w:r>
      <w:r w:rsidRPr="0001617C">
        <w:rPr>
          <w:rFonts w:cs="Times New Roman"/>
          <w:sz w:val="24"/>
          <w:szCs w:val="24"/>
          <w:lang w:val="en-GB"/>
        </w:rPr>
        <w:t xml:space="preserve"> the Spanish and French coast</w:t>
      </w:r>
      <w:r w:rsidR="00A66991" w:rsidRPr="0001617C">
        <w:rPr>
          <w:rFonts w:cs="Times New Roman"/>
          <w:sz w:val="24"/>
          <w:szCs w:val="24"/>
          <w:lang w:val="en-GB"/>
        </w:rPr>
        <w:t>s</w:t>
      </w:r>
      <w:r w:rsidRPr="0001617C">
        <w:rPr>
          <w:rFonts w:cs="Times New Roman"/>
          <w:sz w:val="24"/>
          <w:szCs w:val="24"/>
          <w:lang w:val="en-GB"/>
        </w:rPr>
        <w:t xml:space="preserve">. The Court </w:t>
      </w:r>
      <w:r w:rsidR="008C0927" w:rsidRPr="0001617C">
        <w:rPr>
          <w:rFonts w:cs="Times New Roman"/>
          <w:sz w:val="24"/>
          <w:szCs w:val="24"/>
          <w:lang w:val="en-GB"/>
        </w:rPr>
        <w:t xml:space="preserve">of Concurbión </w:t>
      </w:r>
      <w:r w:rsidRPr="0001617C">
        <w:rPr>
          <w:rFonts w:cs="Times New Roman"/>
          <w:sz w:val="24"/>
          <w:szCs w:val="24"/>
          <w:lang w:val="en-GB"/>
        </w:rPr>
        <w:t xml:space="preserve">in A Coruña </w:t>
      </w:r>
      <w:r w:rsidR="00280DB3" w:rsidRPr="0001617C">
        <w:rPr>
          <w:rFonts w:cs="Times New Roman"/>
          <w:sz w:val="24"/>
          <w:szCs w:val="24"/>
          <w:lang w:val="en-GB"/>
        </w:rPr>
        <w:t xml:space="preserve">then </w:t>
      </w:r>
      <w:r w:rsidR="00EE0C20" w:rsidRPr="0001617C">
        <w:rPr>
          <w:rFonts w:cs="Times New Roman"/>
          <w:sz w:val="24"/>
          <w:szCs w:val="24"/>
          <w:lang w:val="en-GB"/>
        </w:rPr>
        <w:t>start</w:t>
      </w:r>
      <w:r w:rsidR="00915D46" w:rsidRPr="0001617C">
        <w:rPr>
          <w:rFonts w:cs="Times New Roman"/>
          <w:sz w:val="24"/>
          <w:szCs w:val="24"/>
          <w:lang w:val="en-GB"/>
        </w:rPr>
        <w:t>ed</w:t>
      </w:r>
      <w:r w:rsidR="00EE0C20" w:rsidRPr="0001617C">
        <w:rPr>
          <w:rFonts w:cs="Times New Roman"/>
          <w:sz w:val="24"/>
          <w:szCs w:val="24"/>
          <w:lang w:val="en-GB"/>
        </w:rPr>
        <w:t xml:space="preserve"> </w:t>
      </w:r>
      <w:r w:rsidRPr="0001617C">
        <w:rPr>
          <w:rFonts w:cs="Times New Roman"/>
          <w:sz w:val="24"/>
          <w:szCs w:val="24"/>
          <w:lang w:val="en-GB"/>
        </w:rPr>
        <w:t xml:space="preserve">criminal proceedings. </w:t>
      </w:r>
    </w:p>
    <w:p w14:paraId="1475CD26" w14:textId="39717BCE" w:rsidR="00E23A92" w:rsidRPr="0001617C" w:rsidRDefault="00BB539D">
      <w:pPr>
        <w:spacing w:before="120" w:after="120" w:line="240" w:lineRule="auto"/>
        <w:jc w:val="both"/>
        <w:rPr>
          <w:rFonts w:cs="Times New Roman"/>
          <w:sz w:val="24"/>
          <w:szCs w:val="24"/>
          <w:lang w:val="en-GB"/>
        </w:rPr>
      </w:pPr>
      <w:r w:rsidRPr="0001617C">
        <w:rPr>
          <w:rFonts w:cs="Times New Roman"/>
          <w:sz w:val="24"/>
          <w:szCs w:val="24"/>
          <w:lang w:val="en-GB"/>
        </w:rPr>
        <w:t xml:space="preserve">In 2010, </w:t>
      </w:r>
      <w:r w:rsidR="007A2E74" w:rsidRPr="0001617C">
        <w:rPr>
          <w:rFonts w:cs="Times New Roman"/>
          <w:sz w:val="24"/>
          <w:szCs w:val="24"/>
          <w:lang w:val="en-GB"/>
        </w:rPr>
        <w:t>after the</w:t>
      </w:r>
      <w:r w:rsidRPr="0001617C">
        <w:rPr>
          <w:rFonts w:cs="Times New Roman"/>
          <w:sz w:val="24"/>
          <w:szCs w:val="24"/>
          <w:lang w:val="en-GB"/>
        </w:rPr>
        <w:t xml:space="preserve"> complet</w:t>
      </w:r>
      <w:r w:rsidR="003A150E" w:rsidRPr="0001617C">
        <w:rPr>
          <w:rFonts w:cs="Times New Roman"/>
          <w:sz w:val="24"/>
          <w:szCs w:val="24"/>
          <w:lang w:val="en-GB"/>
        </w:rPr>
        <w:t>ion</w:t>
      </w:r>
      <w:r w:rsidRPr="0001617C">
        <w:rPr>
          <w:rFonts w:cs="Times New Roman"/>
          <w:sz w:val="24"/>
          <w:szCs w:val="24"/>
          <w:lang w:val="en-GB"/>
        </w:rPr>
        <w:t xml:space="preserve"> </w:t>
      </w:r>
      <w:r w:rsidR="007A2E74" w:rsidRPr="0001617C">
        <w:rPr>
          <w:rFonts w:cs="Times New Roman"/>
          <w:sz w:val="24"/>
          <w:szCs w:val="24"/>
          <w:lang w:val="en-GB"/>
        </w:rPr>
        <w:t xml:space="preserve">of </w:t>
      </w:r>
      <w:r w:rsidRPr="0001617C">
        <w:rPr>
          <w:rFonts w:cs="Times New Roman"/>
          <w:sz w:val="24"/>
          <w:szCs w:val="24"/>
          <w:lang w:val="en-GB"/>
        </w:rPr>
        <w:t xml:space="preserve">the investigation </w:t>
      </w:r>
      <w:r w:rsidR="00542975" w:rsidRPr="0001617C">
        <w:rPr>
          <w:rFonts w:cs="Times New Roman"/>
          <w:sz w:val="24"/>
          <w:szCs w:val="24"/>
          <w:lang w:val="en-GB"/>
        </w:rPr>
        <w:t>before the Court of Concurbión</w:t>
      </w:r>
      <w:r w:rsidRPr="0001617C">
        <w:rPr>
          <w:rFonts w:cs="Times New Roman"/>
          <w:sz w:val="24"/>
          <w:szCs w:val="24"/>
          <w:lang w:val="en-GB"/>
        </w:rPr>
        <w:t xml:space="preserve">, criminal proceedings were </w:t>
      </w:r>
      <w:r w:rsidR="00EE0C20" w:rsidRPr="0001617C">
        <w:rPr>
          <w:rFonts w:cs="Times New Roman"/>
          <w:sz w:val="24"/>
          <w:szCs w:val="24"/>
          <w:lang w:val="en-GB"/>
        </w:rPr>
        <w:t xml:space="preserve">initiated </w:t>
      </w:r>
      <w:r w:rsidRPr="0001617C">
        <w:rPr>
          <w:rFonts w:cs="Times New Roman"/>
          <w:sz w:val="24"/>
          <w:szCs w:val="24"/>
          <w:lang w:val="en-GB"/>
        </w:rPr>
        <w:t>before the Provincial Court of A Coruña</w:t>
      </w:r>
      <w:r w:rsidR="00665289" w:rsidRPr="0001617C">
        <w:rPr>
          <w:rFonts w:cs="Times New Roman"/>
          <w:sz w:val="24"/>
          <w:szCs w:val="24"/>
          <w:lang w:val="en-GB"/>
        </w:rPr>
        <w:t xml:space="preserve">. The </w:t>
      </w:r>
      <w:r w:rsidR="001C1C2F" w:rsidRPr="0001617C">
        <w:rPr>
          <w:rFonts w:cs="Times New Roman"/>
          <w:sz w:val="24"/>
          <w:szCs w:val="24"/>
          <w:lang w:val="en-GB"/>
        </w:rPr>
        <w:t>master</w:t>
      </w:r>
      <w:r w:rsidR="00726B4E" w:rsidRPr="0001617C">
        <w:rPr>
          <w:rFonts w:cs="Times New Roman"/>
          <w:sz w:val="24"/>
          <w:szCs w:val="24"/>
          <w:lang w:val="en-GB"/>
        </w:rPr>
        <w:t xml:space="preserve">, </w:t>
      </w:r>
      <w:r w:rsidRPr="0001617C">
        <w:rPr>
          <w:rFonts w:cs="Times New Roman"/>
          <w:sz w:val="24"/>
          <w:szCs w:val="24"/>
          <w:lang w:val="en-GB"/>
        </w:rPr>
        <w:t>the ship</w:t>
      </w:r>
      <w:r w:rsidR="00B84357" w:rsidRPr="0001617C">
        <w:rPr>
          <w:rFonts w:cs="Times New Roman"/>
          <w:sz w:val="24"/>
          <w:szCs w:val="24"/>
          <w:lang w:val="en-GB"/>
        </w:rPr>
        <w:t>’</w:t>
      </w:r>
      <w:r w:rsidRPr="0001617C">
        <w:rPr>
          <w:rFonts w:cs="Times New Roman"/>
          <w:sz w:val="24"/>
          <w:szCs w:val="24"/>
          <w:lang w:val="en-GB"/>
        </w:rPr>
        <w:t xml:space="preserve">s first officer and the Director </w:t>
      </w:r>
      <w:r w:rsidR="004C7ADA" w:rsidRPr="0001617C">
        <w:rPr>
          <w:rFonts w:cs="Times New Roman"/>
          <w:sz w:val="24"/>
          <w:szCs w:val="24"/>
          <w:lang w:val="en-GB"/>
        </w:rPr>
        <w:t xml:space="preserve">General </w:t>
      </w:r>
      <w:r w:rsidRPr="0001617C">
        <w:rPr>
          <w:rFonts w:cs="Times New Roman"/>
          <w:sz w:val="24"/>
          <w:szCs w:val="24"/>
          <w:lang w:val="en-GB"/>
        </w:rPr>
        <w:t xml:space="preserve">of the Merchant Navy </w:t>
      </w:r>
      <w:r w:rsidR="00CA39BA" w:rsidRPr="0001617C">
        <w:rPr>
          <w:rFonts w:cs="Times New Roman"/>
          <w:sz w:val="24"/>
          <w:szCs w:val="24"/>
          <w:lang w:val="en-GB"/>
        </w:rPr>
        <w:t xml:space="preserve">were held criminally liable </w:t>
      </w:r>
      <w:r w:rsidR="000C6FBE" w:rsidRPr="0001617C">
        <w:rPr>
          <w:rFonts w:cs="Times New Roman"/>
          <w:sz w:val="24"/>
          <w:szCs w:val="24"/>
          <w:lang w:val="en-GB"/>
        </w:rPr>
        <w:t>for crimes against the environment</w:t>
      </w:r>
      <w:r w:rsidR="00D46ED5" w:rsidRPr="0001617C">
        <w:rPr>
          <w:rFonts w:cs="Times New Roman"/>
          <w:sz w:val="24"/>
          <w:szCs w:val="24"/>
          <w:lang w:val="en-GB"/>
        </w:rPr>
        <w:t xml:space="preserve"> and</w:t>
      </w:r>
      <w:r w:rsidR="000C6FBE" w:rsidRPr="0001617C">
        <w:rPr>
          <w:rFonts w:cs="Times New Roman"/>
          <w:sz w:val="24"/>
          <w:szCs w:val="24"/>
          <w:lang w:val="en-GB"/>
        </w:rPr>
        <w:t xml:space="preserve"> damage to protected natural areas</w:t>
      </w:r>
      <w:r w:rsidR="00D46ED5" w:rsidRPr="0001617C">
        <w:rPr>
          <w:rFonts w:cs="Times New Roman"/>
          <w:sz w:val="24"/>
          <w:szCs w:val="24"/>
          <w:lang w:val="en-GB"/>
        </w:rPr>
        <w:t xml:space="preserve">, </w:t>
      </w:r>
      <w:r w:rsidR="00D93F50" w:rsidRPr="0001617C">
        <w:rPr>
          <w:rFonts w:cs="Times New Roman"/>
          <w:sz w:val="24"/>
          <w:szCs w:val="24"/>
          <w:lang w:val="en-GB"/>
        </w:rPr>
        <w:t>as well as</w:t>
      </w:r>
      <w:r w:rsidR="00D46ED5" w:rsidRPr="0001617C">
        <w:rPr>
          <w:rFonts w:cs="Times New Roman"/>
          <w:sz w:val="24"/>
          <w:szCs w:val="24"/>
          <w:lang w:val="en-GB"/>
        </w:rPr>
        <w:t>, i</w:t>
      </w:r>
      <w:r w:rsidR="00BC1785" w:rsidRPr="0001617C">
        <w:rPr>
          <w:rFonts w:cs="Times New Roman"/>
          <w:sz w:val="24"/>
          <w:szCs w:val="24"/>
          <w:lang w:val="en-GB"/>
        </w:rPr>
        <w:t xml:space="preserve">n the </w:t>
      </w:r>
      <w:r w:rsidR="000C6FBE" w:rsidRPr="0001617C">
        <w:rPr>
          <w:rFonts w:cs="Times New Roman"/>
          <w:sz w:val="24"/>
          <w:szCs w:val="24"/>
          <w:lang w:val="en-GB"/>
        </w:rPr>
        <w:t>case of the captain and the first officer</w:t>
      </w:r>
      <w:r w:rsidR="00C3123A" w:rsidRPr="0001617C">
        <w:rPr>
          <w:rFonts w:cs="Times New Roman"/>
          <w:sz w:val="24"/>
          <w:szCs w:val="24"/>
          <w:lang w:val="en-GB"/>
        </w:rPr>
        <w:t xml:space="preserve">, </w:t>
      </w:r>
      <w:r w:rsidR="00D46ED5" w:rsidRPr="0001617C">
        <w:rPr>
          <w:rFonts w:cs="Times New Roman"/>
          <w:sz w:val="24"/>
          <w:szCs w:val="24"/>
          <w:lang w:val="en-GB"/>
        </w:rPr>
        <w:t>serious disobedience of authority</w:t>
      </w:r>
      <w:r w:rsidR="00002749" w:rsidRPr="0001617C">
        <w:rPr>
          <w:rFonts w:cs="Times New Roman"/>
          <w:sz w:val="24"/>
          <w:szCs w:val="24"/>
          <w:lang w:val="en-GB"/>
        </w:rPr>
        <w:t xml:space="preserve">. </w:t>
      </w:r>
      <w:r w:rsidR="00AD1535" w:rsidRPr="0001617C">
        <w:rPr>
          <w:rFonts w:cs="Times New Roman"/>
          <w:sz w:val="24"/>
          <w:szCs w:val="24"/>
          <w:lang w:val="en-GB"/>
        </w:rPr>
        <w:t xml:space="preserve"> </w:t>
      </w:r>
    </w:p>
    <w:p w14:paraId="064BE3D4" w14:textId="2151D14E" w:rsidR="00E23A92" w:rsidRPr="0001617C" w:rsidRDefault="007F0B69">
      <w:pPr>
        <w:spacing w:before="120" w:after="120" w:line="240" w:lineRule="auto"/>
        <w:jc w:val="both"/>
        <w:rPr>
          <w:rFonts w:cs="Times New Roman"/>
          <w:sz w:val="24"/>
          <w:szCs w:val="24"/>
          <w:lang w:val="en-GB"/>
        </w:rPr>
      </w:pPr>
      <w:r w:rsidRPr="0001617C">
        <w:rPr>
          <w:rFonts w:cs="Times New Roman"/>
          <w:sz w:val="24"/>
          <w:szCs w:val="24"/>
          <w:lang w:val="en-GB"/>
        </w:rPr>
        <w:t xml:space="preserve">At the same time, civil actions </w:t>
      </w:r>
      <w:r w:rsidR="007D3233" w:rsidRPr="0001617C">
        <w:rPr>
          <w:rFonts w:cs="Times New Roman"/>
          <w:sz w:val="24"/>
          <w:szCs w:val="24"/>
          <w:lang w:val="en-GB"/>
        </w:rPr>
        <w:t>were also</w:t>
      </w:r>
      <w:r w:rsidR="00BB539D" w:rsidRPr="0001617C">
        <w:rPr>
          <w:rFonts w:cs="Times New Roman"/>
          <w:sz w:val="24"/>
          <w:szCs w:val="24"/>
          <w:lang w:val="en-GB"/>
        </w:rPr>
        <w:t xml:space="preserve"> </w:t>
      </w:r>
      <w:r w:rsidR="00EE0C20" w:rsidRPr="0001617C">
        <w:rPr>
          <w:rFonts w:cs="Times New Roman"/>
          <w:sz w:val="24"/>
          <w:szCs w:val="24"/>
          <w:lang w:val="en-GB"/>
        </w:rPr>
        <w:t xml:space="preserve">brought </w:t>
      </w:r>
      <w:r w:rsidR="000871BD" w:rsidRPr="0001617C">
        <w:rPr>
          <w:rFonts w:cs="Times New Roman"/>
          <w:sz w:val="24"/>
          <w:szCs w:val="24"/>
          <w:lang w:val="en-GB"/>
        </w:rPr>
        <w:t>together with the</w:t>
      </w:r>
      <w:r w:rsidR="00AC104C" w:rsidRPr="0001617C">
        <w:rPr>
          <w:rFonts w:cs="Times New Roman"/>
          <w:sz w:val="24"/>
          <w:szCs w:val="24"/>
          <w:lang w:val="en-GB"/>
        </w:rPr>
        <w:t xml:space="preserve"> criminal proceedings</w:t>
      </w:r>
      <w:r w:rsidR="00BC1785" w:rsidRPr="0001617C">
        <w:rPr>
          <w:rFonts w:cs="Times New Roman"/>
          <w:sz w:val="24"/>
          <w:szCs w:val="24"/>
          <w:lang w:val="en-GB"/>
        </w:rPr>
        <w:t xml:space="preserve">. </w:t>
      </w:r>
      <w:r w:rsidR="000871BD" w:rsidRPr="0001617C">
        <w:rPr>
          <w:rFonts w:cs="Times New Roman"/>
          <w:sz w:val="24"/>
          <w:szCs w:val="24"/>
          <w:lang w:val="en-GB"/>
        </w:rPr>
        <w:t>These were m</w:t>
      </w:r>
      <w:r w:rsidR="00AC6312" w:rsidRPr="0001617C">
        <w:rPr>
          <w:rFonts w:cs="Times New Roman"/>
          <w:sz w:val="24"/>
          <w:szCs w:val="24"/>
          <w:lang w:val="en-GB"/>
        </w:rPr>
        <w:t xml:space="preserve">ainly </w:t>
      </w:r>
      <w:r w:rsidR="00F21C21" w:rsidRPr="0001617C">
        <w:rPr>
          <w:rFonts w:cs="Times New Roman"/>
          <w:sz w:val="24"/>
          <w:szCs w:val="24"/>
          <w:lang w:val="en-GB"/>
        </w:rPr>
        <w:t xml:space="preserve">against the </w:t>
      </w:r>
      <w:r w:rsidR="00AA6A35" w:rsidRPr="0001617C">
        <w:rPr>
          <w:rFonts w:cs="Times New Roman"/>
          <w:sz w:val="24"/>
          <w:szCs w:val="24"/>
          <w:lang w:val="en-GB"/>
        </w:rPr>
        <w:t>master</w:t>
      </w:r>
      <w:r w:rsidR="00F21C21" w:rsidRPr="0001617C">
        <w:rPr>
          <w:rFonts w:cs="Times New Roman"/>
          <w:sz w:val="24"/>
          <w:szCs w:val="24"/>
          <w:lang w:val="en-GB"/>
        </w:rPr>
        <w:t xml:space="preserve"> </w:t>
      </w:r>
      <w:r w:rsidR="00BC1785" w:rsidRPr="0001617C">
        <w:rPr>
          <w:rFonts w:cs="Times New Roman"/>
          <w:sz w:val="24"/>
          <w:szCs w:val="24"/>
          <w:lang w:val="en-GB"/>
        </w:rPr>
        <w:t xml:space="preserve">of </w:t>
      </w:r>
      <w:r w:rsidR="00DB43DC" w:rsidRPr="0001617C">
        <w:rPr>
          <w:rFonts w:cs="Times New Roman"/>
          <w:i/>
          <w:iCs/>
          <w:sz w:val="24"/>
          <w:szCs w:val="24"/>
          <w:lang w:val="en-GB"/>
        </w:rPr>
        <w:t>The Prestige</w:t>
      </w:r>
      <w:r w:rsidR="00F21C21" w:rsidRPr="0001617C">
        <w:rPr>
          <w:rFonts w:cs="Times New Roman"/>
          <w:sz w:val="24"/>
          <w:szCs w:val="24"/>
          <w:lang w:val="en-GB"/>
        </w:rPr>
        <w:t xml:space="preserve">, </w:t>
      </w:r>
      <w:r w:rsidR="00BC1785" w:rsidRPr="0001617C">
        <w:rPr>
          <w:rFonts w:cs="Times New Roman"/>
          <w:sz w:val="24"/>
          <w:szCs w:val="24"/>
          <w:lang w:val="en-GB"/>
        </w:rPr>
        <w:t xml:space="preserve">its </w:t>
      </w:r>
      <w:r w:rsidR="00AC6312" w:rsidRPr="0001617C">
        <w:rPr>
          <w:rFonts w:cs="Times New Roman"/>
          <w:sz w:val="24"/>
          <w:szCs w:val="24"/>
          <w:lang w:val="en-GB"/>
        </w:rPr>
        <w:t>owner</w:t>
      </w:r>
      <w:r w:rsidR="00F21C21" w:rsidRPr="0001617C">
        <w:rPr>
          <w:rFonts w:cs="Times New Roman"/>
          <w:sz w:val="24"/>
          <w:szCs w:val="24"/>
          <w:lang w:val="en-GB"/>
        </w:rPr>
        <w:t xml:space="preserve">, the </w:t>
      </w:r>
      <w:r w:rsidR="00EE3611" w:rsidRPr="0001617C">
        <w:rPr>
          <w:rFonts w:cs="Times New Roman"/>
          <w:sz w:val="24"/>
          <w:szCs w:val="24"/>
          <w:lang w:val="en-GB"/>
        </w:rPr>
        <w:t xml:space="preserve">P&amp;I </w:t>
      </w:r>
      <w:r w:rsidR="007D7BA3" w:rsidRPr="0001617C">
        <w:rPr>
          <w:rFonts w:cs="Times New Roman"/>
          <w:sz w:val="24"/>
          <w:szCs w:val="24"/>
          <w:lang w:val="en-GB"/>
        </w:rPr>
        <w:t>C</w:t>
      </w:r>
      <w:r w:rsidR="00EE3611" w:rsidRPr="0001617C">
        <w:rPr>
          <w:rFonts w:cs="Times New Roman"/>
          <w:sz w:val="24"/>
          <w:szCs w:val="24"/>
          <w:lang w:val="en-GB"/>
        </w:rPr>
        <w:t xml:space="preserve">lub </w:t>
      </w:r>
      <w:r w:rsidR="00F21C21" w:rsidRPr="0001617C">
        <w:rPr>
          <w:rFonts w:cs="Times New Roman"/>
          <w:sz w:val="24"/>
          <w:szCs w:val="24"/>
          <w:lang w:val="en-GB"/>
        </w:rPr>
        <w:t xml:space="preserve">and </w:t>
      </w:r>
      <w:r w:rsidR="004F324A" w:rsidRPr="0001617C">
        <w:rPr>
          <w:rFonts w:cs="Times New Roman"/>
          <w:sz w:val="24"/>
          <w:szCs w:val="24"/>
          <w:lang w:val="en-GB"/>
        </w:rPr>
        <w:t xml:space="preserve">the </w:t>
      </w:r>
      <w:r w:rsidR="009D1063" w:rsidRPr="0001617C">
        <w:rPr>
          <w:rFonts w:cs="Times New Roman"/>
          <w:sz w:val="24"/>
          <w:szCs w:val="24"/>
          <w:lang w:val="en-GB"/>
        </w:rPr>
        <w:t>IOPC Fund</w:t>
      </w:r>
      <w:r w:rsidRPr="0001617C">
        <w:rPr>
          <w:rFonts w:cs="Times New Roman"/>
          <w:sz w:val="24"/>
          <w:szCs w:val="24"/>
          <w:lang w:val="en-GB"/>
        </w:rPr>
        <w:t xml:space="preserve">. </w:t>
      </w:r>
      <w:r w:rsidR="00AC104C" w:rsidRPr="0001617C">
        <w:rPr>
          <w:rFonts w:cs="Times New Roman"/>
          <w:sz w:val="24"/>
          <w:szCs w:val="24"/>
          <w:lang w:val="en-GB"/>
        </w:rPr>
        <w:t xml:space="preserve">The P&amp;I </w:t>
      </w:r>
      <w:r w:rsidR="00D33AFB" w:rsidRPr="0001617C">
        <w:rPr>
          <w:rFonts w:cs="Times New Roman"/>
          <w:sz w:val="24"/>
          <w:szCs w:val="24"/>
          <w:lang w:val="en-GB"/>
        </w:rPr>
        <w:t>C</w:t>
      </w:r>
      <w:r w:rsidR="00AC104C" w:rsidRPr="0001617C">
        <w:rPr>
          <w:rFonts w:cs="Times New Roman"/>
          <w:sz w:val="24"/>
          <w:szCs w:val="24"/>
          <w:lang w:val="en-GB"/>
        </w:rPr>
        <w:t xml:space="preserve">lub </w:t>
      </w:r>
      <w:r w:rsidR="00D33AFB" w:rsidRPr="0001617C">
        <w:rPr>
          <w:rFonts w:cs="Times New Roman"/>
          <w:sz w:val="24"/>
          <w:szCs w:val="24"/>
          <w:lang w:val="en-GB"/>
        </w:rPr>
        <w:t>was</w:t>
      </w:r>
      <w:r w:rsidR="00AC104C" w:rsidRPr="0001617C">
        <w:rPr>
          <w:rFonts w:cs="Times New Roman"/>
          <w:sz w:val="24"/>
          <w:szCs w:val="24"/>
          <w:lang w:val="en-GB"/>
        </w:rPr>
        <w:t xml:space="preserve"> summoned to court as a civil liability defendant, but d</w:t>
      </w:r>
      <w:r w:rsidR="00D33AFB" w:rsidRPr="0001617C">
        <w:rPr>
          <w:rFonts w:cs="Times New Roman"/>
          <w:sz w:val="24"/>
          <w:szCs w:val="24"/>
          <w:lang w:val="en-GB"/>
        </w:rPr>
        <w:t>id</w:t>
      </w:r>
      <w:r w:rsidR="00AC104C" w:rsidRPr="0001617C">
        <w:rPr>
          <w:rFonts w:cs="Times New Roman"/>
          <w:sz w:val="24"/>
          <w:szCs w:val="24"/>
          <w:lang w:val="en-GB"/>
        </w:rPr>
        <w:t xml:space="preserve"> not appear</w:t>
      </w:r>
      <w:r w:rsidR="004F324A" w:rsidRPr="0001617C">
        <w:rPr>
          <w:rFonts w:cs="Times New Roman"/>
          <w:sz w:val="24"/>
          <w:szCs w:val="24"/>
          <w:lang w:val="en-GB"/>
        </w:rPr>
        <w:t xml:space="preserve">. However, under the </w:t>
      </w:r>
      <w:r w:rsidR="00AC104C" w:rsidRPr="0001617C">
        <w:rPr>
          <w:rFonts w:cs="Times New Roman"/>
          <w:sz w:val="24"/>
          <w:szCs w:val="24"/>
          <w:lang w:val="en-GB"/>
        </w:rPr>
        <w:t xml:space="preserve">P&amp;I policy </w:t>
      </w:r>
      <w:r w:rsidR="004F324A" w:rsidRPr="0001617C">
        <w:rPr>
          <w:rFonts w:cs="Times New Roman"/>
          <w:sz w:val="24"/>
          <w:szCs w:val="24"/>
          <w:lang w:val="en-GB"/>
        </w:rPr>
        <w:t xml:space="preserve">taken out </w:t>
      </w:r>
      <w:r w:rsidR="003779AA" w:rsidRPr="0001617C">
        <w:rPr>
          <w:rFonts w:cs="Times New Roman"/>
          <w:sz w:val="24"/>
          <w:szCs w:val="24"/>
          <w:lang w:val="en-GB"/>
        </w:rPr>
        <w:t>by the insured party</w:t>
      </w:r>
      <w:r w:rsidR="00EE3611" w:rsidRPr="0001617C">
        <w:rPr>
          <w:rFonts w:cs="Times New Roman"/>
          <w:sz w:val="24"/>
          <w:szCs w:val="24"/>
          <w:lang w:val="en-GB"/>
        </w:rPr>
        <w:t xml:space="preserve">, it </w:t>
      </w:r>
      <w:r w:rsidR="00AC104C" w:rsidRPr="0001617C">
        <w:rPr>
          <w:rFonts w:cs="Times New Roman"/>
          <w:sz w:val="24"/>
          <w:szCs w:val="24"/>
          <w:lang w:val="en-GB"/>
        </w:rPr>
        <w:t>provide</w:t>
      </w:r>
      <w:r w:rsidR="003779AA" w:rsidRPr="0001617C">
        <w:rPr>
          <w:rFonts w:cs="Times New Roman"/>
          <w:sz w:val="24"/>
          <w:szCs w:val="24"/>
          <w:lang w:val="en-GB"/>
        </w:rPr>
        <w:t>d</w:t>
      </w:r>
      <w:r w:rsidR="00AC104C" w:rsidRPr="0001617C">
        <w:rPr>
          <w:rFonts w:cs="Times New Roman"/>
          <w:sz w:val="24"/>
          <w:szCs w:val="24"/>
          <w:lang w:val="en-GB"/>
        </w:rPr>
        <w:t xml:space="preserve"> legal defence for the ship</w:t>
      </w:r>
      <w:r w:rsidR="00B84357" w:rsidRPr="0001617C">
        <w:rPr>
          <w:rFonts w:cs="Times New Roman"/>
          <w:sz w:val="24"/>
          <w:szCs w:val="24"/>
          <w:lang w:val="en-GB"/>
        </w:rPr>
        <w:t>’</w:t>
      </w:r>
      <w:r w:rsidR="00885EC2" w:rsidRPr="0001617C">
        <w:rPr>
          <w:rFonts w:cs="Times New Roman"/>
          <w:sz w:val="24"/>
          <w:szCs w:val="24"/>
          <w:lang w:val="en-GB"/>
        </w:rPr>
        <w:t xml:space="preserve">s </w:t>
      </w:r>
      <w:r w:rsidR="00F96F88" w:rsidRPr="0001617C">
        <w:rPr>
          <w:rFonts w:cs="Times New Roman"/>
          <w:sz w:val="24"/>
          <w:szCs w:val="24"/>
          <w:lang w:val="en-GB"/>
        </w:rPr>
        <w:t>master</w:t>
      </w:r>
      <w:r w:rsidR="00AC104C" w:rsidRPr="0001617C">
        <w:rPr>
          <w:rFonts w:cs="Times New Roman"/>
          <w:sz w:val="24"/>
          <w:szCs w:val="24"/>
          <w:lang w:val="en-GB"/>
        </w:rPr>
        <w:t xml:space="preserve">. </w:t>
      </w:r>
      <w:r w:rsidRPr="0001617C">
        <w:rPr>
          <w:rFonts w:cs="Times New Roman"/>
          <w:sz w:val="24"/>
          <w:szCs w:val="24"/>
          <w:lang w:val="en-GB"/>
        </w:rPr>
        <w:t xml:space="preserve">The main </w:t>
      </w:r>
      <w:r w:rsidR="000C6FBE" w:rsidRPr="0001617C">
        <w:rPr>
          <w:rFonts w:cs="Times New Roman"/>
          <w:sz w:val="24"/>
          <w:szCs w:val="24"/>
          <w:lang w:val="en-GB"/>
        </w:rPr>
        <w:t xml:space="preserve">civil liability </w:t>
      </w:r>
      <w:r w:rsidRPr="0001617C">
        <w:rPr>
          <w:rFonts w:cs="Times New Roman"/>
          <w:sz w:val="24"/>
          <w:szCs w:val="24"/>
          <w:lang w:val="en-GB"/>
        </w:rPr>
        <w:t xml:space="preserve">claimant </w:t>
      </w:r>
      <w:r w:rsidR="00885EC2" w:rsidRPr="0001617C">
        <w:rPr>
          <w:rFonts w:cs="Times New Roman"/>
          <w:sz w:val="24"/>
          <w:szCs w:val="24"/>
          <w:lang w:val="en-GB"/>
        </w:rPr>
        <w:t>wa</w:t>
      </w:r>
      <w:r w:rsidR="00AC6312" w:rsidRPr="0001617C">
        <w:rPr>
          <w:rFonts w:cs="Times New Roman"/>
          <w:sz w:val="24"/>
          <w:szCs w:val="24"/>
          <w:lang w:val="en-GB"/>
        </w:rPr>
        <w:t xml:space="preserve">s the </w:t>
      </w:r>
      <w:r w:rsidRPr="0001617C">
        <w:rPr>
          <w:rFonts w:cs="Times New Roman"/>
          <w:sz w:val="24"/>
          <w:szCs w:val="24"/>
          <w:lang w:val="en-GB"/>
        </w:rPr>
        <w:t>Spanish State</w:t>
      </w:r>
      <w:r w:rsidR="00885EC2" w:rsidRPr="0001617C">
        <w:rPr>
          <w:rFonts w:cs="Times New Roman"/>
          <w:sz w:val="24"/>
          <w:szCs w:val="24"/>
          <w:lang w:val="en-GB"/>
        </w:rPr>
        <w:t>, with</w:t>
      </w:r>
      <w:r w:rsidR="007D430C" w:rsidRPr="0001617C">
        <w:rPr>
          <w:rFonts w:cs="Times New Roman"/>
          <w:sz w:val="24"/>
          <w:szCs w:val="24"/>
          <w:lang w:val="en-GB"/>
        </w:rPr>
        <w:t xml:space="preserve"> </w:t>
      </w:r>
      <w:r w:rsidR="00885EC2" w:rsidRPr="0001617C">
        <w:rPr>
          <w:rFonts w:cs="Times New Roman"/>
          <w:sz w:val="24"/>
          <w:szCs w:val="24"/>
          <w:lang w:val="en-GB"/>
        </w:rPr>
        <w:t>p</w:t>
      </w:r>
      <w:r w:rsidR="00BC1785" w:rsidRPr="0001617C">
        <w:rPr>
          <w:rFonts w:cs="Times New Roman"/>
          <w:sz w:val="24"/>
          <w:szCs w:val="24"/>
          <w:lang w:val="en-GB"/>
        </w:rPr>
        <w:t xml:space="preserve">art of its </w:t>
      </w:r>
      <w:r w:rsidR="007D430C" w:rsidRPr="0001617C">
        <w:rPr>
          <w:rFonts w:cs="Times New Roman"/>
          <w:sz w:val="24"/>
          <w:szCs w:val="24"/>
          <w:lang w:val="en-GB"/>
        </w:rPr>
        <w:t xml:space="preserve">claim </w:t>
      </w:r>
      <w:r w:rsidR="00885EC2" w:rsidRPr="0001617C">
        <w:rPr>
          <w:rFonts w:cs="Times New Roman"/>
          <w:sz w:val="24"/>
          <w:szCs w:val="24"/>
          <w:lang w:val="en-GB"/>
        </w:rPr>
        <w:t>being</w:t>
      </w:r>
      <w:r w:rsidR="007D430C" w:rsidRPr="0001617C">
        <w:rPr>
          <w:rFonts w:cs="Times New Roman"/>
          <w:sz w:val="24"/>
          <w:szCs w:val="24"/>
          <w:lang w:val="en-GB"/>
        </w:rPr>
        <w:t xml:space="preserve"> for compensation advanced to those affected</w:t>
      </w:r>
      <w:r w:rsidR="00EE3611" w:rsidRPr="0001617C">
        <w:rPr>
          <w:rFonts w:cs="Times New Roman"/>
          <w:sz w:val="24"/>
          <w:szCs w:val="24"/>
          <w:lang w:val="en-GB"/>
        </w:rPr>
        <w:t xml:space="preserve">. </w:t>
      </w:r>
    </w:p>
    <w:p w14:paraId="286FF842" w14:textId="477BDEF3" w:rsidR="00E23A92" w:rsidRPr="0001617C" w:rsidRDefault="00EE3611">
      <w:pPr>
        <w:autoSpaceDE w:val="0"/>
        <w:autoSpaceDN w:val="0"/>
        <w:adjustRightInd w:val="0"/>
        <w:spacing w:before="120" w:after="120" w:line="240" w:lineRule="auto"/>
        <w:jc w:val="both"/>
        <w:rPr>
          <w:rFonts w:cs="Times New Roman"/>
          <w:sz w:val="24"/>
          <w:szCs w:val="24"/>
          <w:lang w:val="en-GB"/>
        </w:rPr>
      </w:pPr>
      <w:r w:rsidRPr="0001617C">
        <w:rPr>
          <w:rFonts w:cs="Times New Roman"/>
          <w:sz w:val="24"/>
          <w:szCs w:val="24"/>
          <w:lang w:val="en-GB"/>
        </w:rPr>
        <w:t xml:space="preserve">The trial concluded with </w:t>
      </w:r>
      <w:r w:rsidR="000C6FBE" w:rsidRPr="0001617C">
        <w:rPr>
          <w:rFonts w:cs="Times New Roman"/>
          <w:sz w:val="24"/>
          <w:szCs w:val="24"/>
          <w:lang w:val="en-GB"/>
        </w:rPr>
        <w:t>the judgement of the Provincial Court of A Coruña of 13 November 2013</w:t>
      </w:r>
      <w:r w:rsidR="001F1CD7" w:rsidRPr="0001617C">
        <w:rPr>
          <w:rFonts w:cs="Times New Roman"/>
          <w:sz w:val="24"/>
          <w:szCs w:val="24"/>
          <w:lang w:val="en-GB"/>
        </w:rPr>
        <w:t>.</w:t>
      </w:r>
      <w:r w:rsidR="000C6FBE" w:rsidRPr="0001617C">
        <w:rPr>
          <w:rStyle w:val="Refdenotaalpie"/>
          <w:rFonts w:cs="Times New Roman"/>
          <w:sz w:val="24"/>
          <w:szCs w:val="24"/>
          <w:lang w:val="en-GB"/>
        </w:rPr>
        <w:footnoteReference w:id="2"/>
      </w:r>
      <w:r w:rsidRPr="0001617C">
        <w:rPr>
          <w:rFonts w:cs="Times New Roman"/>
          <w:sz w:val="24"/>
          <w:szCs w:val="24"/>
          <w:lang w:val="en-GB"/>
        </w:rPr>
        <w:t xml:space="preserve"> </w:t>
      </w:r>
      <w:r w:rsidR="000C6FBE" w:rsidRPr="0001617C">
        <w:rPr>
          <w:rFonts w:cs="Times New Roman"/>
          <w:sz w:val="24"/>
          <w:szCs w:val="24"/>
          <w:lang w:val="en-GB"/>
        </w:rPr>
        <w:t xml:space="preserve">It </w:t>
      </w:r>
      <w:r w:rsidR="00BB539D" w:rsidRPr="0001617C">
        <w:rPr>
          <w:rFonts w:cs="Times New Roman"/>
          <w:sz w:val="24"/>
          <w:szCs w:val="24"/>
          <w:lang w:val="en-GB"/>
        </w:rPr>
        <w:t xml:space="preserve">acquitted </w:t>
      </w:r>
      <w:r w:rsidR="000C6FBE" w:rsidRPr="0001617C">
        <w:rPr>
          <w:rFonts w:cs="Times New Roman"/>
          <w:sz w:val="24"/>
          <w:szCs w:val="24"/>
          <w:lang w:val="en-GB"/>
        </w:rPr>
        <w:t>the captain, the first officer and the Director General of the Merchant Navy of the crimes against the environment and damage to natural areas</w:t>
      </w:r>
      <w:r w:rsidR="00243170" w:rsidRPr="0001617C">
        <w:rPr>
          <w:rFonts w:cs="Times New Roman"/>
          <w:sz w:val="24"/>
          <w:szCs w:val="24"/>
          <w:lang w:val="en-GB"/>
        </w:rPr>
        <w:t>,</w:t>
      </w:r>
      <w:r w:rsidR="000C6FBE" w:rsidRPr="0001617C">
        <w:rPr>
          <w:rFonts w:cs="Times New Roman"/>
          <w:sz w:val="24"/>
          <w:szCs w:val="24"/>
          <w:lang w:val="en-GB"/>
        </w:rPr>
        <w:t xml:space="preserve"> </w:t>
      </w:r>
      <w:r w:rsidR="00243170" w:rsidRPr="0001617C">
        <w:rPr>
          <w:rFonts w:cs="Times New Roman"/>
          <w:sz w:val="24"/>
          <w:szCs w:val="24"/>
          <w:lang w:val="en-GB"/>
        </w:rPr>
        <w:t>also</w:t>
      </w:r>
      <w:r w:rsidR="000C6FBE" w:rsidRPr="0001617C">
        <w:rPr>
          <w:rFonts w:cs="Times New Roman"/>
          <w:sz w:val="24"/>
          <w:szCs w:val="24"/>
          <w:lang w:val="en-GB"/>
        </w:rPr>
        <w:t xml:space="preserve"> </w:t>
      </w:r>
      <w:r w:rsidR="00243170" w:rsidRPr="0001617C">
        <w:rPr>
          <w:rFonts w:cs="Times New Roman"/>
          <w:sz w:val="24"/>
          <w:szCs w:val="24"/>
          <w:lang w:val="en-GB"/>
        </w:rPr>
        <w:t>acquitting</w:t>
      </w:r>
      <w:r w:rsidR="000C6FBE" w:rsidRPr="0001617C">
        <w:rPr>
          <w:rFonts w:cs="Times New Roman"/>
          <w:sz w:val="24"/>
          <w:szCs w:val="24"/>
          <w:lang w:val="en-GB"/>
        </w:rPr>
        <w:t xml:space="preserve"> the first officer of the crime of disobe</w:t>
      </w:r>
      <w:r w:rsidR="00373BD3" w:rsidRPr="0001617C">
        <w:rPr>
          <w:rFonts w:cs="Times New Roman"/>
          <w:sz w:val="24"/>
          <w:szCs w:val="24"/>
          <w:lang w:val="en-GB"/>
        </w:rPr>
        <w:t>ying orders</w:t>
      </w:r>
      <w:r w:rsidR="000C6FBE" w:rsidRPr="0001617C">
        <w:rPr>
          <w:rFonts w:cs="Times New Roman"/>
          <w:sz w:val="24"/>
          <w:szCs w:val="24"/>
          <w:lang w:val="en-GB"/>
        </w:rPr>
        <w:t xml:space="preserve">. </w:t>
      </w:r>
      <w:r w:rsidR="00373BD3" w:rsidRPr="0001617C">
        <w:rPr>
          <w:rFonts w:cs="Times New Roman"/>
          <w:sz w:val="24"/>
          <w:szCs w:val="24"/>
          <w:lang w:val="en-GB"/>
        </w:rPr>
        <w:t>However</w:t>
      </w:r>
      <w:r w:rsidR="000C6FBE" w:rsidRPr="0001617C">
        <w:rPr>
          <w:rFonts w:cs="Times New Roman"/>
          <w:sz w:val="24"/>
          <w:szCs w:val="24"/>
          <w:lang w:val="en-GB"/>
        </w:rPr>
        <w:t xml:space="preserve">, the </w:t>
      </w:r>
      <w:r w:rsidR="00CB4985" w:rsidRPr="0001617C">
        <w:rPr>
          <w:rFonts w:cs="Times New Roman"/>
          <w:sz w:val="24"/>
          <w:szCs w:val="24"/>
          <w:lang w:val="en-GB"/>
        </w:rPr>
        <w:t>master</w:t>
      </w:r>
      <w:r w:rsidR="000C6FBE" w:rsidRPr="0001617C">
        <w:rPr>
          <w:rFonts w:cs="Times New Roman"/>
          <w:sz w:val="24"/>
          <w:szCs w:val="24"/>
          <w:lang w:val="en-GB"/>
        </w:rPr>
        <w:t xml:space="preserve"> </w:t>
      </w:r>
      <w:r w:rsidR="00E17EC6" w:rsidRPr="0001617C">
        <w:rPr>
          <w:rFonts w:cs="Times New Roman"/>
          <w:sz w:val="24"/>
          <w:szCs w:val="24"/>
          <w:lang w:val="en-GB"/>
        </w:rPr>
        <w:t xml:space="preserve">was found </w:t>
      </w:r>
      <w:r w:rsidR="000C6FBE" w:rsidRPr="0001617C">
        <w:rPr>
          <w:rFonts w:cs="Times New Roman"/>
          <w:sz w:val="24"/>
          <w:szCs w:val="24"/>
          <w:lang w:val="en-GB"/>
        </w:rPr>
        <w:t>criminally responsible for the offence of serious disobedience to authority</w:t>
      </w:r>
      <w:r w:rsidR="004F324A" w:rsidRPr="0001617C">
        <w:rPr>
          <w:rFonts w:cs="Times New Roman"/>
          <w:sz w:val="24"/>
          <w:szCs w:val="24"/>
          <w:lang w:val="en-GB"/>
        </w:rPr>
        <w:t xml:space="preserve">. </w:t>
      </w:r>
    </w:p>
    <w:p w14:paraId="44B80203" w14:textId="3038BF1F" w:rsidR="00E23A92" w:rsidRPr="0001617C" w:rsidRDefault="00AC104C">
      <w:pPr>
        <w:spacing w:before="120" w:after="120" w:line="240" w:lineRule="auto"/>
        <w:jc w:val="both"/>
        <w:rPr>
          <w:rFonts w:cs="Times New Roman"/>
          <w:sz w:val="24"/>
          <w:szCs w:val="24"/>
          <w:lang w:val="en-GB"/>
        </w:rPr>
      </w:pPr>
      <w:r w:rsidRPr="0001617C">
        <w:rPr>
          <w:rFonts w:cs="Times New Roman"/>
          <w:sz w:val="24"/>
          <w:szCs w:val="24"/>
          <w:lang w:val="en-GB"/>
        </w:rPr>
        <w:t xml:space="preserve">The judgement </w:t>
      </w:r>
      <w:r w:rsidR="00BB539D" w:rsidRPr="0001617C">
        <w:rPr>
          <w:rFonts w:cs="Times New Roman"/>
          <w:sz w:val="24"/>
          <w:szCs w:val="24"/>
          <w:lang w:val="en-GB"/>
        </w:rPr>
        <w:t xml:space="preserve">of the Provincial </w:t>
      </w:r>
      <w:r w:rsidR="00AA6A35" w:rsidRPr="0001617C">
        <w:rPr>
          <w:rFonts w:cs="Times New Roman"/>
          <w:sz w:val="24"/>
          <w:szCs w:val="24"/>
          <w:lang w:val="en-GB"/>
        </w:rPr>
        <w:t>Court of</w:t>
      </w:r>
      <w:r w:rsidR="00BB539D" w:rsidRPr="0001617C">
        <w:rPr>
          <w:rFonts w:cs="Times New Roman"/>
          <w:sz w:val="24"/>
          <w:szCs w:val="24"/>
          <w:lang w:val="en-GB"/>
        </w:rPr>
        <w:t xml:space="preserve"> A Coruña of 13 November 2013 </w:t>
      </w:r>
      <w:r w:rsidR="00E17EC6" w:rsidRPr="0001617C">
        <w:rPr>
          <w:rFonts w:cs="Times New Roman"/>
          <w:sz w:val="24"/>
          <w:szCs w:val="24"/>
          <w:lang w:val="en-GB"/>
        </w:rPr>
        <w:t xml:space="preserve">does not contain any </w:t>
      </w:r>
      <w:r w:rsidR="00361B9B" w:rsidRPr="0001617C">
        <w:rPr>
          <w:rFonts w:cs="Times New Roman"/>
          <w:sz w:val="24"/>
          <w:szCs w:val="24"/>
          <w:lang w:val="en-GB"/>
        </w:rPr>
        <w:t xml:space="preserve">mention </w:t>
      </w:r>
      <w:r w:rsidR="00E17EC6" w:rsidRPr="0001617C">
        <w:rPr>
          <w:rFonts w:cs="Times New Roman"/>
          <w:sz w:val="24"/>
          <w:szCs w:val="24"/>
          <w:lang w:val="en-GB"/>
        </w:rPr>
        <w:t xml:space="preserve">of </w:t>
      </w:r>
      <w:r w:rsidR="00361B9B" w:rsidRPr="0001617C">
        <w:rPr>
          <w:rFonts w:cs="Times New Roman"/>
          <w:sz w:val="24"/>
          <w:szCs w:val="24"/>
          <w:lang w:val="en-GB"/>
        </w:rPr>
        <w:t xml:space="preserve">the </w:t>
      </w:r>
      <w:r w:rsidRPr="0001617C">
        <w:rPr>
          <w:rFonts w:cs="Times New Roman"/>
          <w:sz w:val="24"/>
          <w:szCs w:val="24"/>
          <w:lang w:val="en-GB"/>
        </w:rPr>
        <w:t xml:space="preserve">civil liability of </w:t>
      </w:r>
      <w:r w:rsidR="00BC1785" w:rsidRPr="0001617C">
        <w:rPr>
          <w:rFonts w:cs="Times New Roman"/>
          <w:sz w:val="24"/>
          <w:szCs w:val="24"/>
          <w:lang w:val="en-GB"/>
        </w:rPr>
        <w:t xml:space="preserve">the P&amp;I </w:t>
      </w:r>
      <w:r w:rsidR="00637497" w:rsidRPr="0001617C">
        <w:rPr>
          <w:rFonts w:cs="Times New Roman"/>
          <w:sz w:val="24"/>
          <w:szCs w:val="24"/>
          <w:lang w:val="en-GB"/>
        </w:rPr>
        <w:t>C</w:t>
      </w:r>
      <w:r w:rsidR="00BC1785" w:rsidRPr="0001617C">
        <w:rPr>
          <w:rFonts w:cs="Times New Roman"/>
          <w:sz w:val="24"/>
          <w:szCs w:val="24"/>
          <w:lang w:val="en-GB"/>
        </w:rPr>
        <w:t>lub</w:t>
      </w:r>
      <w:r w:rsidR="007D430C" w:rsidRPr="0001617C">
        <w:rPr>
          <w:rFonts w:cs="Times New Roman"/>
          <w:sz w:val="24"/>
          <w:szCs w:val="24"/>
          <w:lang w:val="en-GB"/>
        </w:rPr>
        <w:t xml:space="preserve">. </w:t>
      </w:r>
      <w:r w:rsidR="00637497" w:rsidRPr="0001617C">
        <w:rPr>
          <w:rFonts w:cs="Times New Roman"/>
          <w:sz w:val="24"/>
          <w:szCs w:val="24"/>
          <w:lang w:val="en-GB"/>
        </w:rPr>
        <w:t>I</w:t>
      </w:r>
      <w:r w:rsidR="00BB31A4" w:rsidRPr="0001617C">
        <w:rPr>
          <w:rFonts w:cs="Times New Roman"/>
          <w:sz w:val="24"/>
          <w:szCs w:val="24"/>
          <w:lang w:val="en-GB"/>
        </w:rPr>
        <w:t xml:space="preserve">mmediately after the incident, </w:t>
      </w:r>
      <w:r w:rsidR="00637497" w:rsidRPr="0001617C">
        <w:rPr>
          <w:rFonts w:cs="Times New Roman"/>
          <w:sz w:val="24"/>
          <w:szCs w:val="24"/>
          <w:lang w:val="en-GB"/>
        </w:rPr>
        <w:t xml:space="preserve">the P&amp;I Club </w:t>
      </w:r>
      <w:r w:rsidR="00BB31A4" w:rsidRPr="0001617C">
        <w:rPr>
          <w:rFonts w:cs="Times New Roman"/>
          <w:sz w:val="24"/>
          <w:szCs w:val="24"/>
          <w:lang w:val="en-GB"/>
        </w:rPr>
        <w:t xml:space="preserve">deposited a compensation fund of </w:t>
      </w:r>
      <w:r w:rsidR="00820DBD" w:rsidRPr="0001617C">
        <w:rPr>
          <w:rFonts w:cs="Times New Roman"/>
          <w:sz w:val="24"/>
          <w:szCs w:val="24"/>
          <w:lang w:val="en-GB"/>
        </w:rPr>
        <w:t xml:space="preserve">EUR </w:t>
      </w:r>
      <w:r w:rsidR="00BB31A4" w:rsidRPr="0001617C">
        <w:rPr>
          <w:rFonts w:cs="Times New Roman"/>
          <w:sz w:val="24"/>
          <w:szCs w:val="24"/>
          <w:lang w:val="en-GB"/>
        </w:rPr>
        <w:t>22</w:t>
      </w:r>
      <w:r w:rsidR="00820DBD" w:rsidRPr="0001617C">
        <w:rPr>
          <w:rFonts w:cs="Times New Roman"/>
          <w:sz w:val="24"/>
          <w:szCs w:val="24"/>
          <w:lang w:val="en-GB"/>
        </w:rPr>
        <w:t>,</w:t>
      </w:r>
      <w:r w:rsidR="00BB31A4" w:rsidRPr="0001617C">
        <w:rPr>
          <w:rFonts w:cs="Times New Roman"/>
          <w:sz w:val="24"/>
          <w:szCs w:val="24"/>
          <w:lang w:val="en-GB"/>
        </w:rPr>
        <w:t>777</w:t>
      </w:r>
      <w:r w:rsidR="00820DBD" w:rsidRPr="0001617C">
        <w:rPr>
          <w:rFonts w:cs="Times New Roman"/>
          <w:sz w:val="24"/>
          <w:szCs w:val="24"/>
          <w:lang w:val="en-GB"/>
        </w:rPr>
        <w:t>,</w:t>
      </w:r>
      <w:r w:rsidR="00BB31A4" w:rsidRPr="0001617C">
        <w:rPr>
          <w:rFonts w:cs="Times New Roman"/>
          <w:sz w:val="24"/>
          <w:szCs w:val="24"/>
          <w:lang w:val="en-GB"/>
        </w:rPr>
        <w:t xml:space="preserve">986 with the Court of Concurbión. This amount </w:t>
      </w:r>
      <w:r w:rsidR="00BB31A4" w:rsidRPr="0001617C">
        <w:rPr>
          <w:rFonts w:eastAsia="Calibri" w:cs="Times New Roman"/>
          <w:sz w:val="24"/>
          <w:szCs w:val="24"/>
          <w:lang w:val="en-GB"/>
        </w:rPr>
        <w:t xml:space="preserve">is the result of </w:t>
      </w:r>
      <w:r w:rsidR="00BB31A4" w:rsidRPr="0001617C">
        <w:rPr>
          <w:rFonts w:cs="Times New Roman"/>
          <w:sz w:val="24"/>
          <w:szCs w:val="24"/>
          <w:lang w:val="en-GB"/>
        </w:rPr>
        <w:t xml:space="preserve">multiplying the tonnage of </w:t>
      </w:r>
      <w:r w:rsidR="00DB43DC" w:rsidRPr="0001617C">
        <w:rPr>
          <w:rFonts w:cs="Times New Roman"/>
          <w:i/>
          <w:iCs/>
          <w:sz w:val="24"/>
          <w:szCs w:val="24"/>
          <w:lang w:val="en-GB"/>
        </w:rPr>
        <w:t>The Prestige</w:t>
      </w:r>
      <w:r w:rsidR="00BB31A4" w:rsidRPr="0001617C">
        <w:rPr>
          <w:rFonts w:cs="Times New Roman"/>
          <w:sz w:val="24"/>
          <w:szCs w:val="24"/>
          <w:lang w:val="en-GB"/>
        </w:rPr>
        <w:t xml:space="preserve"> by the units of account laid down in the </w:t>
      </w:r>
      <w:r w:rsidR="00C3123A" w:rsidRPr="0001617C">
        <w:rPr>
          <w:sz w:val="24"/>
          <w:szCs w:val="24"/>
          <w:lang w:val="en-GB"/>
        </w:rPr>
        <w:t>International Convention on Civil Liability for Oil Pollution Damage, 1992 (hereinafter</w:t>
      </w:r>
      <w:r w:rsidR="00AD5E57" w:rsidRPr="0001617C">
        <w:rPr>
          <w:sz w:val="24"/>
          <w:szCs w:val="24"/>
          <w:lang w:val="en-GB"/>
        </w:rPr>
        <w:t>,</w:t>
      </w:r>
      <w:r w:rsidR="00C3123A" w:rsidRPr="0001617C">
        <w:rPr>
          <w:sz w:val="24"/>
          <w:szCs w:val="24"/>
          <w:lang w:val="en-GB"/>
        </w:rPr>
        <w:t xml:space="preserve"> the </w:t>
      </w:r>
      <w:r w:rsidR="0029009F" w:rsidRPr="0001617C">
        <w:rPr>
          <w:sz w:val="24"/>
          <w:szCs w:val="24"/>
          <w:lang w:val="en-GB"/>
        </w:rPr>
        <w:t>“</w:t>
      </w:r>
      <w:r w:rsidR="00C3123A" w:rsidRPr="0001617C">
        <w:rPr>
          <w:sz w:val="24"/>
          <w:szCs w:val="24"/>
          <w:lang w:val="en-GB"/>
        </w:rPr>
        <w:t>1992 Civil Liability Convention</w:t>
      </w:r>
      <w:r w:rsidR="0029009F" w:rsidRPr="0001617C">
        <w:rPr>
          <w:sz w:val="24"/>
          <w:szCs w:val="24"/>
          <w:lang w:val="en-GB"/>
        </w:rPr>
        <w:t>”</w:t>
      </w:r>
      <w:r w:rsidR="00C3123A" w:rsidRPr="0001617C">
        <w:rPr>
          <w:sz w:val="24"/>
          <w:szCs w:val="24"/>
          <w:lang w:val="en-GB"/>
        </w:rPr>
        <w:t>)</w:t>
      </w:r>
      <w:r w:rsidR="00C3123A" w:rsidRPr="0001617C">
        <w:rPr>
          <w:rFonts w:cs="Times New Roman"/>
          <w:sz w:val="24"/>
          <w:szCs w:val="24"/>
          <w:lang w:val="en-GB"/>
        </w:rPr>
        <w:t xml:space="preserve">. In </w:t>
      </w:r>
      <w:r w:rsidR="00BB31A4" w:rsidRPr="0001617C">
        <w:rPr>
          <w:rFonts w:cs="Times New Roman"/>
          <w:sz w:val="24"/>
          <w:szCs w:val="24"/>
          <w:lang w:val="en-GB"/>
        </w:rPr>
        <w:t xml:space="preserve">addition, the injured party </w:t>
      </w:r>
      <w:r w:rsidR="001A5C75" w:rsidRPr="0001617C">
        <w:rPr>
          <w:rFonts w:cs="Times New Roman"/>
          <w:sz w:val="24"/>
          <w:szCs w:val="24"/>
          <w:lang w:val="en-GB"/>
        </w:rPr>
        <w:t>could</w:t>
      </w:r>
      <w:r w:rsidR="00A043B4" w:rsidRPr="0001617C">
        <w:rPr>
          <w:rFonts w:cs="Times New Roman"/>
          <w:sz w:val="24"/>
          <w:szCs w:val="24"/>
          <w:lang w:val="en-GB"/>
        </w:rPr>
        <w:t xml:space="preserve"> take</w:t>
      </w:r>
      <w:r w:rsidR="00BB31A4" w:rsidRPr="0001617C">
        <w:rPr>
          <w:rFonts w:cs="Times New Roman"/>
          <w:sz w:val="24"/>
          <w:szCs w:val="24"/>
          <w:lang w:val="en-GB"/>
        </w:rPr>
        <w:t xml:space="preserve"> direct action to claim </w:t>
      </w:r>
      <w:r w:rsidR="00843A84" w:rsidRPr="0001617C">
        <w:rPr>
          <w:rFonts w:cs="Times New Roman"/>
          <w:sz w:val="24"/>
          <w:szCs w:val="24"/>
          <w:lang w:val="en-GB"/>
        </w:rPr>
        <w:t>an</w:t>
      </w:r>
      <w:r w:rsidR="00BB31A4" w:rsidRPr="0001617C">
        <w:rPr>
          <w:rFonts w:cs="Times New Roman"/>
          <w:sz w:val="24"/>
          <w:szCs w:val="24"/>
          <w:lang w:val="en-GB"/>
        </w:rPr>
        <w:t xml:space="preserve"> amount </w:t>
      </w:r>
      <w:r w:rsidR="00EA49DC" w:rsidRPr="0001617C">
        <w:rPr>
          <w:rFonts w:cs="Times New Roman"/>
          <w:sz w:val="24"/>
          <w:szCs w:val="24"/>
          <w:lang w:val="en-GB"/>
        </w:rPr>
        <w:t>up to</w:t>
      </w:r>
      <w:r w:rsidR="00BB31A4" w:rsidRPr="0001617C">
        <w:rPr>
          <w:rFonts w:cs="Times New Roman"/>
          <w:sz w:val="24"/>
          <w:szCs w:val="24"/>
          <w:lang w:val="en-GB"/>
        </w:rPr>
        <w:t xml:space="preserve"> the compensation </w:t>
      </w:r>
      <w:r w:rsidR="00843A84" w:rsidRPr="0001617C">
        <w:rPr>
          <w:rFonts w:cs="Times New Roman"/>
          <w:sz w:val="24"/>
          <w:szCs w:val="24"/>
          <w:lang w:val="en-GB"/>
        </w:rPr>
        <w:t xml:space="preserve">limit </w:t>
      </w:r>
      <w:r w:rsidR="00BB31A4" w:rsidRPr="0001617C">
        <w:rPr>
          <w:rFonts w:cs="Times New Roman"/>
          <w:sz w:val="24"/>
          <w:szCs w:val="24"/>
          <w:lang w:val="en-GB"/>
        </w:rPr>
        <w:t>from the insurer or guarantor of the owner</w:t>
      </w:r>
      <w:r w:rsidR="00B84357" w:rsidRPr="0001617C">
        <w:rPr>
          <w:rFonts w:cs="Times New Roman"/>
          <w:sz w:val="24"/>
          <w:szCs w:val="24"/>
          <w:lang w:val="en-GB"/>
        </w:rPr>
        <w:t>’</w:t>
      </w:r>
      <w:r w:rsidR="00BB31A4" w:rsidRPr="0001617C">
        <w:rPr>
          <w:rFonts w:cs="Times New Roman"/>
          <w:sz w:val="24"/>
          <w:szCs w:val="24"/>
          <w:lang w:val="en-GB"/>
        </w:rPr>
        <w:t xml:space="preserve">s liability (Art. VII.8). In this case, it </w:t>
      </w:r>
      <w:r w:rsidR="00EA49DC" w:rsidRPr="0001617C">
        <w:rPr>
          <w:rFonts w:cs="Times New Roman"/>
          <w:sz w:val="24"/>
          <w:szCs w:val="24"/>
          <w:lang w:val="en-GB"/>
        </w:rPr>
        <w:t>was</w:t>
      </w:r>
      <w:r w:rsidR="00BB31A4" w:rsidRPr="0001617C">
        <w:rPr>
          <w:rFonts w:cs="Times New Roman"/>
          <w:sz w:val="24"/>
          <w:szCs w:val="24"/>
          <w:lang w:val="en-GB"/>
        </w:rPr>
        <w:t xml:space="preserve"> the P&amp;I Club</w:t>
      </w:r>
      <w:r w:rsidR="00EA49DC" w:rsidRPr="0001617C">
        <w:rPr>
          <w:rFonts w:cs="Times New Roman"/>
          <w:sz w:val="24"/>
          <w:szCs w:val="24"/>
          <w:lang w:val="en-GB"/>
        </w:rPr>
        <w:t>,</w:t>
      </w:r>
      <w:r w:rsidR="00BB31A4" w:rsidRPr="0001617C">
        <w:rPr>
          <w:rFonts w:cs="Times New Roman"/>
          <w:sz w:val="24"/>
          <w:szCs w:val="24"/>
          <w:lang w:val="en-GB"/>
        </w:rPr>
        <w:t xml:space="preserve"> as insurer</w:t>
      </w:r>
      <w:r w:rsidR="00EA49DC" w:rsidRPr="0001617C">
        <w:rPr>
          <w:rFonts w:cs="Times New Roman"/>
          <w:sz w:val="24"/>
          <w:szCs w:val="24"/>
          <w:lang w:val="en-GB"/>
        </w:rPr>
        <w:t>, which</w:t>
      </w:r>
      <w:r w:rsidR="00BB31A4" w:rsidRPr="0001617C">
        <w:rPr>
          <w:rFonts w:cs="Times New Roman"/>
          <w:sz w:val="24"/>
          <w:szCs w:val="24"/>
          <w:lang w:val="en-GB"/>
        </w:rPr>
        <w:t xml:space="preserve"> deposit</w:t>
      </w:r>
      <w:r w:rsidR="00EA49DC" w:rsidRPr="0001617C">
        <w:rPr>
          <w:rFonts w:cs="Times New Roman"/>
          <w:sz w:val="24"/>
          <w:szCs w:val="24"/>
          <w:lang w:val="en-GB"/>
        </w:rPr>
        <w:t>ed</w:t>
      </w:r>
      <w:r w:rsidR="00BB31A4" w:rsidRPr="0001617C">
        <w:rPr>
          <w:rFonts w:cs="Times New Roman"/>
          <w:sz w:val="24"/>
          <w:szCs w:val="24"/>
          <w:lang w:val="en-GB"/>
        </w:rPr>
        <w:t xml:space="preserve"> the compensation fund so that </w:t>
      </w:r>
      <w:r w:rsidR="003A0F98" w:rsidRPr="0001617C">
        <w:rPr>
          <w:rFonts w:cs="Times New Roman"/>
          <w:sz w:val="24"/>
          <w:szCs w:val="24"/>
          <w:lang w:val="en-GB"/>
        </w:rPr>
        <w:t>the</w:t>
      </w:r>
      <w:r w:rsidR="00BB31A4" w:rsidRPr="0001617C">
        <w:rPr>
          <w:rFonts w:cs="Times New Roman"/>
          <w:sz w:val="24"/>
          <w:szCs w:val="24"/>
          <w:lang w:val="en-GB"/>
        </w:rPr>
        <w:t xml:space="preserve"> insured c</w:t>
      </w:r>
      <w:r w:rsidR="003A0F98" w:rsidRPr="0001617C">
        <w:rPr>
          <w:rFonts w:cs="Times New Roman"/>
          <w:sz w:val="24"/>
          <w:szCs w:val="24"/>
          <w:lang w:val="en-GB"/>
        </w:rPr>
        <w:t>ould</w:t>
      </w:r>
      <w:r w:rsidR="00BB31A4" w:rsidRPr="0001617C">
        <w:rPr>
          <w:rFonts w:cs="Times New Roman"/>
          <w:sz w:val="24"/>
          <w:szCs w:val="24"/>
          <w:lang w:val="en-GB"/>
        </w:rPr>
        <w:t xml:space="preserve"> limit the compensation according to the above-mentioned Convention.</w:t>
      </w:r>
    </w:p>
    <w:p w14:paraId="623200C8" w14:textId="483F31FB" w:rsidR="00E23A92" w:rsidRPr="0001617C" w:rsidRDefault="00BB539D">
      <w:pPr>
        <w:autoSpaceDE w:val="0"/>
        <w:autoSpaceDN w:val="0"/>
        <w:adjustRightInd w:val="0"/>
        <w:spacing w:before="120" w:after="120" w:line="240" w:lineRule="auto"/>
        <w:jc w:val="both"/>
        <w:rPr>
          <w:rFonts w:cs="Times New Roman"/>
          <w:sz w:val="24"/>
          <w:szCs w:val="24"/>
          <w:lang w:val="en-GB"/>
        </w:rPr>
      </w:pPr>
      <w:r w:rsidRPr="0001617C">
        <w:rPr>
          <w:rFonts w:cs="Times New Roman"/>
          <w:sz w:val="24"/>
          <w:szCs w:val="24"/>
          <w:lang w:val="en-GB"/>
        </w:rPr>
        <w:t xml:space="preserve">The </w:t>
      </w:r>
      <w:r w:rsidR="008B51CB" w:rsidRPr="0001617C">
        <w:rPr>
          <w:rFonts w:cs="Times New Roman"/>
          <w:sz w:val="24"/>
          <w:szCs w:val="24"/>
          <w:lang w:val="en-GB"/>
        </w:rPr>
        <w:t>reporting j</w:t>
      </w:r>
      <w:r w:rsidRPr="0001617C">
        <w:rPr>
          <w:rFonts w:cs="Times New Roman"/>
          <w:sz w:val="24"/>
          <w:szCs w:val="24"/>
          <w:lang w:val="en-GB"/>
        </w:rPr>
        <w:t xml:space="preserve">udge </w:t>
      </w:r>
      <w:r w:rsidR="00FB71DB" w:rsidRPr="0001617C">
        <w:rPr>
          <w:rFonts w:cs="Times New Roman"/>
          <w:sz w:val="24"/>
          <w:szCs w:val="24"/>
          <w:lang w:val="en-GB"/>
        </w:rPr>
        <w:t>was</w:t>
      </w:r>
      <w:r w:rsidRPr="0001617C">
        <w:rPr>
          <w:rFonts w:cs="Times New Roman"/>
          <w:sz w:val="24"/>
          <w:szCs w:val="24"/>
          <w:lang w:val="en-GB"/>
        </w:rPr>
        <w:t xml:space="preserve"> </w:t>
      </w:r>
      <w:r w:rsidR="00C3123A" w:rsidRPr="0001617C">
        <w:rPr>
          <w:rFonts w:cs="Times New Roman"/>
          <w:sz w:val="24"/>
          <w:szCs w:val="24"/>
          <w:lang w:val="en-GB"/>
        </w:rPr>
        <w:t xml:space="preserve">aware of the very low </w:t>
      </w:r>
      <w:r w:rsidR="00AC6312" w:rsidRPr="0001617C">
        <w:rPr>
          <w:rFonts w:cs="Times New Roman"/>
          <w:sz w:val="24"/>
          <w:szCs w:val="24"/>
          <w:lang w:val="en-GB"/>
        </w:rPr>
        <w:t xml:space="preserve">limits </w:t>
      </w:r>
      <w:r w:rsidR="00C3123A" w:rsidRPr="0001617C">
        <w:rPr>
          <w:rFonts w:cs="Times New Roman"/>
          <w:sz w:val="24"/>
          <w:szCs w:val="24"/>
          <w:lang w:val="en-GB"/>
        </w:rPr>
        <w:t xml:space="preserve">of the </w:t>
      </w:r>
      <w:r w:rsidR="00BB31A4" w:rsidRPr="0001617C">
        <w:rPr>
          <w:rFonts w:cs="Times New Roman"/>
          <w:sz w:val="24"/>
          <w:szCs w:val="24"/>
          <w:lang w:val="en-GB"/>
        </w:rPr>
        <w:t xml:space="preserve">1992 Civil Liability Convention </w:t>
      </w:r>
      <w:r w:rsidR="00C3123A" w:rsidRPr="0001617C">
        <w:rPr>
          <w:rFonts w:cs="Times New Roman"/>
          <w:sz w:val="24"/>
          <w:szCs w:val="24"/>
          <w:lang w:val="en-GB"/>
        </w:rPr>
        <w:t xml:space="preserve">and </w:t>
      </w:r>
      <w:r w:rsidRPr="0001617C">
        <w:rPr>
          <w:rFonts w:cs="Times New Roman"/>
          <w:sz w:val="24"/>
          <w:szCs w:val="24"/>
          <w:lang w:val="en-GB"/>
        </w:rPr>
        <w:t>the fact that it was being applied</w:t>
      </w:r>
      <w:r w:rsidR="00C3123A" w:rsidRPr="0001617C">
        <w:rPr>
          <w:rFonts w:cs="Times New Roman"/>
          <w:sz w:val="24"/>
          <w:szCs w:val="24"/>
          <w:lang w:val="en-GB"/>
        </w:rPr>
        <w:t xml:space="preserve"> to a case </w:t>
      </w:r>
      <w:r w:rsidRPr="0001617C">
        <w:rPr>
          <w:rFonts w:cs="Times New Roman"/>
          <w:sz w:val="24"/>
          <w:szCs w:val="24"/>
          <w:lang w:val="en-GB"/>
        </w:rPr>
        <w:t>involving</w:t>
      </w:r>
      <w:r w:rsidR="00C3123A" w:rsidRPr="0001617C">
        <w:rPr>
          <w:rFonts w:cs="Times New Roman"/>
          <w:sz w:val="24"/>
          <w:szCs w:val="24"/>
          <w:lang w:val="en-GB"/>
        </w:rPr>
        <w:t xml:space="preserve"> catastrophic damage. </w:t>
      </w:r>
      <w:r w:rsidR="00C3123A" w:rsidRPr="0001617C">
        <w:rPr>
          <w:rFonts w:cs="Times New Roman"/>
          <w:sz w:val="24"/>
          <w:szCs w:val="24"/>
          <w:lang w:val="en-GB"/>
        </w:rPr>
        <w:lastRenderedPageBreak/>
        <w:t>However, he applie</w:t>
      </w:r>
      <w:r w:rsidRPr="0001617C">
        <w:rPr>
          <w:rFonts w:cs="Times New Roman"/>
          <w:sz w:val="24"/>
          <w:szCs w:val="24"/>
          <w:lang w:val="en-GB"/>
        </w:rPr>
        <w:t>d</w:t>
      </w:r>
      <w:r w:rsidR="00C3123A" w:rsidRPr="0001617C">
        <w:rPr>
          <w:rFonts w:cs="Times New Roman"/>
          <w:sz w:val="24"/>
          <w:szCs w:val="24"/>
          <w:lang w:val="en-GB"/>
        </w:rPr>
        <w:t xml:space="preserve"> </w:t>
      </w:r>
      <w:r w:rsidR="0092505C" w:rsidRPr="0001617C">
        <w:rPr>
          <w:rFonts w:cs="Times New Roman"/>
          <w:sz w:val="24"/>
          <w:szCs w:val="24"/>
          <w:lang w:val="en-GB"/>
        </w:rPr>
        <w:t>it</w:t>
      </w:r>
      <w:r w:rsidR="00AC6312" w:rsidRPr="0001617C">
        <w:rPr>
          <w:rFonts w:cs="Times New Roman"/>
          <w:sz w:val="24"/>
          <w:szCs w:val="24"/>
          <w:lang w:val="en-GB"/>
        </w:rPr>
        <w:t xml:space="preserve"> </w:t>
      </w:r>
      <w:r w:rsidR="0029009F" w:rsidRPr="0001617C">
        <w:rPr>
          <w:rFonts w:cs="Times New Roman"/>
          <w:sz w:val="24"/>
          <w:szCs w:val="24"/>
          <w:lang w:val="en-GB"/>
        </w:rPr>
        <w:t>“</w:t>
      </w:r>
      <w:r w:rsidR="00F21C21" w:rsidRPr="0001617C">
        <w:rPr>
          <w:rFonts w:cs="Times New Roman"/>
          <w:i/>
          <w:iCs/>
          <w:sz w:val="24"/>
          <w:szCs w:val="24"/>
          <w:lang w:val="en-GB"/>
        </w:rPr>
        <w:t>even if many do not accept its restrictive implications, which are evident and binding, from the mere perspective of the principle of legality, since an international rule incorporated into Spanish law is immediately and strictly applicable</w:t>
      </w:r>
      <w:r w:rsidR="005B1B9D" w:rsidRPr="0001617C">
        <w:rPr>
          <w:rFonts w:cs="Times New Roman"/>
          <w:i/>
          <w:iCs/>
          <w:sz w:val="24"/>
          <w:szCs w:val="24"/>
          <w:lang w:val="en-GB"/>
        </w:rPr>
        <w:t>.</w:t>
      </w:r>
      <w:r w:rsidR="0029009F" w:rsidRPr="0001617C">
        <w:rPr>
          <w:rFonts w:cs="Times New Roman"/>
          <w:sz w:val="24"/>
          <w:szCs w:val="24"/>
          <w:lang w:val="en-GB"/>
        </w:rPr>
        <w:t>”</w:t>
      </w:r>
      <w:r w:rsidR="00AC6312" w:rsidRPr="0001617C">
        <w:rPr>
          <w:rStyle w:val="Refdenotaalpie"/>
          <w:rFonts w:cs="Times New Roman"/>
          <w:sz w:val="24"/>
          <w:szCs w:val="24"/>
          <w:lang w:val="en-GB"/>
        </w:rPr>
        <w:footnoteReference w:id="3"/>
      </w:r>
      <w:r w:rsidR="004F324A" w:rsidRPr="0001617C">
        <w:rPr>
          <w:rFonts w:cs="Times New Roman"/>
          <w:sz w:val="24"/>
          <w:szCs w:val="24"/>
          <w:lang w:val="en-GB"/>
        </w:rPr>
        <w:t xml:space="preserve"> </w:t>
      </w:r>
      <w:r w:rsidR="00BC1785" w:rsidRPr="0001617C">
        <w:rPr>
          <w:rFonts w:cs="Times New Roman"/>
          <w:sz w:val="24"/>
          <w:szCs w:val="24"/>
          <w:lang w:val="en-GB"/>
        </w:rPr>
        <w:t xml:space="preserve">The </w:t>
      </w:r>
      <w:r w:rsidR="00C3123A" w:rsidRPr="0001617C">
        <w:rPr>
          <w:rFonts w:cs="Times New Roman"/>
          <w:sz w:val="24"/>
          <w:szCs w:val="24"/>
          <w:lang w:val="en-GB"/>
        </w:rPr>
        <w:t>plaintiffs</w:t>
      </w:r>
      <w:r w:rsidR="00BC1785" w:rsidRPr="0001617C">
        <w:rPr>
          <w:rFonts w:cs="Times New Roman"/>
          <w:sz w:val="24"/>
          <w:szCs w:val="24"/>
          <w:lang w:val="en-GB"/>
        </w:rPr>
        <w:t xml:space="preserve">, including the Spanish State, </w:t>
      </w:r>
      <w:r w:rsidR="00EE3611" w:rsidRPr="0001617C">
        <w:rPr>
          <w:rFonts w:cs="Times New Roman"/>
          <w:sz w:val="24"/>
          <w:szCs w:val="24"/>
          <w:lang w:val="en-GB"/>
        </w:rPr>
        <w:t>appeal</w:t>
      </w:r>
      <w:r w:rsidR="00C34FD2" w:rsidRPr="0001617C">
        <w:rPr>
          <w:rFonts w:cs="Times New Roman"/>
          <w:sz w:val="24"/>
          <w:szCs w:val="24"/>
          <w:lang w:val="en-GB"/>
        </w:rPr>
        <w:t>ed</w:t>
      </w:r>
      <w:r w:rsidR="00EE3611" w:rsidRPr="0001617C">
        <w:rPr>
          <w:rFonts w:cs="Times New Roman"/>
          <w:sz w:val="24"/>
          <w:szCs w:val="24"/>
          <w:lang w:val="en-GB"/>
        </w:rPr>
        <w:t xml:space="preserve"> </w:t>
      </w:r>
      <w:r w:rsidR="007D430C" w:rsidRPr="0001617C">
        <w:rPr>
          <w:rFonts w:cs="Times New Roman"/>
          <w:sz w:val="24"/>
          <w:szCs w:val="24"/>
          <w:lang w:val="en-GB"/>
        </w:rPr>
        <w:t>in cassation</w:t>
      </w:r>
      <w:r w:rsidR="00BC1785" w:rsidRPr="0001617C">
        <w:rPr>
          <w:rFonts w:cs="Times New Roman"/>
          <w:sz w:val="24"/>
          <w:szCs w:val="24"/>
          <w:lang w:val="en-GB"/>
        </w:rPr>
        <w:t xml:space="preserve">. </w:t>
      </w:r>
    </w:p>
    <w:p w14:paraId="5D3DC8B5" w14:textId="3194DBC0" w:rsidR="00E23A92" w:rsidRPr="0001617C" w:rsidRDefault="00C53673">
      <w:pPr>
        <w:autoSpaceDE w:val="0"/>
        <w:autoSpaceDN w:val="0"/>
        <w:adjustRightInd w:val="0"/>
        <w:spacing w:before="120" w:after="120" w:line="240" w:lineRule="auto"/>
        <w:jc w:val="both"/>
        <w:rPr>
          <w:rFonts w:cs="Times New Roman"/>
          <w:sz w:val="24"/>
          <w:szCs w:val="24"/>
          <w:lang w:val="en-GB"/>
        </w:rPr>
      </w:pPr>
      <w:r w:rsidRPr="0001617C">
        <w:rPr>
          <w:rFonts w:cs="Times New Roman"/>
          <w:sz w:val="24"/>
          <w:szCs w:val="24"/>
          <w:lang w:val="en-GB"/>
        </w:rPr>
        <w:t xml:space="preserve">The judgement of the </w:t>
      </w:r>
      <w:r w:rsidR="007F0B69" w:rsidRPr="0001617C">
        <w:rPr>
          <w:rFonts w:cs="Times New Roman"/>
          <w:sz w:val="24"/>
          <w:szCs w:val="24"/>
          <w:lang w:val="en-GB"/>
        </w:rPr>
        <w:t>Supreme Court</w:t>
      </w:r>
      <w:r w:rsidRPr="0001617C">
        <w:rPr>
          <w:rFonts w:cs="Times New Roman"/>
          <w:sz w:val="24"/>
          <w:szCs w:val="24"/>
          <w:lang w:val="en-GB"/>
        </w:rPr>
        <w:t>, 2nd Chamber, Criminal Division, of 14 January 2016</w:t>
      </w:r>
      <w:r w:rsidR="00B16AAE" w:rsidRPr="0001617C">
        <w:rPr>
          <w:rFonts w:cs="Times New Roman"/>
          <w:sz w:val="24"/>
          <w:szCs w:val="24"/>
          <w:lang w:val="en-GB"/>
        </w:rPr>
        <w:t>,</w:t>
      </w:r>
      <w:r w:rsidRPr="0001617C">
        <w:rPr>
          <w:rStyle w:val="Refdenotaalpie"/>
          <w:rFonts w:cs="Times New Roman"/>
          <w:sz w:val="24"/>
          <w:szCs w:val="24"/>
          <w:shd w:val="clear" w:color="auto" w:fill="FFFFFF"/>
          <w:lang w:val="en-GB"/>
        </w:rPr>
        <w:footnoteReference w:id="4"/>
      </w:r>
      <w:r w:rsidR="00F21C21" w:rsidRPr="0001617C">
        <w:rPr>
          <w:rFonts w:cs="Times New Roman"/>
          <w:sz w:val="24"/>
          <w:szCs w:val="24"/>
          <w:shd w:val="clear" w:color="auto" w:fill="FFFFFF"/>
          <w:lang w:val="en-GB"/>
        </w:rPr>
        <w:t xml:space="preserve"> </w:t>
      </w:r>
      <w:r w:rsidR="00795F37" w:rsidRPr="0001617C">
        <w:rPr>
          <w:rFonts w:cs="Times New Roman"/>
          <w:sz w:val="24"/>
          <w:szCs w:val="24"/>
          <w:lang w:val="en-GB"/>
        </w:rPr>
        <w:t>reversed</w:t>
      </w:r>
      <w:r w:rsidRPr="0001617C">
        <w:rPr>
          <w:rFonts w:cs="Times New Roman"/>
          <w:sz w:val="24"/>
          <w:szCs w:val="24"/>
          <w:lang w:val="en-GB"/>
        </w:rPr>
        <w:t xml:space="preserve"> and partially </w:t>
      </w:r>
      <w:r w:rsidR="00BF5E0D" w:rsidRPr="0001617C">
        <w:rPr>
          <w:rFonts w:cs="Times New Roman"/>
          <w:sz w:val="24"/>
          <w:szCs w:val="24"/>
          <w:lang w:val="en-GB"/>
        </w:rPr>
        <w:t>annulled</w:t>
      </w:r>
      <w:r w:rsidRPr="0001617C">
        <w:rPr>
          <w:rFonts w:cs="Times New Roman"/>
          <w:sz w:val="24"/>
          <w:szCs w:val="24"/>
          <w:lang w:val="en-GB"/>
        </w:rPr>
        <w:t xml:space="preserve"> </w:t>
      </w:r>
      <w:r w:rsidR="0003673E" w:rsidRPr="0001617C">
        <w:rPr>
          <w:rFonts w:cs="Times New Roman"/>
          <w:sz w:val="24"/>
          <w:szCs w:val="24"/>
          <w:lang w:val="en-GB"/>
        </w:rPr>
        <w:t xml:space="preserve">the judgement of the Provincial Court of A Coruña </w:t>
      </w:r>
      <w:r w:rsidR="00EE3611" w:rsidRPr="0001617C">
        <w:rPr>
          <w:rFonts w:cs="Times New Roman"/>
          <w:sz w:val="24"/>
          <w:szCs w:val="24"/>
          <w:lang w:val="en-GB"/>
        </w:rPr>
        <w:t>of 13 November 2013</w:t>
      </w:r>
      <w:r w:rsidR="0003673E" w:rsidRPr="0001617C">
        <w:rPr>
          <w:rFonts w:cs="Times New Roman"/>
          <w:sz w:val="24"/>
          <w:szCs w:val="24"/>
          <w:lang w:val="en-GB"/>
        </w:rPr>
        <w:t xml:space="preserve">. With regard to </w:t>
      </w:r>
      <w:r w:rsidR="00EE3611" w:rsidRPr="0001617C">
        <w:rPr>
          <w:rFonts w:cs="Times New Roman"/>
          <w:sz w:val="24"/>
          <w:szCs w:val="24"/>
          <w:lang w:val="en-GB"/>
        </w:rPr>
        <w:t xml:space="preserve">criminal liability, it </w:t>
      </w:r>
      <w:r w:rsidR="00F52ECE" w:rsidRPr="0001617C">
        <w:rPr>
          <w:rFonts w:cs="Times New Roman"/>
          <w:sz w:val="24"/>
          <w:szCs w:val="24"/>
          <w:lang w:val="en-GB"/>
        </w:rPr>
        <w:t xml:space="preserve">declared the </w:t>
      </w:r>
      <w:r w:rsidR="00CA24AD" w:rsidRPr="0001617C">
        <w:rPr>
          <w:rFonts w:cs="Times New Roman"/>
          <w:sz w:val="24"/>
          <w:szCs w:val="24"/>
          <w:lang w:val="en-GB"/>
        </w:rPr>
        <w:t>master</w:t>
      </w:r>
      <w:r w:rsidR="00F52ECE" w:rsidRPr="0001617C">
        <w:rPr>
          <w:rFonts w:cs="Times New Roman"/>
          <w:sz w:val="24"/>
          <w:szCs w:val="24"/>
          <w:lang w:val="en-GB"/>
        </w:rPr>
        <w:t xml:space="preserve"> </w:t>
      </w:r>
      <w:r w:rsidR="00AC6312" w:rsidRPr="0001617C">
        <w:rPr>
          <w:rFonts w:cs="Times New Roman"/>
          <w:sz w:val="24"/>
          <w:szCs w:val="24"/>
          <w:lang w:val="en-GB"/>
        </w:rPr>
        <w:t xml:space="preserve">of the </w:t>
      </w:r>
      <w:r w:rsidR="0087782D" w:rsidRPr="0001617C">
        <w:rPr>
          <w:rFonts w:cs="Times New Roman"/>
          <w:sz w:val="24"/>
          <w:szCs w:val="24"/>
          <w:lang w:val="en-GB"/>
        </w:rPr>
        <w:t xml:space="preserve">vessel to be </w:t>
      </w:r>
      <w:r w:rsidR="00F52ECE" w:rsidRPr="0001617C">
        <w:rPr>
          <w:rFonts w:cs="Times New Roman"/>
          <w:sz w:val="24"/>
          <w:szCs w:val="24"/>
          <w:lang w:val="en-GB"/>
        </w:rPr>
        <w:t xml:space="preserve">responsible, without the concurrence of circumstances </w:t>
      </w:r>
      <w:r w:rsidR="00900598" w:rsidRPr="0001617C">
        <w:rPr>
          <w:rFonts w:cs="Times New Roman"/>
          <w:sz w:val="24"/>
          <w:szCs w:val="24"/>
          <w:lang w:val="en-GB"/>
        </w:rPr>
        <w:t>that modified the</w:t>
      </w:r>
      <w:r w:rsidR="00F52ECE" w:rsidRPr="0001617C">
        <w:rPr>
          <w:rFonts w:cs="Times New Roman"/>
          <w:sz w:val="24"/>
          <w:szCs w:val="24"/>
          <w:lang w:val="en-GB"/>
        </w:rPr>
        <w:t xml:space="preserve"> criminal liability, for </w:t>
      </w:r>
      <w:r w:rsidR="008204EC" w:rsidRPr="0001617C">
        <w:rPr>
          <w:rFonts w:cs="Times New Roman"/>
          <w:sz w:val="24"/>
          <w:szCs w:val="24"/>
          <w:lang w:val="en-GB"/>
        </w:rPr>
        <w:t>the</w:t>
      </w:r>
      <w:r w:rsidR="00F52ECE" w:rsidRPr="0001617C">
        <w:rPr>
          <w:rFonts w:cs="Times New Roman"/>
          <w:sz w:val="24"/>
          <w:szCs w:val="24"/>
          <w:lang w:val="en-GB"/>
        </w:rPr>
        <w:t xml:space="preserve"> offence </w:t>
      </w:r>
      <w:r w:rsidR="008204EC" w:rsidRPr="0001617C">
        <w:rPr>
          <w:rFonts w:cs="Times New Roman"/>
          <w:sz w:val="24"/>
          <w:szCs w:val="24"/>
          <w:lang w:val="en-GB"/>
        </w:rPr>
        <w:t xml:space="preserve">of recklessness </w:t>
      </w:r>
      <w:r w:rsidR="00F52ECE" w:rsidRPr="0001617C">
        <w:rPr>
          <w:rFonts w:cs="Times New Roman"/>
          <w:sz w:val="24"/>
          <w:szCs w:val="24"/>
          <w:lang w:val="en-GB"/>
        </w:rPr>
        <w:t xml:space="preserve">against the environment in the aggravated form of catastrophic deterioration. </w:t>
      </w:r>
      <w:r w:rsidR="00FD24E9" w:rsidRPr="0001617C">
        <w:rPr>
          <w:rFonts w:cs="Times New Roman"/>
          <w:sz w:val="24"/>
          <w:szCs w:val="24"/>
          <w:lang w:val="en-GB"/>
        </w:rPr>
        <w:t xml:space="preserve">With regard </w:t>
      </w:r>
      <w:r w:rsidR="00BB539D" w:rsidRPr="0001617C">
        <w:rPr>
          <w:rFonts w:cs="Times New Roman"/>
          <w:sz w:val="24"/>
          <w:szCs w:val="24"/>
          <w:lang w:val="en-GB"/>
        </w:rPr>
        <w:t xml:space="preserve">to </w:t>
      </w:r>
      <w:r w:rsidR="00E53898" w:rsidRPr="0001617C">
        <w:rPr>
          <w:rFonts w:cs="Times New Roman"/>
          <w:sz w:val="24"/>
          <w:szCs w:val="24"/>
          <w:lang w:val="en-GB"/>
        </w:rPr>
        <w:t xml:space="preserve">civil liability, it </w:t>
      </w:r>
      <w:r w:rsidR="00EE3611" w:rsidRPr="0001617C">
        <w:rPr>
          <w:rFonts w:cs="Times New Roman"/>
          <w:sz w:val="24"/>
          <w:szCs w:val="24"/>
          <w:lang w:val="en-GB"/>
        </w:rPr>
        <w:t xml:space="preserve">decided </w:t>
      </w:r>
      <w:r w:rsidR="00E53898" w:rsidRPr="0001617C">
        <w:rPr>
          <w:rFonts w:cs="Times New Roman"/>
          <w:sz w:val="24"/>
          <w:szCs w:val="24"/>
          <w:lang w:val="en-GB"/>
        </w:rPr>
        <w:t>that</w:t>
      </w:r>
      <w:r w:rsidR="0087782D" w:rsidRPr="0001617C">
        <w:rPr>
          <w:rFonts w:cs="Times New Roman"/>
          <w:sz w:val="24"/>
          <w:szCs w:val="24"/>
          <w:lang w:val="en-GB"/>
        </w:rPr>
        <w:t xml:space="preserve">: </w:t>
      </w:r>
    </w:p>
    <w:p w14:paraId="7130BCBE" w14:textId="1F3BDFEF" w:rsidR="00E23A92" w:rsidRPr="0001617C" w:rsidRDefault="00BB539D">
      <w:pPr>
        <w:autoSpaceDE w:val="0"/>
        <w:autoSpaceDN w:val="0"/>
        <w:adjustRightInd w:val="0"/>
        <w:spacing w:before="120" w:after="120" w:line="240" w:lineRule="auto"/>
        <w:jc w:val="both"/>
        <w:rPr>
          <w:rFonts w:cs="Times New Roman"/>
          <w:sz w:val="24"/>
          <w:szCs w:val="24"/>
          <w:lang w:val="en-GB"/>
        </w:rPr>
      </w:pPr>
      <w:r w:rsidRPr="0001617C">
        <w:rPr>
          <w:rFonts w:cs="Times New Roman"/>
          <w:sz w:val="24"/>
          <w:szCs w:val="24"/>
          <w:lang w:val="en-GB"/>
        </w:rPr>
        <w:t xml:space="preserve">(1) </w:t>
      </w:r>
      <w:r w:rsidR="00E53898" w:rsidRPr="0001617C">
        <w:rPr>
          <w:rFonts w:cs="Times New Roman"/>
          <w:sz w:val="24"/>
          <w:szCs w:val="24"/>
          <w:lang w:val="en-GB"/>
        </w:rPr>
        <w:t xml:space="preserve">The master </w:t>
      </w:r>
      <w:r w:rsidR="00E45CA5" w:rsidRPr="0001617C">
        <w:rPr>
          <w:rFonts w:cs="Times New Roman"/>
          <w:sz w:val="24"/>
          <w:szCs w:val="24"/>
          <w:lang w:val="en-GB"/>
        </w:rPr>
        <w:t>is</w:t>
      </w:r>
      <w:r w:rsidR="00E53898" w:rsidRPr="0001617C">
        <w:rPr>
          <w:rFonts w:cs="Times New Roman"/>
          <w:sz w:val="24"/>
          <w:szCs w:val="24"/>
          <w:lang w:val="en-GB"/>
        </w:rPr>
        <w:t xml:space="preserve"> </w:t>
      </w:r>
      <w:r w:rsidR="00BB31A4" w:rsidRPr="0001617C">
        <w:rPr>
          <w:rFonts w:cs="Times New Roman"/>
          <w:sz w:val="24"/>
          <w:szCs w:val="24"/>
          <w:lang w:val="en-GB"/>
        </w:rPr>
        <w:t>liable without limitation for the damage caused. It is not known whether the master has been able to pay any compensation.</w:t>
      </w:r>
    </w:p>
    <w:p w14:paraId="75C5B902" w14:textId="3878A42C" w:rsidR="00E23A92" w:rsidRPr="0001617C" w:rsidRDefault="00BB539D">
      <w:pPr>
        <w:autoSpaceDE w:val="0"/>
        <w:autoSpaceDN w:val="0"/>
        <w:adjustRightInd w:val="0"/>
        <w:spacing w:before="120" w:after="120" w:line="240" w:lineRule="auto"/>
        <w:jc w:val="both"/>
        <w:rPr>
          <w:rFonts w:cs="Times New Roman"/>
          <w:i/>
          <w:iCs/>
          <w:sz w:val="24"/>
          <w:szCs w:val="24"/>
          <w:lang w:val="en-GB"/>
        </w:rPr>
      </w:pPr>
      <w:r w:rsidRPr="0001617C">
        <w:rPr>
          <w:rFonts w:cs="Times New Roman"/>
          <w:sz w:val="24"/>
          <w:szCs w:val="24"/>
          <w:lang w:val="en-GB"/>
        </w:rPr>
        <w:t>2) The shipown</w:t>
      </w:r>
      <w:r w:rsidR="00C832AB" w:rsidRPr="0001617C">
        <w:rPr>
          <w:rFonts w:cs="Times New Roman"/>
          <w:sz w:val="24"/>
          <w:szCs w:val="24"/>
          <w:lang w:val="en-GB"/>
        </w:rPr>
        <w:t xml:space="preserve">er </w:t>
      </w:r>
      <w:r w:rsidRPr="0001617C">
        <w:rPr>
          <w:rFonts w:cs="Times New Roman"/>
          <w:sz w:val="24"/>
          <w:szCs w:val="24"/>
          <w:lang w:val="en-GB"/>
        </w:rPr>
        <w:t xml:space="preserve">is </w:t>
      </w:r>
      <w:r w:rsidR="00DA515D" w:rsidRPr="0001617C">
        <w:rPr>
          <w:rFonts w:cs="Times New Roman"/>
          <w:sz w:val="24"/>
          <w:szCs w:val="24"/>
          <w:lang w:val="en-GB"/>
        </w:rPr>
        <w:t xml:space="preserve">held to have </w:t>
      </w:r>
      <w:r w:rsidR="00D55A4A" w:rsidRPr="0001617C">
        <w:rPr>
          <w:rFonts w:cs="Times New Roman"/>
          <w:sz w:val="24"/>
          <w:szCs w:val="24"/>
          <w:lang w:val="en-GB"/>
        </w:rPr>
        <w:t>subsidiary civil</w:t>
      </w:r>
      <w:r w:rsidRPr="0001617C">
        <w:rPr>
          <w:rFonts w:cs="Times New Roman"/>
          <w:sz w:val="24"/>
          <w:szCs w:val="24"/>
          <w:lang w:val="en-GB"/>
        </w:rPr>
        <w:t xml:space="preserve"> liab</w:t>
      </w:r>
      <w:r w:rsidR="00D55A4A" w:rsidRPr="0001617C">
        <w:rPr>
          <w:rFonts w:cs="Times New Roman"/>
          <w:sz w:val="24"/>
          <w:szCs w:val="24"/>
          <w:lang w:val="en-GB"/>
        </w:rPr>
        <w:t>ility</w:t>
      </w:r>
      <w:r w:rsidR="00BB31A4" w:rsidRPr="0001617C">
        <w:rPr>
          <w:rFonts w:cs="Times New Roman"/>
          <w:i/>
          <w:iCs/>
          <w:sz w:val="24"/>
          <w:szCs w:val="24"/>
          <w:lang w:val="en-GB"/>
        </w:rPr>
        <w:t xml:space="preserve">. </w:t>
      </w:r>
      <w:r w:rsidR="00BB31A4" w:rsidRPr="0001617C">
        <w:rPr>
          <w:rFonts w:cs="Times New Roman"/>
          <w:sz w:val="24"/>
          <w:szCs w:val="24"/>
          <w:lang w:val="en-GB"/>
        </w:rPr>
        <w:t>N</w:t>
      </w:r>
      <w:r w:rsidR="00F45348" w:rsidRPr="0001617C">
        <w:rPr>
          <w:rFonts w:cs="Times New Roman"/>
          <w:sz w:val="24"/>
          <w:szCs w:val="24"/>
          <w:lang w:val="en-GB"/>
        </w:rPr>
        <w:t>either</w:t>
      </w:r>
      <w:r w:rsidR="00BB31A4" w:rsidRPr="0001617C">
        <w:rPr>
          <w:rFonts w:cs="Times New Roman"/>
          <w:sz w:val="24"/>
          <w:szCs w:val="24"/>
          <w:lang w:val="en-GB"/>
        </w:rPr>
        <w:t xml:space="preserve"> </w:t>
      </w:r>
      <w:r w:rsidR="00040367" w:rsidRPr="0001617C">
        <w:rPr>
          <w:rFonts w:cs="Times New Roman"/>
          <w:sz w:val="24"/>
          <w:szCs w:val="24"/>
          <w:lang w:val="en-GB"/>
        </w:rPr>
        <w:t>are we aware</w:t>
      </w:r>
      <w:r w:rsidR="00BB31A4" w:rsidRPr="0001617C">
        <w:rPr>
          <w:rFonts w:cs="Times New Roman"/>
          <w:sz w:val="24"/>
          <w:szCs w:val="24"/>
          <w:lang w:val="en-GB"/>
        </w:rPr>
        <w:t xml:space="preserve"> that this company has paid any compensation</w:t>
      </w:r>
      <w:r w:rsidR="00673801" w:rsidRPr="0001617C">
        <w:rPr>
          <w:rFonts w:cs="Times New Roman"/>
          <w:sz w:val="24"/>
          <w:szCs w:val="24"/>
          <w:lang w:val="en-GB"/>
        </w:rPr>
        <w:t xml:space="preserve">. </w:t>
      </w:r>
    </w:p>
    <w:p w14:paraId="3D5788D3" w14:textId="27A819BB" w:rsidR="00E23A92" w:rsidRPr="0001617C" w:rsidRDefault="00BB539D">
      <w:pPr>
        <w:pStyle w:val="parrafo"/>
        <w:spacing w:before="120" w:beforeAutospacing="0" w:after="120" w:afterAutospacing="0"/>
        <w:jc w:val="both"/>
        <w:rPr>
          <w:lang w:val="en-GB"/>
        </w:rPr>
      </w:pPr>
      <w:r w:rsidRPr="0001617C">
        <w:rPr>
          <w:lang w:val="en-GB"/>
        </w:rPr>
        <w:t xml:space="preserve">3) </w:t>
      </w:r>
      <w:r w:rsidR="00EE3611" w:rsidRPr="0001617C">
        <w:rPr>
          <w:lang w:val="en-GB"/>
        </w:rPr>
        <w:t xml:space="preserve">The P&amp;I </w:t>
      </w:r>
      <w:r w:rsidR="00040367" w:rsidRPr="0001617C">
        <w:rPr>
          <w:lang w:val="en-GB"/>
        </w:rPr>
        <w:t>C</w:t>
      </w:r>
      <w:r w:rsidR="00E53898" w:rsidRPr="0001617C">
        <w:rPr>
          <w:lang w:val="en-GB"/>
        </w:rPr>
        <w:t xml:space="preserve">lub </w:t>
      </w:r>
      <w:r w:rsidR="00E15965" w:rsidRPr="0001617C">
        <w:rPr>
          <w:lang w:val="en-GB"/>
        </w:rPr>
        <w:t>holds direct civil liability</w:t>
      </w:r>
      <w:r w:rsidRPr="0001617C">
        <w:rPr>
          <w:lang w:val="en-GB"/>
        </w:rPr>
        <w:t xml:space="preserve"> </w:t>
      </w:r>
      <w:r w:rsidR="0029009F" w:rsidRPr="0001617C">
        <w:rPr>
          <w:i/>
          <w:iCs/>
          <w:lang w:val="en-GB"/>
        </w:rPr>
        <w:t>“</w:t>
      </w:r>
      <w:r w:rsidR="00E53898" w:rsidRPr="0001617C">
        <w:rPr>
          <w:i/>
          <w:iCs/>
          <w:lang w:val="en-GB"/>
        </w:rPr>
        <w:t>up to the limit of the policy taken out</w:t>
      </w:r>
      <w:r w:rsidR="00563E84" w:rsidRPr="0001617C">
        <w:rPr>
          <w:lang w:val="en-GB"/>
        </w:rPr>
        <w:t>.</w:t>
      </w:r>
      <w:r w:rsidR="0029009F" w:rsidRPr="0001617C">
        <w:rPr>
          <w:lang w:val="en-GB"/>
        </w:rPr>
        <w:t>”</w:t>
      </w:r>
      <w:r w:rsidR="00BB31A4" w:rsidRPr="0001617C">
        <w:rPr>
          <w:lang w:val="en-GB"/>
        </w:rPr>
        <w:t xml:space="preserve"> </w:t>
      </w:r>
      <w:r w:rsidR="00C3123A" w:rsidRPr="0001617C">
        <w:rPr>
          <w:lang w:val="en-GB"/>
        </w:rPr>
        <w:t xml:space="preserve">The legal article </w:t>
      </w:r>
      <w:r w:rsidR="001F3F4E" w:rsidRPr="0001617C">
        <w:rPr>
          <w:lang w:val="en-GB"/>
        </w:rPr>
        <w:t>taken as the basis to sentence</w:t>
      </w:r>
      <w:r w:rsidR="00C3123A" w:rsidRPr="0001617C">
        <w:rPr>
          <w:lang w:val="en-GB"/>
        </w:rPr>
        <w:t xml:space="preserve"> </w:t>
      </w:r>
      <w:r w:rsidR="00BB31A4" w:rsidRPr="0001617C">
        <w:rPr>
          <w:lang w:val="en-GB"/>
        </w:rPr>
        <w:t xml:space="preserve">the P&amp;I </w:t>
      </w:r>
      <w:r w:rsidR="001F3F4E" w:rsidRPr="0001617C">
        <w:rPr>
          <w:lang w:val="en-GB"/>
        </w:rPr>
        <w:t>C</w:t>
      </w:r>
      <w:r w:rsidR="00BB31A4" w:rsidRPr="0001617C">
        <w:rPr>
          <w:lang w:val="en-GB"/>
        </w:rPr>
        <w:t xml:space="preserve">lub above the limits of liability </w:t>
      </w:r>
      <w:r w:rsidR="002D47E1" w:rsidRPr="0001617C">
        <w:rPr>
          <w:lang w:val="en-GB"/>
        </w:rPr>
        <w:t>envisaged</w:t>
      </w:r>
      <w:r w:rsidR="00BB31A4" w:rsidRPr="0001617C">
        <w:rPr>
          <w:lang w:val="en-GB"/>
        </w:rPr>
        <w:t xml:space="preserve"> in the 1992 Civil Liability Convention and up to the sum insured in the policy </w:t>
      </w:r>
      <w:r w:rsidR="00C3123A" w:rsidRPr="0001617C">
        <w:rPr>
          <w:lang w:val="en-GB"/>
        </w:rPr>
        <w:t xml:space="preserve">is </w:t>
      </w:r>
      <w:r w:rsidR="002D47E1" w:rsidRPr="0001617C">
        <w:rPr>
          <w:lang w:val="en-GB"/>
        </w:rPr>
        <w:t>A</w:t>
      </w:r>
      <w:r w:rsidR="00BB31A4" w:rsidRPr="0001617C">
        <w:rPr>
          <w:lang w:val="en-GB"/>
        </w:rPr>
        <w:t xml:space="preserve">rt. 117 </w:t>
      </w:r>
      <w:r w:rsidR="002F675B" w:rsidRPr="0001617C">
        <w:rPr>
          <w:lang w:val="en-GB"/>
        </w:rPr>
        <w:t xml:space="preserve">of the Spanish </w:t>
      </w:r>
      <w:r w:rsidR="00BB31A4" w:rsidRPr="0001617C">
        <w:rPr>
          <w:lang w:val="en-GB"/>
        </w:rPr>
        <w:t xml:space="preserve">Penal Code: </w:t>
      </w:r>
      <w:r w:rsidR="0029009F" w:rsidRPr="0001617C">
        <w:rPr>
          <w:lang w:val="en-GB"/>
        </w:rPr>
        <w:t>“</w:t>
      </w:r>
      <w:r w:rsidR="00BB31A4" w:rsidRPr="0001617C">
        <w:rPr>
          <w:i/>
          <w:iCs/>
          <w:lang w:val="en-GB"/>
        </w:rPr>
        <w:t xml:space="preserve">Furthermore, we cannot forget that we are dealing with a civil liability, which in turn derives from a criminal liability, in relation to damage caused in areas subject to the jurisdiction of the Spanish Courts, and that </w:t>
      </w:r>
      <w:r w:rsidR="002037A1" w:rsidRPr="0001617C">
        <w:rPr>
          <w:i/>
          <w:iCs/>
          <w:lang w:val="en-GB"/>
        </w:rPr>
        <w:t>A</w:t>
      </w:r>
      <w:r w:rsidR="00BB31A4" w:rsidRPr="0001617C">
        <w:rPr>
          <w:i/>
          <w:iCs/>
          <w:lang w:val="en-GB"/>
        </w:rPr>
        <w:t>rticle 117 of the Penal Code expressly declares the liability of the insurer who has assumed the risk of the pecuniary liabilities derived from the use or exploitation of the property or activity when</w:t>
      </w:r>
      <w:r w:rsidR="00BB40F7" w:rsidRPr="0001617C">
        <w:rPr>
          <w:i/>
          <w:iCs/>
          <w:lang w:val="en-GB"/>
        </w:rPr>
        <w:t>,</w:t>
      </w:r>
      <w:r w:rsidR="00BB31A4" w:rsidRPr="0001617C">
        <w:rPr>
          <w:i/>
          <w:iCs/>
          <w:lang w:val="en-GB"/>
        </w:rPr>
        <w:t xml:space="preserve"> as a consequence of an act foreseen in the Code</w:t>
      </w:r>
      <w:r w:rsidR="000E3087" w:rsidRPr="0001617C">
        <w:rPr>
          <w:i/>
          <w:iCs/>
          <w:lang w:val="en-GB"/>
        </w:rPr>
        <w:t>,</w:t>
      </w:r>
      <w:r w:rsidR="00BB31A4" w:rsidRPr="0001617C">
        <w:rPr>
          <w:i/>
          <w:iCs/>
          <w:lang w:val="en-GB"/>
        </w:rPr>
        <w:t xml:space="preserve"> the event that determines the risk occurs. And </w:t>
      </w:r>
      <w:r w:rsidR="006950EA" w:rsidRPr="0001617C">
        <w:rPr>
          <w:i/>
          <w:iCs/>
          <w:lang w:val="en-GB"/>
        </w:rPr>
        <w:t>this has been the case here.</w:t>
      </w:r>
      <w:r w:rsidR="0029009F" w:rsidRPr="0001617C">
        <w:rPr>
          <w:i/>
          <w:iCs/>
          <w:lang w:val="en-GB"/>
        </w:rPr>
        <w:t>”</w:t>
      </w:r>
    </w:p>
    <w:p w14:paraId="6228CD4F" w14:textId="7CC414D7" w:rsidR="00E23A92" w:rsidRPr="0001617C" w:rsidRDefault="00BB539D">
      <w:pPr>
        <w:spacing w:before="120" w:after="120" w:line="240" w:lineRule="auto"/>
        <w:jc w:val="both"/>
        <w:rPr>
          <w:rFonts w:cs="Times New Roman"/>
          <w:sz w:val="24"/>
          <w:szCs w:val="24"/>
          <w:lang w:val="en-GB"/>
        </w:rPr>
      </w:pPr>
      <w:r w:rsidRPr="0001617C">
        <w:rPr>
          <w:rFonts w:cs="Times New Roman"/>
          <w:sz w:val="24"/>
          <w:szCs w:val="24"/>
          <w:lang w:val="en-GB"/>
        </w:rPr>
        <w:t xml:space="preserve">The </w:t>
      </w:r>
      <w:r w:rsidR="003D69CA" w:rsidRPr="0001617C">
        <w:rPr>
          <w:rFonts w:cs="Times New Roman"/>
          <w:sz w:val="24"/>
          <w:szCs w:val="24"/>
          <w:lang w:val="en-GB"/>
        </w:rPr>
        <w:t>Supreme Court</w:t>
      </w:r>
      <w:r w:rsidR="00B84357" w:rsidRPr="0001617C">
        <w:rPr>
          <w:rFonts w:cs="Times New Roman"/>
          <w:sz w:val="24"/>
          <w:szCs w:val="24"/>
          <w:lang w:val="en-GB"/>
        </w:rPr>
        <w:t>’</w:t>
      </w:r>
      <w:r w:rsidRPr="0001617C">
        <w:rPr>
          <w:rFonts w:cs="Times New Roman"/>
          <w:sz w:val="24"/>
          <w:szCs w:val="24"/>
          <w:lang w:val="en-GB"/>
        </w:rPr>
        <w:t xml:space="preserve">s decision contrasts with </w:t>
      </w:r>
      <w:r w:rsidR="003D69CA" w:rsidRPr="0001617C">
        <w:rPr>
          <w:rFonts w:cs="Times New Roman"/>
          <w:sz w:val="24"/>
          <w:szCs w:val="24"/>
          <w:lang w:val="en-GB"/>
        </w:rPr>
        <w:t xml:space="preserve">Art. VII.8 </w:t>
      </w:r>
      <w:r w:rsidR="00451BE5" w:rsidRPr="0001617C">
        <w:rPr>
          <w:rFonts w:cs="Times New Roman"/>
          <w:sz w:val="24"/>
          <w:szCs w:val="24"/>
          <w:lang w:val="en-GB"/>
        </w:rPr>
        <w:t xml:space="preserve">of the </w:t>
      </w:r>
      <w:r w:rsidR="003D69CA" w:rsidRPr="0001617C">
        <w:rPr>
          <w:rFonts w:cs="Times New Roman"/>
          <w:sz w:val="24"/>
          <w:szCs w:val="24"/>
          <w:lang w:val="en-GB"/>
        </w:rPr>
        <w:t>1992 Civil Liability Convention</w:t>
      </w:r>
      <w:r w:rsidRPr="0001617C">
        <w:rPr>
          <w:rFonts w:cs="Times New Roman"/>
          <w:sz w:val="24"/>
          <w:szCs w:val="24"/>
          <w:lang w:val="en-GB"/>
        </w:rPr>
        <w:t xml:space="preserve">. This </w:t>
      </w:r>
      <w:r w:rsidR="003D69CA" w:rsidRPr="0001617C">
        <w:rPr>
          <w:rFonts w:cs="Times New Roman"/>
          <w:sz w:val="24"/>
          <w:szCs w:val="24"/>
          <w:lang w:val="en-GB"/>
        </w:rPr>
        <w:t>provides that</w:t>
      </w:r>
      <w:r w:rsidR="000B0016" w:rsidRPr="0001617C">
        <w:rPr>
          <w:rFonts w:cs="Times New Roman"/>
          <w:sz w:val="24"/>
          <w:szCs w:val="24"/>
          <w:lang w:val="en-GB"/>
        </w:rPr>
        <w:t>,</w:t>
      </w:r>
      <w:r w:rsidR="003D69CA" w:rsidRPr="0001617C">
        <w:rPr>
          <w:rFonts w:cs="Times New Roman"/>
          <w:sz w:val="24"/>
          <w:szCs w:val="24"/>
          <w:lang w:val="en-GB"/>
        </w:rPr>
        <w:t xml:space="preserve"> in the case of a </w:t>
      </w:r>
      <w:r w:rsidRPr="0001617C">
        <w:rPr>
          <w:rFonts w:cs="Times New Roman"/>
          <w:sz w:val="24"/>
          <w:szCs w:val="24"/>
          <w:lang w:val="en-GB"/>
        </w:rPr>
        <w:t xml:space="preserve">direct </w:t>
      </w:r>
      <w:r w:rsidR="004F1C53" w:rsidRPr="0001617C">
        <w:rPr>
          <w:rFonts w:cs="Times New Roman"/>
          <w:sz w:val="24"/>
          <w:szCs w:val="24"/>
          <w:lang w:val="en-GB"/>
        </w:rPr>
        <w:t>claim</w:t>
      </w:r>
      <w:r w:rsidRPr="0001617C">
        <w:rPr>
          <w:rFonts w:cs="Times New Roman"/>
          <w:sz w:val="24"/>
          <w:szCs w:val="24"/>
          <w:lang w:val="en-GB"/>
        </w:rPr>
        <w:t xml:space="preserve"> against the </w:t>
      </w:r>
      <w:r w:rsidR="003D69CA" w:rsidRPr="0001617C">
        <w:rPr>
          <w:rFonts w:cs="Times New Roman"/>
          <w:sz w:val="24"/>
          <w:szCs w:val="24"/>
          <w:lang w:val="en-GB"/>
        </w:rPr>
        <w:t>insurer</w:t>
      </w:r>
      <w:r w:rsidR="000B0016" w:rsidRPr="0001617C">
        <w:rPr>
          <w:rFonts w:cs="Times New Roman"/>
          <w:sz w:val="24"/>
          <w:szCs w:val="24"/>
          <w:lang w:val="en-GB"/>
        </w:rPr>
        <w:t>,</w:t>
      </w:r>
      <w:r w:rsidR="003D69CA" w:rsidRPr="0001617C">
        <w:rPr>
          <w:rFonts w:cs="Times New Roman"/>
          <w:sz w:val="24"/>
          <w:szCs w:val="24"/>
          <w:lang w:val="en-GB"/>
        </w:rPr>
        <w:t xml:space="preserve"> </w:t>
      </w:r>
      <w:r w:rsidR="0029009F" w:rsidRPr="0001617C">
        <w:rPr>
          <w:rFonts w:cs="Times New Roman"/>
          <w:sz w:val="24"/>
          <w:szCs w:val="24"/>
          <w:lang w:val="en-GB"/>
        </w:rPr>
        <w:t>“</w:t>
      </w:r>
      <w:r w:rsidR="003D69CA" w:rsidRPr="0001617C">
        <w:rPr>
          <w:rFonts w:cs="Times New Roman"/>
          <w:i/>
          <w:iCs/>
          <w:sz w:val="24"/>
          <w:szCs w:val="24"/>
          <w:lang w:val="en-GB"/>
        </w:rPr>
        <w:t>In such a case the defendant may, even if the owner is not entitled to limit his liability in accordance with Article V, paragraph 2, avail himself of the limits of liability prescribed in Article V, paragraph 1</w:t>
      </w:r>
      <w:r w:rsidR="000A448A" w:rsidRPr="0001617C">
        <w:rPr>
          <w:rFonts w:cs="Times New Roman"/>
          <w:i/>
          <w:iCs/>
          <w:sz w:val="24"/>
          <w:szCs w:val="24"/>
          <w:lang w:val="en-GB"/>
        </w:rPr>
        <w:t>.</w:t>
      </w:r>
      <w:r w:rsidR="0029009F" w:rsidRPr="0001617C">
        <w:rPr>
          <w:rFonts w:cs="Times New Roman"/>
          <w:sz w:val="24"/>
          <w:szCs w:val="24"/>
          <w:lang w:val="en-GB"/>
        </w:rPr>
        <w:t>”</w:t>
      </w:r>
    </w:p>
    <w:p w14:paraId="5259348D" w14:textId="74BD8AFA" w:rsidR="00E23A92" w:rsidRPr="0001617C" w:rsidRDefault="00BB539D">
      <w:pPr>
        <w:spacing w:before="120" w:after="120" w:line="240" w:lineRule="auto"/>
        <w:jc w:val="both"/>
        <w:rPr>
          <w:rFonts w:cs="Times New Roman"/>
          <w:sz w:val="24"/>
          <w:szCs w:val="24"/>
          <w:lang w:val="en-GB"/>
        </w:rPr>
      </w:pPr>
      <w:r w:rsidRPr="0001617C">
        <w:rPr>
          <w:rFonts w:cs="Times New Roman"/>
          <w:sz w:val="24"/>
          <w:szCs w:val="24"/>
          <w:lang w:val="en-GB"/>
        </w:rPr>
        <w:t xml:space="preserve">4) The </w:t>
      </w:r>
      <w:r w:rsidR="00E53898" w:rsidRPr="0001617C">
        <w:rPr>
          <w:rFonts w:cs="Times New Roman"/>
          <w:sz w:val="24"/>
          <w:szCs w:val="24"/>
          <w:lang w:val="en-GB"/>
        </w:rPr>
        <w:t xml:space="preserve">IOPC </w:t>
      </w:r>
      <w:r w:rsidR="00BB31A4" w:rsidRPr="0001617C">
        <w:rPr>
          <w:rFonts w:cs="Times New Roman"/>
          <w:sz w:val="24"/>
          <w:szCs w:val="24"/>
          <w:lang w:val="en-GB"/>
        </w:rPr>
        <w:t xml:space="preserve">(International Oil Pollution Compensation) </w:t>
      </w:r>
      <w:r w:rsidR="006C6702" w:rsidRPr="0001617C">
        <w:rPr>
          <w:rFonts w:cs="Times New Roman"/>
          <w:sz w:val="24"/>
          <w:szCs w:val="24"/>
          <w:lang w:val="en-GB"/>
        </w:rPr>
        <w:t xml:space="preserve">Funds </w:t>
      </w:r>
      <w:r w:rsidR="0098656B" w:rsidRPr="0001617C">
        <w:rPr>
          <w:rFonts w:cs="Times New Roman"/>
          <w:sz w:val="24"/>
          <w:szCs w:val="24"/>
          <w:lang w:val="en-GB"/>
        </w:rPr>
        <w:t>are</w:t>
      </w:r>
      <w:r w:rsidRPr="0001617C">
        <w:rPr>
          <w:rFonts w:cs="Times New Roman"/>
          <w:sz w:val="24"/>
          <w:szCs w:val="24"/>
          <w:lang w:val="en-GB"/>
        </w:rPr>
        <w:t xml:space="preserve"> liable up to the </w:t>
      </w:r>
      <w:r w:rsidR="00E53898" w:rsidRPr="0001617C">
        <w:rPr>
          <w:rFonts w:cs="Times New Roman"/>
          <w:sz w:val="24"/>
          <w:szCs w:val="24"/>
          <w:lang w:val="en-GB"/>
        </w:rPr>
        <w:t xml:space="preserve">limit laid down in the 1992 Fund Convention. </w:t>
      </w:r>
      <w:r w:rsidR="00D61A8F" w:rsidRPr="0001617C">
        <w:rPr>
          <w:rFonts w:cs="Times New Roman"/>
          <w:sz w:val="24"/>
          <w:szCs w:val="24"/>
          <w:lang w:val="en-GB"/>
        </w:rPr>
        <w:t>They have</w:t>
      </w:r>
      <w:r w:rsidR="00BB31A4" w:rsidRPr="0001617C">
        <w:rPr>
          <w:rFonts w:cs="Times New Roman"/>
          <w:sz w:val="24"/>
          <w:szCs w:val="24"/>
          <w:lang w:val="en-GB"/>
        </w:rPr>
        <w:t xml:space="preserve"> paid, in addition to the P&amp;I </w:t>
      </w:r>
      <w:r w:rsidR="00D61A8F" w:rsidRPr="0001617C">
        <w:rPr>
          <w:rFonts w:cs="Times New Roman"/>
          <w:sz w:val="24"/>
          <w:szCs w:val="24"/>
          <w:lang w:val="en-GB"/>
        </w:rPr>
        <w:t>C</w:t>
      </w:r>
      <w:r w:rsidR="00BB31A4" w:rsidRPr="0001617C">
        <w:rPr>
          <w:rFonts w:cs="Times New Roman"/>
          <w:sz w:val="24"/>
          <w:szCs w:val="24"/>
          <w:lang w:val="en-GB"/>
        </w:rPr>
        <w:t>lub</w:t>
      </w:r>
      <w:r w:rsidR="00B84357" w:rsidRPr="0001617C">
        <w:rPr>
          <w:rFonts w:cs="Times New Roman"/>
          <w:sz w:val="24"/>
          <w:szCs w:val="24"/>
          <w:lang w:val="en-GB"/>
        </w:rPr>
        <w:t>’</w:t>
      </w:r>
      <w:r w:rsidR="00BB31A4" w:rsidRPr="0001617C">
        <w:rPr>
          <w:rFonts w:cs="Times New Roman"/>
          <w:sz w:val="24"/>
          <w:szCs w:val="24"/>
          <w:lang w:val="en-GB"/>
        </w:rPr>
        <w:t xml:space="preserve">s compensation fund, an amount of </w:t>
      </w:r>
      <w:r w:rsidR="00881908" w:rsidRPr="0001617C">
        <w:rPr>
          <w:rFonts w:cs="Times New Roman"/>
          <w:sz w:val="24"/>
          <w:szCs w:val="24"/>
          <w:lang w:val="en-GB"/>
        </w:rPr>
        <w:t xml:space="preserve">EUR </w:t>
      </w:r>
      <w:r w:rsidR="00BB31A4" w:rsidRPr="0001617C">
        <w:rPr>
          <w:rFonts w:cs="Times New Roman"/>
          <w:sz w:val="24"/>
          <w:szCs w:val="24"/>
          <w:lang w:val="en-GB"/>
        </w:rPr>
        <w:t>147.9 million over time</w:t>
      </w:r>
      <w:r w:rsidR="00881908" w:rsidRPr="0001617C">
        <w:rPr>
          <w:rFonts w:cs="Times New Roman"/>
          <w:sz w:val="24"/>
          <w:szCs w:val="24"/>
          <w:lang w:val="en-GB"/>
        </w:rPr>
        <w:t>.</w:t>
      </w:r>
      <w:r w:rsidR="00BB31A4" w:rsidRPr="0001617C">
        <w:rPr>
          <w:rStyle w:val="Refdenotaalpie"/>
          <w:rFonts w:cs="Times New Roman"/>
          <w:sz w:val="24"/>
          <w:szCs w:val="24"/>
          <w:lang w:val="en-GB"/>
        </w:rPr>
        <w:footnoteReference w:id="5"/>
      </w:r>
      <w:r w:rsidR="00BB31A4" w:rsidRPr="0001617C">
        <w:rPr>
          <w:rFonts w:cs="Times New Roman"/>
          <w:sz w:val="24"/>
          <w:szCs w:val="24"/>
          <w:lang w:val="en-GB"/>
        </w:rPr>
        <w:t xml:space="preserve"> The 1992 Fund Convention arose from the desire to guarantee an additional, second </w:t>
      </w:r>
      <w:r w:rsidR="00AE4702" w:rsidRPr="0001617C">
        <w:rPr>
          <w:rFonts w:cs="Times New Roman"/>
          <w:sz w:val="24"/>
          <w:szCs w:val="24"/>
          <w:lang w:val="en-GB"/>
        </w:rPr>
        <w:t>amount</w:t>
      </w:r>
      <w:r w:rsidR="00BB31A4" w:rsidRPr="0001617C">
        <w:rPr>
          <w:rFonts w:cs="Times New Roman"/>
          <w:sz w:val="24"/>
          <w:szCs w:val="24"/>
          <w:lang w:val="en-GB"/>
        </w:rPr>
        <w:t xml:space="preserve"> of compensation to that previously paid </w:t>
      </w:r>
      <w:r w:rsidR="00143C0C" w:rsidRPr="0001617C">
        <w:rPr>
          <w:rFonts w:cs="Times New Roman"/>
          <w:sz w:val="24"/>
          <w:szCs w:val="24"/>
          <w:lang w:val="en-GB"/>
        </w:rPr>
        <w:t>by</w:t>
      </w:r>
      <w:r w:rsidR="00BB31A4" w:rsidRPr="0001617C">
        <w:rPr>
          <w:rFonts w:cs="Times New Roman"/>
          <w:sz w:val="24"/>
          <w:szCs w:val="24"/>
          <w:lang w:val="en-GB"/>
        </w:rPr>
        <w:t xml:space="preserve"> the shipowner and his insurer or guarantor when the latter does not guarantee full compensation for maritime oil pollution damage. To this end, several States </w:t>
      </w:r>
      <w:r w:rsidR="00743554" w:rsidRPr="0001617C">
        <w:rPr>
          <w:rFonts w:cs="Times New Roman"/>
          <w:sz w:val="24"/>
          <w:szCs w:val="24"/>
          <w:lang w:val="en-GB"/>
        </w:rPr>
        <w:t>created</w:t>
      </w:r>
      <w:r w:rsidR="00BB31A4" w:rsidRPr="0001617C">
        <w:rPr>
          <w:rFonts w:cs="Times New Roman"/>
          <w:sz w:val="24"/>
          <w:szCs w:val="24"/>
          <w:lang w:val="en-GB"/>
        </w:rPr>
        <w:t xml:space="preserve"> an entity </w:t>
      </w:r>
      <w:r w:rsidR="00A8543C" w:rsidRPr="0001617C">
        <w:rPr>
          <w:rFonts w:cs="Times New Roman"/>
          <w:sz w:val="24"/>
          <w:szCs w:val="24"/>
          <w:lang w:val="en-GB"/>
        </w:rPr>
        <w:t>recognised as a</w:t>
      </w:r>
      <w:r w:rsidR="00BB31A4" w:rsidRPr="0001617C">
        <w:rPr>
          <w:rFonts w:cs="Times New Roman"/>
          <w:sz w:val="24"/>
          <w:szCs w:val="24"/>
          <w:lang w:val="en-GB"/>
        </w:rPr>
        <w:t xml:space="preserve"> legal person, the IOPC Fund. It is </w:t>
      </w:r>
      <w:r w:rsidR="00BB31A4" w:rsidRPr="0001617C">
        <w:rPr>
          <w:rFonts w:cs="Times New Roman"/>
          <w:sz w:val="24"/>
          <w:szCs w:val="24"/>
          <w:lang w:val="en-GB"/>
        </w:rPr>
        <w:lastRenderedPageBreak/>
        <w:t xml:space="preserve">financed by contributions from </w:t>
      </w:r>
      <w:r w:rsidR="00461744" w:rsidRPr="0001617C">
        <w:rPr>
          <w:rFonts w:cs="Times New Roman"/>
          <w:sz w:val="24"/>
          <w:szCs w:val="24"/>
          <w:lang w:val="en-GB"/>
        </w:rPr>
        <w:t xml:space="preserve">the oil companies located in </w:t>
      </w:r>
      <w:r w:rsidR="00BB31A4" w:rsidRPr="0001617C">
        <w:rPr>
          <w:rFonts w:cs="Times New Roman"/>
          <w:sz w:val="24"/>
          <w:szCs w:val="24"/>
          <w:lang w:val="en-GB"/>
        </w:rPr>
        <w:t xml:space="preserve">each Member State </w:t>
      </w:r>
      <w:r w:rsidR="00461744" w:rsidRPr="0001617C">
        <w:rPr>
          <w:rFonts w:cs="Times New Roman"/>
          <w:sz w:val="24"/>
          <w:szCs w:val="24"/>
          <w:lang w:val="en-GB"/>
        </w:rPr>
        <w:t xml:space="preserve">and in </w:t>
      </w:r>
      <w:r w:rsidR="00BB31A4" w:rsidRPr="0001617C">
        <w:rPr>
          <w:rFonts w:cs="Times New Roman"/>
          <w:sz w:val="24"/>
          <w:szCs w:val="24"/>
          <w:lang w:val="en-GB"/>
        </w:rPr>
        <w:t>proportion to the import of oil by sea into their territory</w:t>
      </w:r>
      <w:r w:rsidR="00461744" w:rsidRPr="0001617C">
        <w:rPr>
          <w:rFonts w:cs="Times New Roman"/>
          <w:sz w:val="24"/>
          <w:szCs w:val="24"/>
          <w:lang w:val="en-GB"/>
        </w:rPr>
        <w:t xml:space="preserve">. </w:t>
      </w:r>
      <w:r w:rsidR="006C6702" w:rsidRPr="0001617C">
        <w:rPr>
          <w:rFonts w:cs="Times New Roman"/>
          <w:sz w:val="24"/>
          <w:szCs w:val="24"/>
          <w:lang w:val="en-GB"/>
        </w:rPr>
        <w:t xml:space="preserve"> </w:t>
      </w:r>
    </w:p>
    <w:p w14:paraId="53E5DA27" w14:textId="7673CE0A" w:rsidR="00E23A92" w:rsidRPr="0001617C" w:rsidRDefault="00BB539D">
      <w:pPr>
        <w:autoSpaceDE w:val="0"/>
        <w:autoSpaceDN w:val="0"/>
        <w:adjustRightInd w:val="0"/>
        <w:spacing w:before="120" w:after="120" w:line="240" w:lineRule="auto"/>
        <w:jc w:val="both"/>
        <w:rPr>
          <w:rStyle w:val="DeltaViewInsertion"/>
          <w:rFonts w:cs="Times New Roman"/>
          <w:color w:val="auto"/>
          <w:sz w:val="24"/>
          <w:szCs w:val="24"/>
          <w:u w:val="none"/>
          <w:lang w:val="en-GB"/>
        </w:rPr>
      </w:pPr>
      <w:r w:rsidRPr="0001617C">
        <w:rPr>
          <w:rFonts w:cs="Times New Roman"/>
          <w:sz w:val="24"/>
          <w:szCs w:val="24"/>
          <w:lang w:val="en-GB"/>
        </w:rPr>
        <w:t xml:space="preserve">The </w:t>
      </w:r>
      <w:r w:rsidR="00F67E44" w:rsidRPr="0001617C">
        <w:rPr>
          <w:rFonts w:cs="Times New Roman"/>
          <w:sz w:val="24"/>
          <w:szCs w:val="24"/>
          <w:lang w:val="en-GB"/>
        </w:rPr>
        <w:t xml:space="preserve">judgment of the </w:t>
      </w:r>
      <w:r w:rsidR="00783E83" w:rsidRPr="0001617C">
        <w:rPr>
          <w:rFonts w:cs="Times New Roman"/>
          <w:sz w:val="24"/>
          <w:szCs w:val="24"/>
          <w:lang w:val="en-GB"/>
        </w:rPr>
        <w:t xml:space="preserve">Spanish </w:t>
      </w:r>
      <w:r w:rsidR="005F4B13" w:rsidRPr="0001617C">
        <w:rPr>
          <w:rFonts w:cs="Times New Roman"/>
          <w:sz w:val="24"/>
          <w:szCs w:val="24"/>
          <w:lang w:val="en-GB"/>
        </w:rPr>
        <w:t xml:space="preserve">Supreme Court of 14 January 2016 </w:t>
      </w:r>
      <w:r w:rsidRPr="0001617C">
        <w:rPr>
          <w:rFonts w:cs="Times New Roman"/>
          <w:sz w:val="24"/>
          <w:szCs w:val="24"/>
          <w:lang w:val="en-GB"/>
        </w:rPr>
        <w:t xml:space="preserve">does not establish what each injured party is to be paid by each defendant, nor how the deposit of </w:t>
      </w:r>
      <w:r w:rsidR="00FA0E2B" w:rsidRPr="0001617C">
        <w:rPr>
          <w:rFonts w:cs="Times New Roman"/>
          <w:sz w:val="24"/>
          <w:szCs w:val="24"/>
          <w:lang w:val="en-GB"/>
        </w:rPr>
        <w:t xml:space="preserve">EUR </w:t>
      </w:r>
      <w:r w:rsidRPr="0001617C">
        <w:rPr>
          <w:rFonts w:cs="Times New Roman"/>
          <w:sz w:val="24"/>
          <w:szCs w:val="24"/>
          <w:lang w:val="en-GB"/>
        </w:rPr>
        <w:t xml:space="preserve">22.7 million is to be distributed. It only </w:t>
      </w:r>
      <w:r w:rsidR="005F4B13" w:rsidRPr="0001617C">
        <w:rPr>
          <w:rFonts w:cs="Times New Roman"/>
          <w:sz w:val="24"/>
          <w:szCs w:val="24"/>
          <w:lang w:val="en-GB"/>
        </w:rPr>
        <w:t xml:space="preserve">sets out the criteria for calculating the compensation due in respect of civil liability. The exact </w:t>
      </w:r>
      <w:r w:rsidR="00D3580E" w:rsidRPr="0001617C">
        <w:rPr>
          <w:rFonts w:cs="Times New Roman"/>
          <w:sz w:val="24"/>
          <w:szCs w:val="24"/>
          <w:lang w:val="en-GB"/>
        </w:rPr>
        <w:t>amount</w:t>
      </w:r>
      <w:r w:rsidR="005F4B13" w:rsidRPr="0001617C">
        <w:rPr>
          <w:rFonts w:cs="Times New Roman"/>
          <w:sz w:val="24"/>
          <w:szCs w:val="24"/>
          <w:lang w:val="en-GB"/>
        </w:rPr>
        <w:t xml:space="preserve"> </w:t>
      </w:r>
      <w:r w:rsidR="00FD24E9" w:rsidRPr="0001617C">
        <w:rPr>
          <w:rFonts w:cs="Times New Roman"/>
          <w:sz w:val="24"/>
          <w:szCs w:val="24"/>
          <w:lang w:val="en-GB"/>
        </w:rPr>
        <w:t xml:space="preserve">to be </w:t>
      </w:r>
      <w:r w:rsidR="005F4B13" w:rsidRPr="0001617C">
        <w:rPr>
          <w:rFonts w:cs="Times New Roman"/>
          <w:sz w:val="24"/>
          <w:szCs w:val="24"/>
          <w:lang w:val="en-GB"/>
        </w:rPr>
        <w:t xml:space="preserve">paid by each liable party and the compensation due to each injured party </w:t>
      </w:r>
      <w:r w:rsidR="003711E1" w:rsidRPr="0001617C">
        <w:rPr>
          <w:rFonts w:cs="Times New Roman"/>
          <w:sz w:val="24"/>
          <w:szCs w:val="24"/>
          <w:lang w:val="en-GB"/>
        </w:rPr>
        <w:t>i</w:t>
      </w:r>
      <w:r w:rsidR="001B3FB5" w:rsidRPr="0001617C">
        <w:rPr>
          <w:rFonts w:cs="Times New Roman"/>
          <w:sz w:val="24"/>
          <w:szCs w:val="24"/>
          <w:lang w:val="en-GB"/>
        </w:rPr>
        <w:t>s</w:t>
      </w:r>
      <w:r w:rsidR="005F4B13" w:rsidRPr="0001617C">
        <w:rPr>
          <w:rFonts w:cs="Times New Roman"/>
          <w:sz w:val="24"/>
          <w:szCs w:val="24"/>
          <w:lang w:val="en-GB"/>
        </w:rPr>
        <w:t xml:space="preserve"> the subject of the enforcement proceedings before the Provincial Court of A Coruña</w:t>
      </w:r>
      <w:r w:rsidR="00FE3A5F" w:rsidRPr="0001617C">
        <w:rPr>
          <w:rFonts w:cs="Times New Roman"/>
          <w:sz w:val="24"/>
          <w:szCs w:val="24"/>
          <w:lang w:val="en-GB"/>
        </w:rPr>
        <w:t>.</w:t>
      </w:r>
      <w:r w:rsidR="005F4B13" w:rsidRPr="0001617C">
        <w:rPr>
          <w:rStyle w:val="Refdenotaalpie"/>
          <w:rFonts w:cs="Times New Roman"/>
          <w:sz w:val="24"/>
          <w:szCs w:val="24"/>
          <w:lang w:val="en-GB"/>
        </w:rPr>
        <w:footnoteReference w:id="6"/>
      </w:r>
      <w:r w:rsidR="005F4B13" w:rsidRPr="0001617C">
        <w:rPr>
          <w:rFonts w:cs="Times New Roman"/>
          <w:sz w:val="24"/>
          <w:szCs w:val="24"/>
          <w:lang w:val="en-GB"/>
        </w:rPr>
        <w:t xml:space="preserve"> There have been several rulings in this executive process. However, the main decision in the </w:t>
      </w:r>
      <w:r w:rsidR="00B61EE3" w:rsidRPr="0001617C">
        <w:rPr>
          <w:rFonts w:cs="Times New Roman"/>
          <w:sz w:val="24"/>
          <w:szCs w:val="24"/>
          <w:lang w:val="en-GB"/>
        </w:rPr>
        <w:t>Spanish</w:t>
      </w:r>
      <w:r w:rsidR="005F4B13" w:rsidRPr="0001617C">
        <w:rPr>
          <w:rFonts w:cs="Times New Roman"/>
          <w:sz w:val="24"/>
          <w:szCs w:val="24"/>
          <w:lang w:val="en-GB"/>
        </w:rPr>
        <w:t xml:space="preserve"> enforcement proceedings </w:t>
      </w:r>
      <w:r w:rsidR="00B61EE3" w:rsidRPr="0001617C">
        <w:rPr>
          <w:rFonts w:cs="Times New Roman"/>
          <w:sz w:val="24"/>
          <w:szCs w:val="24"/>
          <w:lang w:val="en-GB"/>
        </w:rPr>
        <w:t xml:space="preserve">is </w:t>
      </w:r>
      <w:r w:rsidR="005F4B13" w:rsidRPr="0001617C">
        <w:rPr>
          <w:rFonts w:cs="Times New Roman"/>
          <w:sz w:val="24"/>
          <w:szCs w:val="24"/>
          <w:lang w:val="en-GB"/>
        </w:rPr>
        <w:t xml:space="preserve">the </w:t>
      </w:r>
      <w:r w:rsidR="005F4B13" w:rsidRPr="0001617C">
        <w:rPr>
          <w:rFonts w:cs="Times New Roman"/>
          <w:i/>
          <w:iCs/>
          <w:sz w:val="24"/>
          <w:szCs w:val="24"/>
          <w:lang w:val="en-GB"/>
        </w:rPr>
        <w:t xml:space="preserve">order of the Provincial </w:t>
      </w:r>
      <w:r w:rsidR="001777F4" w:rsidRPr="0001617C">
        <w:rPr>
          <w:rFonts w:cs="Times New Roman"/>
          <w:i/>
          <w:iCs/>
          <w:sz w:val="24"/>
          <w:szCs w:val="24"/>
          <w:lang w:val="en-GB"/>
        </w:rPr>
        <w:t xml:space="preserve">Court of </w:t>
      </w:r>
      <w:r w:rsidR="005F4B13" w:rsidRPr="0001617C">
        <w:rPr>
          <w:rFonts w:cs="Times New Roman"/>
          <w:i/>
          <w:iCs/>
          <w:sz w:val="24"/>
          <w:szCs w:val="24"/>
          <w:lang w:val="en-GB"/>
        </w:rPr>
        <w:t>A Coruña of 1 March 2019</w:t>
      </w:r>
      <w:r w:rsidR="00C16070" w:rsidRPr="0001617C">
        <w:rPr>
          <w:rFonts w:cs="Times New Roman"/>
          <w:i/>
          <w:iCs/>
          <w:sz w:val="24"/>
          <w:szCs w:val="24"/>
          <w:lang w:val="en-GB"/>
        </w:rPr>
        <w:t>.</w:t>
      </w:r>
      <w:r w:rsidR="00B61EE3" w:rsidRPr="0001617C">
        <w:rPr>
          <w:rStyle w:val="Refdenotaalpie"/>
          <w:rFonts w:cs="Times New Roman"/>
          <w:sz w:val="24"/>
          <w:szCs w:val="24"/>
          <w:lang w:val="en-GB"/>
        </w:rPr>
        <w:footnoteReference w:id="7"/>
      </w:r>
      <w:r w:rsidR="00F67E44" w:rsidRPr="0001617C">
        <w:rPr>
          <w:rFonts w:cs="Times New Roman"/>
          <w:sz w:val="24"/>
          <w:szCs w:val="24"/>
          <w:lang w:val="en-GB"/>
        </w:rPr>
        <w:t xml:space="preserve"> </w:t>
      </w:r>
      <w:r w:rsidR="005F4B13" w:rsidRPr="0001617C">
        <w:rPr>
          <w:rFonts w:cs="Times New Roman"/>
          <w:sz w:val="24"/>
          <w:szCs w:val="24"/>
          <w:lang w:val="en-GB"/>
        </w:rPr>
        <w:t xml:space="preserve">It quantifies the compensation owed to those affected by the pollution caused by </w:t>
      </w:r>
      <w:r w:rsidR="00DB43DC" w:rsidRPr="0001617C">
        <w:rPr>
          <w:rFonts w:cs="Times New Roman"/>
          <w:i/>
          <w:iCs/>
          <w:sz w:val="24"/>
          <w:szCs w:val="24"/>
          <w:lang w:val="en-GB"/>
        </w:rPr>
        <w:t>The Prestige</w:t>
      </w:r>
      <w:r w:rsidR="005F4B13" w:rsidRPr="0001617C">
        <w:rPr>
          <w:rFonts w:cs="Times New Roman"/>
          <w:sz w:val="24"/>
          <w:szCs w:val="24"/>
          <w:lang w:val="en-GB"/>
        </w:rPr>
        <w:t xml:space="preserve"> incident</w:t>
      </w:r>
      <w:r w:rsidR="00887DBC" w:rsidRPr="0001617C">
        <w:rPr>
          <w:rFonts w:cs="Times New Roman"/>
          <w:sz w:val="24"/>
          <w:szCs w:val="24"/>
          <w:lang w:val="en-GB"/>
        </w:rPr>
        <w:t xml:space="preserve">: </w:t>
      </w:r>
      <w:r w:rsidR="00907FB0" w:rsidRPr="0001617C">
        <w:rPr>
          <w:rFonts w:cs="Times New Roman"/>
          <w:sz w:val="24"/>
          <w:szCs w:val="24"/>
          <w:lang w:val="en-GB"/>
        </w:rPr>
        <w:t xml:space="preserve">the </w:t>
      </w:r>
      <w:r w:rsidR="005F4B13" w:rsidRPr="0001617C">
        <w:rPr>
          <w:rFonts w:cs="Times New Roman"/>
          <w:sz w:val="24"/>
          <w:szCs w:val="24"/>
          <w:lang w:val="en-GB"/>
        </w:rPr>
        <w:t>Spanish State</w:t>
      </w:r>
      <w:r w:rsidR="00907FB0" w:rsidRPr="0001617C">
        <w:rPr>
          <w:rFonts w:cs="Times New Roman"/>
          <w:sz w:val="24"/>
          <w:szCs w:val="24"/>
          <w:lang w:val="en-GB"/>
        </w:rPr>
        <w:t>, EUR</w:t>
      </w:r>
      <w:r w:rsidR="00887DBC" w:rsidRPr="0001617C">
        <w:rPr>
          <w:rFonts w:cs="Times New Roman"/>
          <w:sz w:val="24"/>
          <w:szCs w:val="24"/>
          <w:lang w:val="en-GB"/>
        </w:rPr>
        <w:t xml:space="preserve"> </w:t>
      </w:r>
      <w:r w:rsidR="005F4B13" w:rsidRPr="0001617C">
        <w:rPr>
          <w:rFonts w:cs="Times New Roman"/>
          <w:sz w:val="24"/>
          <w:szCs w:val="24"/>
          <w:lang w:val="en-GB"/>
        </w:rPr>
        <w:t xml:space="preserve">2,355 million; </w:t>
      </w:r>
      <w:r w:rsidR="00907FB0" w:rsidRPr="0001617C">
        <w:rPr>
          <w:rFonts w:cs="Times New Roman"/>
          <w:sz w:val="24"/>
          <w:szCs w:val="24"/>
          <w:lang w:val="en-GB"/>
        </w:rPr>
        <w:t xml:space="preserve">the </w:t>
      </w:r>
      <w:r w:rsidR="005F4B13" w:rsidRPr="0001617C">
        <w:rPr>
          <w:rFonts w:cs="Times New Roman"/>
          <w:sz w:val="24"/>
          <w:szCs w:val="24"/>
          <w:lang w:val="en-GB"/>
        </w:rPr>
        <w:t xml:space="preserve">French State, </w:t>
      </w:r>
      <w:r w:rsidR="00907FB0" w:rsidRPr="0001617C">
        <w:rPr>
          <w:rFonts w:cs="Times New Roman"/>
          <w:sz w:val="24"/>
          <w:szCs w:val="24"/>
          <w:lang w:val="en-GB"/>
        </w:rPr>
        <w:t xml:space="preserve">EUR </w:t>
      </w:r>
      <w:r w:rsidR="005F4B13" w:rsidRPr="0001617C">
        <w:rPr>
          <w:rFonts w:cs="Times New Roman"/>
          <w:sz w:val="24"/>
          <w:szCs w:val="24"/>
          <w:lang w:val="en-GB"/>
        </w:rPr>
        <w:t xml:space="preserve">61 million; </w:t>
      </w:r>
      <w:r w:rsidR="005446FA" w:rsidRPr="0001617C">
        <w:rPr>
          <w:rFonts w:cs="Times New Roman"/>
          <w:sz w:val="24"/>
          <w:szCs w:val="24"/>
          <w:lang w:val="en-GB"/>
        </w:rPr>
        <w:t xml:space="preserve">the </w:t>
      </w:r>
      <w:r w:rsidR="005F4B13" w:rsidRPr="0001617C">
        <w:rPr>
          <w:rFonts w:cs="Times New Roman"/>
          <w:sz w:val="24"/>
          <w:szCs w:val="24"/>
          <w:lang w:val="en-GB"/>
        </w:rPr>
        <w:t xml:space="preserve">Galician Government, </w:t>
      </w:r>
      <w:r w:rsidR="005446FA" w:rsidRPr="0001617C">
        <w:rPr>
          <w:rFonts w:cs="Times New Roman"/>
          <w:sz w:val="24"/>
          <w:szCs w:val="24"/>
          <w:lang w:val="en-GB"/>
        </w:rPr>
        <w:t xml:space="preserve">EUR </w:t>
      </w:r>
      <w:r w:rsidR="005F4B13" w:rsidRPr="0001617C">
        <w:rPr>
          <w:rFonts w:cs="Times New Roman"/>
          <w:sz w:val="24"/>
          <w:szCs w:val="24"/>
          <w:lang w:val="en-GB"/>
        </w:rPr>
        <w:t xml:space="preserve">1.8 million; </w:t>
      </w:r>
      <w:r w:rsidR="005446FA" w:rsidRPr="0001617C">
        <w:rPr>
          <w:rFonts w:cs="Times New Roman"/>
          <w:sz w:val="24"/>
          <w:szCs w:val="24"/>
          <w:lang w:val="en-GB"/>
        </w:rPr>
        <w:t xml:space="preserve">and </w:t>
      </w:r>
      <w:r w:rsidR="005F4B13" w:rsidRPr="0001617C">
        <w:rPr>
          <w:rFonts w:cs="Times New Roman"/>
          <w:sz w:val="24"/>
          <w:szCs w:val="24"/>
          <w:lang w:val="en-GB"/>
        </w:rPr>
        <w:t xml:space="preserve">numerous smaller amounts of compensation in favour of fishing and tourism companies, as well as French municipalities and provincial councils. </w:t>
      </w:r>
    </w:p>
    <w:p w14:paraId="6CED2D02" w14:textId="4BCEA583" w:rsidR="00E23A92" w:rsidRPr="0001617C" w:rsidRDefault="005F4B13">
      <w:pPr>
        <w:spacing w:before="120" w:after="120" w:line="240" w:lineRule="auto"/>
        <w:jc w:val="both"/>
        <w:rPr>
          <w:rFonts w:cs="Times New Roman"/>
          <w:sz w:val="24"/>
          <w:szCs w:val="24"/>
          <w:lang w:val="en-GB"/>
        </w:rPr>
      </w:pPr>
      <w:r w:rsidRPr="0001617C">
        <w:rPr>
          <w:rFonts w:cs="Times New Roman"/>
          <w:sz w:val="24"/>
          <w:szCs w:val="24"/>
          <w:lang w:val="en-GB"/>
        </w:rPr>
        <w:t xml:space="preserve">The order of the Provincial Court of A Coruña of 1 March 2019 also quantifies the amount </w:t>
      </w:r>
      <w:r w:rsidR="00BB539D" w:rsidRPr="0001617C">
        <w:rPr>
          <w:rFonts w:cs="Times New Roman"/>
          <w:sz w:val="24"/>
          <w:szCs w:val="24"/>
          <w:lang w:val="en-GB"/>
        </w:rPr>
        <w:t xml:space="preserve">of the monetary </w:t>
      </w:r>
      <w:r w:rsidR="00867763" w:rsidRPr="0001617C">
        <w:rPr>
          <w:rFonts w:cs="Times New Roman"/>
          <w:sz w:val="24"/>
          <w:szCs w:val="24"/>
          <w:lang w:val="en-GB"/>
        </w:rPr>
        <w:t>sentence</w:t>
      </w:r>
      <w:r w:rsidR="00BB539D" w:rsidRPr="0001617C">
        <w:rPr>
          <w:rFonts w:cs="Times New Roman"/>
          <w:sz w:val="24"/>
          <w:szCs w:val="24"/>
          <w:lang w:val="en-GB"/>
        </w:rPr>
        <w:t xml:space="preserve"> </w:t>
      </w:r>
      <w:r w:rsidR="00F67E44" w:rsidRPr="0001617C">
        <w:rPr>
          <w:rFonts w:cs="Times New Roman"/>
          <w:sz w:val="24"/>
          <w:szCs w:val="24"/>
          <w:lang w:val="en-GB"/>
        </w:rPr>
        <w:t xml:space="preserve">to the </w:t>
      </w:r>
      <w:r w:rsidRPr="0001617C">
        <w:rPr>
          <w:rFonts w:cs="Times New Roman"/>
          <w:sz w:val="24"/>
          <w:szCs w:val="24"/>
          <w:lang w:val="en-GB"/>
        </w:rPr>
        <w:t xml:space="preserve">P&amp;I </w:t>
      </w:r>
      <w:r w:rsidR="00D41547" w:rsidRPr="0001617C">
        <w:rPr>
          <w:rFonts w:cs="Times New Roman"/>
          <w:sz w:val="24"/>
          <w:szCs w:val="24"/>
          <w:lang w:val="en-GB"/>
        </w:rPr>
        <w:t>C</w:t>
      </w:r>
      <w:r w:rsidR="00F67E44" w:rsidRPr="0001617C">
        <w:rPr>
          <w:rFonts w:cs="Times New Roman"/>
          <w:sz w:val="24"/>
          <w:szCs w:val="24"/>
          <w:lang w:val="en-GB"/>
        </w:rPr>
        <w:t>lub</w:t>
      </w:r>
      <w:r w:rsidR="00E81FAA" w:rsidRPr="0001617C">
        <w:rPr>
          <w:rFonts w:cs="Times New Roman"/>
          <w:sz w:val="24"/>
          <w:szCs w:val="24"/>
          <w:lang w:val="en-GB"/>
        </w:rPr>
        <w:t xml:space="preserve">, which is </w:t>
      </w:r>
      <w:r w:rsidR="00BB539D" w:rsidRPr="0001617C">
        <w:rPr>
          <w:rFonts w:cs="Times New Roman"/>
          <w:sz w:val="24"/>
          <w:szCs w:val="24"/>
          <w:lang w:val="en-GB"/>
        </w:rPr>
        <w:t>pending payment</w:t>
      </w:r>
      <w:r w:rsidRPr="0001617C">
        <w:rPr>
          <w:rFonts w:cs="Times New Roman"/>
          <w:sz w:val="24"/>
          <w:szCs w:val="24"/>
          <w:lang w:val="en-GB"/>
        </w:rPr>
        <w:t xml:space="preserve">: </w:t>
      </w:r>
      <w:r w:rsidR="00E81FAA" w:rsidRPr="0001617C">
        <w:rPr>
          <w:rFonts w:cs="Times New Roman"/>
          <w:sz w:val="24"/>
          <w:szCs w:val="24"/>
          <w:lang w:val="en-GB"/>
        </w:rPr>
        <w:t xml:space="preserve">EUR </w:t>
      </w:r>
      <w:r w:rsidRPr="0001617C">
        <w:rPr>
          <w:rFonts w:cs="Times New Roman"/>
          <w:sz w:val="24"/>
          <w:szCs w:val="24"/>
          <w:lang w:val="en-GB"/>
        </w:rPr>
        <w:t>855,493,575.65</w:t>
      </w:r>
      <w:r w:rsidR="00E81FAA" w:rsidRPr="0001617C">
        <w:rPr>
          <w:rFonts w:cs="Times New Roman"/>
          <w:sz w:val="24"/>
          <w:szCs w:val="24"/>
          <w:lang w:val="en-GB"/>
        </w:rPr>
        <w:t xml:space="preserve">. </w:t>
      </w:r>
      <w:r w:rsidRPr="0001617C">
        <w:rPr>
          <w:rFonts w:cs="Times New Roman"/>
          <w:sz w:val="24"/>
          <w:szCs w:val="24"/>
          <w:lang w:val="en-GB"/>
        </w:rPr>
        <w:t>This corresponds to the conversion into euros of</w:t>
      </w:r>
      <w:r w:rsidR="00631FD2" w:rsidRPr="0001617C">
        <w:rPr>
          <w:rFonts w:cs="Times New Roman"/>
          <w:sz w:val="24"/>
          <w:szCs w:val="24"/>
          <w:lang w:val="en-GB"/>
        </w:rPr>
        <w:t xml:space="preserve"> </w:t>
      </w:r>
      <w:r w:rsidR="005A10DF" w:rsidRPr="0001617C">
        <w:rPr>
          <w:rFonts w:cs="Times New Roman"/>
          <w:sz w:val="24"/>
          <w:szCs w:val="24"/>
          <w:shd w:val="clear" w:color="auto" w:fill="FFFFFF"/>
          <w:lang w:val="en-GB"/>
        </w:rPr>
        <w:t>US$ 1</w:t>
      </w:r>
      <w:r w:rsidRPr="0001617C">
        <w:rPr>
          <w:rFonts w:cs="Times New Roman"/>
          <w:sz w:val="24"/>
          <w:szCs w:val="24"/>
          <w:lang w:val="en-GB"/>
        </w:rPr>
        <w:t xml:space="preserve"> billion. The compensation fund already deposited by the P&amp;I </w:t>
      </w:r>
      <w:r w:rsidR="007141F5" w:rsidRPr="0001617C">
        <w:rPr>
          <w:rFonts w:cs="Times New Roman"/>
          <w:sz w:val="24"/>
          <w:szCs w:val="24"/>
          <w:lang w:val="en-GB"/>
        </w:rPr>
        <w:t>C</w:t>
      </w:r>
      <w:r w:rsidRPr="0001617C">
        <w:rPr>
          <w:rFonts w:cs="Times New Roman"/>
          <w:sz w:val="24"/>
          <w:szCs w:val="24"/>
          <w:lang w:val="en-GB"/>
        </w:rPr>
        <w:t>lub under the 1992 Civil Liability Convention (</w:t>
      </w:r>
      <w:r w:rsidR="00983662" w:rsidRPr="0001617C">
        <w:rPr>
          <w:rFonts w:cs="Times New Roman"/>
          <w:sz w:val="24"/>
          <w:szCs w:val="24"/>
          <w:lang w:val="en-GB"/>
        </w:rPr>
        <w:t xml:space="preserve">EUR </w:t>
      </w:r>
      <w:r w:rsidRPr="0001617C">
        <w:rPr>
          <w:rFonts w:cs="Times New Roman"/>
          <w:sz w:val="24"/>
          <w:szCs w:val="24"/>
          <w:lang w:val="en-GB"/>
        </w:rPr>
        <w:t xml:space="preserve">22.7 million) </w:t>
      </w:r>
      <w:r w:rsidR="007141F5" w:rsidRPr="0001617C">
        <w:rPr>
          <w:rFonts w:cs="Times New Roman"/>
          <w:sz w:val="24"/>
          <w:szCs w:val="24"/>
          <w:lang w:val="en-GB"/>
        </w:rPr>
        <w:t>wa</w:t>
      </w:r>
      <w:r w:rsidRPr="0001617C">
        <w:rPr>
          <w:rFonts w:cs="Times New Roman"/>
          <w:sz w:val="24"/>
          <w:szCs w:val="24"/>
          <w:lang w:val="en-GB"/>
        </w:rPr>
        <w:t xml:space="preserve">s subtracted. </w:t>
      </w:r>
    </w:p>
    <w:p w14:paraId="3B1BB168" w14:textId="77777777" w:rsidR="00334FEC" w:rsidRPr="0001617C" w:rsidRDefault="00334FEC" w:rsidP="00E17EC6">
      <w:pPr>
        <w:spacing w:before="120" w:after="120" w:line="240" w:lineRule="auto"/>
        <w:jc w:val="both"/>
        <w:rPr>
          <w:rFonts w:cs="Times New Roman"/>
          <w:b/>
          <w:bCs/>
          <w:sz w:val="24"/>
          <w:szCs w:val="24"/>
          <w:lang w:val="en-GB"/>
        </w:rPr>
      </w:pPr>
    </w:p>
    <w:p w14:paraId="61E48D80" w14:textId="0B0F6B3A" w:rsidR="00E23A92" w:rsidRPr="00D97B0D" w:rsidRDefault="00BB539D" w:rsidP="00D97B0D">
      <w:pPr>
        <w:pStyle w:val="Prrafodelista"/>
        <w:numPr>
          <w:ilvl w:val="1"/>
          <w:numId w:val="50"/>
        </w:numPr>
        <w:spacing w:before="120" w:after="120" w:line="240" w:lineRule="auto"/>
        <w:jc w:val="both"/>
        <w:rPr>
          <w:rFonts w:cs="Times New Roman"/>
          <w:b/>
          <w:bCs/>
          <w:caps/>
          <w:sz w:val="24"/>
          <w:szCs w:val="24"/>
          <w:lang w:val="en-GB"/>
        </w:rPr>
      </w:pPr>
      <w:r w:rsidRPr="00D97B0D">
        <w:rPr>
          <w:rFonts w:cs="Times New Roman"/>
          <w:b/>
          <w:bCs/>
          <w:sz w:val="24"/>
          <w:szCs w:val="24"/>
          <w:lang w:val="en-GB"/>
        </w:rPr>
        <w:t>English arbitration and court proceedings</w:t>
      </w:r>
      <w:r w:rsidR="00F64697" w:rsidRPr="00D97B0D">
        <w:rPr>
          <w:rFonts w:cs="Times New Roman"/>
          <w:b/>
          <w:bCs/>
          <w:sz w:val="24"/>
          <w:szCs w:val="24"/>
          <w:lang w:val="en-GB"/>
        </w:rPr>
        <w:t xml:space="preserve">: exoneration of the insurer from paying anything above the international limits of indemnity </w:t>
      </w:r>
      <w:r w:rsidR="00B43C4B" w:rsidRPr="00D97B0D">
        <w:rPr>
          <w:rFonts w:cs="Times New Roman"/>
          <w:b/>
          <w:bCs/>
          <w:sz w:val="24"/>
          <w:szCs w:val="24"/>
          <w:lang w:val="en-GB"/>
        </w:rPr>
        <w:t>and the rule of pre-payment of indemnity by the insured.</w:t>
      </w:r>
    </w:p>
    <w:p w14:paraId="1815575F" w14:textId="7D399828" w:rsidR="00E23A92" w:rsidRPr="0001617C" w:rsidRDefault="00513A4F">
      <w:pPr>
        <w:spacing w:before="120" w:after="120" w:line="240" w:lineRule="auto"/>
        <w:jc w:val="both"/>
        <w:rPr>
          <w:rFonts w:cs="Times New Roman"/>
          <w:sz w:val="24"/>
          <w:szCs w:val="24"/>
          <w:lang w:val="en-GB"/>
        </w:rPr>
      </w:pPr>
      <w:r w:rsidRPr="0001617C">
        <w:rPr>
          <w:rFonts w:cs="Times New Roman"/>
          <w:sz w:val="24"/>
          <w:szCs w:val="24"/>
          <w:lang w:val="en-GB"/>
        </w:rPr>
        <w:t>With</w:t>
      </w:r>
      <w:r w:rsidR="00BB539D" w:rsidRPr="0001617C">
        <w:rPr>
          <w:rFonts w:cs="Times New Roman"/>
          <w:sz w:val="24"/>
          <w:szCs w:val="24"/>
          <w:lang w:val="en-GB"/>
        </w:rPr>
        <w:t xml:space="preserve"> the declaratory process of civil and criminal liability </w:t>
      </w:r>
      <w:r w:rsidR="00B5053A" w:rsidRPr="0001617C">
        <w:rPr>
          <w:rFonts w:cs="Times New Roman"/>
          <w:sz w:val="24"/>
          <w:szCs w:val="24"/>
          <w:lang w:val="en-GB"/>
        </w:rPr>
        <w:t xml:space="preserve">begun in 2010 </w:t>
      </w:r>
      <w:r w:rsidR="00BB539D" w:rsidRPr="0001617C">
        <w:rPr>
          <w:rFonts w:cs="Times New Roman"/>
          <w:sz w:val="24"/>
          <w:szCs w:val="24"/>
          <w:lang w:val="en-GB"/>
        </w:rPr>
        <w:t xml:space="preserve">underway </w:t>
      </w:r>
      <w:r w:rsidR="00FC096A" w:rsidRPr="0001617C">
        <w:rPr>
          <w:rFonts w:cs="Times New Roman"/>
          <w:sz w:val="24"/>
          <w:szCs w:val="24"/>
          <w:lang w:val="en-GB"/>
        </w:rPr>
        <w:t>before the Provincial Court of A Coruña</w:t>
      </w:r>
      <w:r w:rsidR="00BB539D" w:rsidRPr="0001617C">
        <w:rPr>
          <w:rFonts w:cs="Times New Roman"/>
          <w:sz w:val="24"/>
          <w:szCs w:val="24"/>
          <w:lang w:val="en-GB"/>
        </w:rPr>
        <w:t xml:space="preserve">, </w:t>
      </w:r>
      <w:r w:rsidR="00887DBC" w:rsidRPr="0001617C">
        <w:rPr>
          <w:rFonts w:cs="Times New Roman"/>
          <w:sz w:val="24"/>
          <w:szCs w:val="24"/>
          <w:lang w:val="en-GB"/>
        </w:rPr>
        <w:t xml:space="preserve">with the </w:t>
      </w:r>
      <w:r w:rsidR="00BB539D" w:rsidRPr="0001617C">
        <w:rPr>
          <w:rFonts w:cs="Times New Roman"/>
          <w:sz w:val="24"/>
          <w:szCs w:val="24"/>
          <w:lang w:val="en-GB"/>
        </w:rPr>
        <w:t xml:space="preserve">P&amp;I </w:t>
      </w:r>
      <w:r w:rsidR="00DC7900" w:rsidRPr="0001617C">
        <w:rPr>
          <w:rFonts w:cs="Times New Roman"/>
          <w:sz w:val="24"/>
          <w:szCs w:val="24"/>
          <w:lang w:val="en-GB"/>
        </w:rPr>
        <w:t>C</w:t>
      </w:r>
      <w:r w:rsidR="00BB539D" w:rsidRPr="0001617C">
        <w:rPr>
          <w:rFonts w:cs="Times New Roman"/>
          <w:sz w:val="24"/>
          <w:szCs w:val="24"/>
          <w:lang w:val="en-GB"/>
        </w:rPr>
        <w:t xml:space="preserve">lub </w:t>
      </w:r>
      <w:r w:rsidR="00887DBC" w:rsidRPr="0001617C">
        <w:rPr>
          <w:rFonts w:cs="Times New Roman"/>
          <w:sz w:val="24"/>
          <w:szCs w:val="24"/>
          <w:lang w:val="en-GB"/>
        </w:rPr>
        <w:t xml:space="preserve">in default, the </w:t>
      </w:r>
      <w:r w:rsidR="00C2429B" w:rsidRPr="0001617C">
        <w:rPr>
          <w:rFonts w:cs="Times New Roman"/>
          <w:sz w:val="24"/>
          <w:szCs w:val="24"/>
          <w:lang w:val="en-GB"/>
        </w:rPr>
        <w:t>C</w:t>
      </w:r>
      <w:r w:rsidR="00887DBC" w:rsidRPr="0001617C">
        <w:rPr>
          <w:rFonts w:cs="Times New Roman"/>
          <w:sz w:val="24"/>
          <w:szCs w:val="24"/>
          <w:lang w:val="en-GB"/>
        </w:rPr>
        <w:t xml:space="preserve">lub </w:t>
      </w:r>
      <w:r w:rsidR="00E25E93" w:rsidRPr="0001617C">
        <w:rPr>
          <w:rFonts w:cs="Times New Roman"/>
          <w:sz w:val="24"/>
          <w:szCs w:val="24"/>
          <w:lang w:val="en-GB"/>
        </w:rPr>
        <w:t>pursued</w:t>
      </w:r>
      <w:r w:rsidR="00BB539D" w:rsidRPr="0001617C">
        <w:rPr>
          <w:rFonts w:cs="Times New Roman"/>
          <w:sz w:val="24"/>
          <w:szCs w:val="24"/>
          <w:lang w:val="en-GB"/>
        </w:rPr>
        <w:t xml:space="preserve"> a </w:t>
      </w:r>
      <w:r w:rsidR="00BB539D" w:rsidRPr="0001617C">
        <w:rPr>
          <w:rFonts w:cs="Times New Roman"/>
          <w:i/>
          <w:iCs/>
          <w:sz w:val="24"/>
          <w:szCs w:val="24"/>
          <w:lang w:val="en-GB"/>
        </w:rPr>
        <w:t xml:space="preserve">procedural </w:t>
      </w:r>
      <w:r w:rsidR="00682538" w:rsidRPr="0001617C">
        <w:rPr>
          <w:rFonts w:cs="Times New Roman"/>
          <w:i/>
          <w:iCs/>
          <w:sz w:val="24"/>
          <w:szCs w:val="24"/>
          <w:lang w:val="en-GB"/>
        </w:rPr>
        <w:t xml:space="preserve">defence </w:t>
      </w:r>
      <w:r w:rsidR="00BB539D" w:rsidRPr="0001617C">
        <w:rPr>
          <w:rFonts w:cs="Times New Roman"/>
          <w:i/>
          <w:iCs/>
          <w:sz w:val="24"/>
          <w:szCs w:val="24"/>
          <w:lang w:val="en-GB"/>
        </w:rPr>
        <w:t xml:space="preserve">strategy </w:t>
      </w:r>
      <w:r w:rsidR="00BB539D" w:rsidRPr="0001617C">
        <w:rPr>
          <w:rFonts w:cs="Times New Roman"/>
          <w:sz w:val="24"/>
          <w:szCs w:val="24"/>
          <w:lang w:val="en-GB"/>
        </w:rPr>
        <w:t xml:space="preserve">aimed at hindering the possible future conviction </w:t>
      </w:r>
      <w:r w:rsidR="00110695" w:rsidRPr="0001617C">
        <w:rPr>
          <w:rFonts w:cs="Times New Roman"/>
          <w:sz w:val="24"/>
          <w:szCs w:val="24"/>
          <w:lang w:val="en-GB"/>
        </w:rPr>
        <w:t xml:space="preserve">against it in the </w:t>
      </w:r>
      <w:r w:rsidR="00BB539D" w:rsidRPr="0001617C">
        <w:rPr>
          <w:rFonts w:cs="Times New Roman"/>
          <w:sz w:val="24"/>
          <w:szCs w:val="24"/>
          <w:lang w:val="en-GB"/>
        </w:rPr>
        <w:t>Spanish judicial process</w:t>
      </w:r>
      <w:r w:rsidR="00B5053A" w:rsidRPr="0001617C">
        <w:rPr>
          <w:rFonts w:cs="Times New Roman"/>
          <w:sz w:val="24"/>
          <w:szCs w:val="24"/>
          <w:lang w:val="en-GB"/>
        </w:rPr>
        <w:t>.</w:t>
      </w:r>
      <w:r w:rsidR="00682538" w:rsidRPr="0001617C">
        <w:rPr>
          <w:rStyle w:val="Refdenotaalpie"/>
          <w:rFonts w:cs="Times New Roman"/>
          <w:sz w:val="24"/>
          <w:szCs w:val="24"/>
          <w:lang w:val="en-GB"/>
        </w:rPr>
        <w:footnoteReference w:id="8"/>
      </w:r>
      <w:r w:rsidR="00BB539D" w:rsidRPr="0001617C">
        <w:rPr>
          <w:rFonts w:cs="Times New Roman"/>
          <w:sz w:val="24"/>
          <w:szCs w:val="24"/>
          <w:lang w:val="en-GB"/>
        </w:rPr>
        <w:t xml:space="preserve"> </w:t>
      </w:r>
      <w:r w:rsidR="00110695" w:rsidRPr="0001617C">
        <w:rPr>
          <w:rFonts w:cs="Times New Roman"/>
          <w:sz w:val="24"/>
          <w:szCs w:val="24"/>
          <w:lang w:val="en-GB"/>
        </w:rPr>
        <w:t>It ha</w:t>
      </w:r>
      <w:r w:rsidR="00E119C0" w:rsidRPr="0001617C">
        <w:rPr>
          <w:rFonts w:cs="Times New Roman"/>
          <w:sz w:val="24"/>
          <w:szCs w:val="24"/>
          <w:lang w:val="en-GB"/>
        </w:rPr>
        <w:t>d</w:t>
      </w:r>
      <w:r w:rsidR="00110695" w:rsidRPr="0001617C">
        <w:rPr>
          <w:rFonts w:cs="Times New Roman"/>
          <w:sz w:val="24"/>
          <w:szCs w:val="24"/>
          <w:lang w:val="en-GB"/>
        </w:rPr>
        <w:t xml:space="preserve"> two phases, one arbitral and one judicial</w:t>
      </w:r>
      <w:r w:rsidR="00887DBC" w:rsidRPr="0001617C">
        <w:rPr>
          <w:rFonts w:cs="Times New Roman"/>
          <w:sz w:val="24"/>
          <w:szCs w:val="24"/>
          <w:lang w:val="en-GB"/>
        </w:rPr>
        <w:t xml:space="preserve">. </w:t>
      </w:r>
    </w:p>
    <w:p w14:paraId="0788B10B" w14:textId="258F274D" w:rsidR="00E23A92" w:rsidRPr="0001617C" w:rsidRDefault="00BB539D">
      <w:pPr>
        <w:spacing w:before="120" w:after="120" w:line="240" w:lineRule="auto"/>
        <w:jc w:val="both"/>
        <w:rPr>
          <w:sz w:val="24"/>
          <w:szCs w:val="24"/>
          <w:lang w:val="en-GB"/>
        </w:rPr>
      </w:pPr>
      <w:r w:rsidRPr="0001617C">
        <w:rPr>
          <w:rFonts w:cs="Times New Roman"/>
          <w:i/>
          <w:iCs/>
          <w:sz w:val="24"/>
          <w:szCs w:val="24"/>
          <w:lang w:val="en-GB"/>
        </w:rPr>
        <w:t>1</w:t>
      </w:r>
      <w:r w:rsidR="00887DBC" w:rsidRPr="0001617C">
        <w:rPr>
          <w:rFonts w:cs="Times New Roman"/>
          <w:i/>
          <w:iCs/>
          <w:sz w:val="24"/>
          <w:szCs w:val="24"/>
          <w:lang w:val="en-GB"/>
        </w:rPr>
        <w:t xml:space="preserve">. Arbitration </w:t>
      </w:r>
      <w:r w:rsidRPr="0001617C">
        <w:rPr>
          <w:rFonts w:cs="Times New Roman"/>
          <w:i/>
          <w:iCs/>
          <w:sz w:val="24"/>
          <w:szCs w:val="24"/>
          <w:lang w:val="en-GB"/>
        </w:rPr>
        <w:t xml:space="preserve">phase. </w:t>
      </w:r>
      <w:r w:rsidRPr="0001617C">
        <w:rPr>
          <w:rFonts w:cs="Times New Roman"/>
          <w:sz w:val="24"/>
          <w:szCs w:val="24"/>
          <w:lang w:val="en-GB"/>
        </w:rPr>
        <w:t>In January 2012</w:t>
      </w:r>
      <w:r w:rsidR="005F4B13" w:rsidRPr="0001617C">
        <w:rPr>
          <w:rFonts w:cs="Times New Roman"/>
          <w:sz w:val="24"/>
          <w:szCs w:val="24"/>
          <w:lang w:val="en-GB"/>
        </w:rPr>
        <w:t xml:space="preserve">, the P&amp;I </w:t>
      </w:r>
      <w:r w:rsidR="00E119C0" w:rsidRPr="0001617C">
        <w:rPr>
          <w:rFonts w:cs="Times New Roman"/>
          <w:sz w:val="24"/>
          <w:szCs w:val="24"/>
          <w:lang w:val="en-GB"/>
        </w:rPr>
        <w:t>C</w:t>
      </w:r>
      <w:r w:rsidR="005F4B13" w:rsidRPr="0001617C">
        <w:rPr>
          <w:rFonts w:cs="Times New Roman"/>
          <w:sz w:val="24"/>
          <w:szCs w:val="24"/>
          <w:lang w:val="en-GB"/>
        </w:rPr>
        <w:t xml:space="preserve">lub </w:t>
      </w:r>
      <w:r w:rsidR="005F4B13" w:rsidRPr="0001617C">
        <w:rPr>
          <w:rFonts w:cs="Times New Roman"/>
          <w:sz w:val="24"/>
          <w:szCs w:val="24"/>
          <w:shd w:val="clear" w:color="auto" w:fill="FFFFFF"/>
          <w:lang w:val="en-GB"/>
        </w:rPr>
        <w:t>applied to the competent English court under the English Arbitration Act 1996 for the appointment of an arbitrator in two arbitration proceedings in London, one against the Spanish State and the other against the French State</w:t>
      </w:r>
      <w:r w:rsidR="00355D2B" w:rsidRPr="0001617C">
        <w:rPr>
          <w:rFonts w:cs="Times New Roman"/>
          <w:sz w:val="24"/>
          <w:szCs w:val="24"/>
          <w:shd w:val="clear" w:color="auto" w:fill="FFFFFF"/>
          <w:lang w:val="en-GB"/>
        </w:rPr>
        <w:t>.</w:t>
      </w:r>
      <w:r w:rsidR="005F4B13" w:rsidRPr="0001617C">
        <w:rPr>
          <w:rStyle w:val="Refdenotaalpie"/>
          <w:rFonts w:cs="Times New Roman"/>
          <w:sz w:val="24"/>
          <w:szCs w:val="24"/>
          <w:shd w:val="clear" w:color="auto" w:fill="FFFFFF"/>
          <w:lang w:val="en-GB"/>
        </w:rPr>
        <w:footnoteReference w:id="9"/>
      </w:r>
      <w:r w:rsidR="005F4B13" w:rsidRPr="0001617C">
        <w:rPr>
          <w:rFonts w:cs="Times New Roman"/>
          <w:sz w:val="24"/>
          <w:szCs w:val="24"/>
          <w:shd w:val="clear" w:color="auto" w:fill="FFFFFF"/>
          <w:lang w:val="en-GB"/>
        </w:rPr>
        <w:t xml:space="preserve"> </w:t>
      </w:r>
      <w:r w:rsidR="00DA2396" w:rsidRPr="0001617C">
        <w:rPr>
          <w:rFonts w:cs="Times New Roman"/>
          <w:sz w:val="24"/>
          <w:szCs w:val="24"/>
          <w:shd w:val="clear" w:color="auto" w:fill="FFFFFF"/>
          <w:lang w:val="en-GB"/>
        </w:rPr>
        <w:t>The</w:t>
      </w:r>
      <w:r w:rsidR="004208AE" w:rsidRPr="0001617C">
        <w:rPr>
          <w:rFonts w:cs="Times New Roman"/>
          <w:sz w:val="24"/>
          <w:szCs w:val="24"/>
          <w:shd w:val="clear" w:color="auto" w:fill="FFFFFF"/>
          <w:lang w:val="en-GB"/>
        </w:rPr>
        <w:t>se</w:t>
      </w:r>
      <w:r w:rsidR="00DA2396" w:rsidRPr="0001617C">
        <w:rPr>
          <w:rFonts w:cs="Times New Roman"/>
          <w:sz w:val="24"/>
          <w:szCs w:val="24"/>
          <w:shd w:val="clear" w:color="auto" w:fill="FFFFFF"/>
          <w:lang w:val="en-GB"/>
        </w:rPr>
        <w:t xml:space="preserve"> </w:t>
      </w:r>
      <w:r w:rsidR="004208AE" w:rsidRPr="0001617C">
        <w:rPr>
          <w:rFonts w:cs="Times New Roman"/>
          <w:sz w:val="24"/>
          <w:szCs w:val="24"/>
          <w:shd w:val="clear" w:color="auto" w:fill="FFFFFF"/>
          <w:lang w:val="en-GB"/>
        </w:rPr>
        <w:t>were</w:t>
      </w:r>
      <w:r w:rsidR="00DA2396" w:rsidRPr="0001617C">
        <w:rPr>
          <w:rFonts w:cs="Times New Roman"/>
          <w:sz w:val="24"/>
          <w:szCs w:val="24"/>
          <w:shd w:val="clear" w:color="auto" w:fill="FFFFFF"/>
          <w:lang w:val="en-GB"/>
        </w:rPr>
        <w:t xml:space="preserve"> the two main civil liability claimants in the ongoing proceedings before the Provincial Court of A Coruña. </w:t>
      </w:r>
      <w:r w:rsidR="005F4B13" w:rsidRPr="0001617C">
        <w:rPr>
          <w:rFonts w:cs="Times New Roman"/>
          <w:sz w:val="24"/>
          <w:szCs w:val="24"/>
          <w:shd w:val="clear" w:color="auto" w:fill="FFFFFF"/>
          <w:lang w:val="en-GB"/>
        </w:rPr>
        <w:t xml:space="preserve">The basis of the </w:t>
      </w:r>
      <w:r w:rsidR="00DA2396" w:rsidRPr="0001617C">
        <w:rPr>
          <w:rFonts w:cs="Times New Roman"/>
          <w:sz w:val="24"/>
          <w:szCs w:val="24"/>
          <w:shd w:val="clear" w:color="auto" w:fill="FFFFFF"/>
          <w:lang w:val="en-GB"/>
        </w:rPr>
        <w:t xml:space="preserve">P&amp;I </w:t>
      </w:r>
      <w:r w:rsidR="004208AE" w:rsidRPr="0001617C">
        <w:rPr>
          <w:rFonts w:cs="Times New Roman"/>
          <w:sz w:val="24"/>
          <w:szCs w:val="24"/>
          <w:shd w:val="clear" w:color="auto" w:fill="FFFFFF"/>
          <w:lang w:val="en-GB"/>
        </w:rPr>
        <w:t>C</w:t>
      </w:r>
      <w:r w:rsidR="00DA2396" w:rsidRPr="0001617C">
        <w:rPr>
          <w:rFonts w:cs="Times New Roman"/>
          <w:sz w:val="24"/>
          <w:szCs w:val="24"/>
          <w:shd w:val="clear" w:color="auto" w:fill="FFFFFF"/>
          <w:lang w:val="en-GB"/>
        </w:rPr>
        <w:t>lub</w:t>
      </w:r>
      <w:r w:rsidR="00B84357" w:rsidRPr="0001617C">
        <w:rPr>
          <w:rFonts w:cs="Times New Roman"/>
          <w:sz w:val="24"/>
          <w:szCs w:val="24"/>
          <w:shd w:val="clear" w:color="auto" w:fill="FFFFFF"/>
          <w:lang w:val="en-GB"/>
        </w:rPr>
        <w:t>’</w:t>
      </w:r>
      <w:r w:rsidR="005F4B13" w:rsidRPr="0001617C">
        <w:rPr>
          <w:rFonts w:cs="Times New Roman"/>
          <w:sz w:val="24"/>
          <w:szCs w:val="24"/>
          <w:shd w:val="clear" w:color="auto" w:fill="FFFFFF"/>
          <w:lang w:val="en-GB"/>
        </w:rPr>
        <w:t xml:space="preserve">s claim </w:t>
      </w:r>
      <w:r w:rsidR="00886FD5" w:rsidRPr="0001617C">
        <w:rPr>
          <w:rFonts w:cs="Times New Roman"/>
          <w:sz w:val="24"/>
          <w:szCs w:val="24"/>
          <w:shd w:val="clear" w:color="auto" w:fill="FFFFFF"/>
          <w:lang w:val="en-GB"/>
        </w:rPr>
        <w:t>wa</w:t>
      </w:r>
      <w:r w:rsidR="005F4B13" w:rsidRPr="0001617C">
        <w:rPr>
          <w:rFonts w:cs="Times New Roman"/>
          <w:sz w:val="24"/>
          <w:szCs w:val="24"/>
          <w:shd w:val="clear" w:color="auto" w:fill="FFFFFF"/>
          <w:lang w:val="en-GB"/>
        </w:rPr>
        <w:t xml:space="preserve">s the </w:t>
      </w:r>
      <w:r w:rsidR="00DA2396" w:rsidRPr="0001617C">
        <w:rPr>
          <w:rFonts w:cs="Times New Roman"/>
          <w:sz w:val="24"/>
          <w:szCs w:val="24"/>
          <w:shd w:val="clear" w:color="auto" w:fill="FFFFFF"/>
          <w:lang w:val="en-GB"/>
        </w:rPr>
        <w:t xml:space="preserve">London </w:t>
      </w:r>
      <w:r w:rsidR="005F4B13" w:rsidRPr="0001617C">
        <w:rPr>
          <w:rFonts w:cs="Times New Roman"/>
          <w:sz w:val="24"/>
          <w:szCs w:val="24"/>
          <w:shd w:val="clear" w:color="auto" w:fill="FFFFFF"/>
          <w:lang w:val="en-GB"/>
        </w:rPr>
        <w:t xml:space="preserve">arbitration clause included in the P&amp;I insurance rules contracted with the insured. The P&amp;I </w:t>
      </w:r>
      <w:r w:rsidR="00CB6880" w:rsidRPr="0001617C">
        <w:rPr>
          <w:rFonts w:cs="Times New Roman"/>
          <w:sz w:val="24"/>
          <w:szCs w:val="24"/>
          <w:shd w:val="clear" w:color="auto" w:fill="FFFFFF"/>
          <w:lang w:val="en-GB"/>
        </w:rPr>
        <w:t>C</w:t>
      </w:r>
      <w:r w:rsidR="005F4B13" w:rsidRPr="0001617C">
        <w:rPr>
          <w:rFonts w:cs="Times New Roman"/>
          <w:sz w:val="24"/>
          <w:szCs w:val="24"/>
          <w:shd w:val="clear" w:color="auto" w:fill="FFFFFF"/>
          <w:lang w:val="en-GB"/>
        </w:rPr>
        <w:t>lub consider</w:t>
      </w:r>
      <w:r w:rsidR="00CB6880" w:rsidRPr="0001617C">
        <w:rPr>
          <w:rFonts w:cs="Times New Roman"/>
          <w:sz w:val="24"/>
          <w:szCs w:val="24"/>
          <w:shd w:val="clear" w:color="auto" w:fill="FFFFFF"/>
          <w:lang w:val="en-GB"/>
        </w:rPr>
        <w:t>ed</w:t>
      </w:r>
      <w:r w:rsidR="005F4B13" w:rsidRPr="0001617C">
        <w:rPr>
          <w:rFonts w:cs="Times New Roman"/>
          <w:sz w:val="24"/>
          <w:szCs w:val="24"/>
          <w:shd w:val="clear" w:color="auto" w:fill="FFFFFF"/>
          <w:lang w:val="en-GB"/>
        </w:rPr>
        <w:t xml:space="preserve"> </w:t>
      </w:r>
      <w:r w:rsidR="00FC096A" w:rsidRPr="0001617C">
        <w:rPr>
          <w:rFonts w:cs="Times New Roman"/>
          <w:sz w:val="24"/>
          <w:szCs w:val="24"/>
          <w:shd w:val="clear" w:color="auto" w:fill="FFFFFF"/>
          <w:lang w:val="en-GB"/>
        </w:rPr>
        <w:t>that both States ha</w:t>
      </w:r>
      <w:r w:rsidR="00CB6880" w:rsidRPr="0001617C">
        <w:rPr>
          <w:rFonts w:cs="Times New Roman"/>
          <w:sz w:val="24"/>
          <w:szCs w:val="24"/>
          <w:shd w:val="clear" w:color="auto" w:fill="FFFFFF"/>
          <w:lang w:val="en-GB"/>
        </w:rPr>
        <w:t>d</w:t>
      </w:r>
      <w:r w:rsidR="00FC096A" w:rsidRPr="0001617C">
        <w:rPr>
          <w:rFonts w:cs="Times New Roman"/>
          <w:sz w:val="24"/>
          <w:szCs w:val="24"/>
          <w:shd w:val="clear" w:color="auto" w:fill="FFFFFF"/>
          <w:lang w:val="en-GB"/>
        </w:rPr>
        <w:t xml:space="preserve"> breached their obligation to submit </w:t>
      </w:r>
      <w:r w:rsidR="007D0DAD" w:rsidRPr="0001617C">
        <w:rPr>
          <w:rFonts w:cs="Times New Roman"/>
          <w:sz w:val="24"/>
          <w:szCs w:val="24"/>
          <w:shd w:val="clear" w:color="auto" w:fill="FFFFFF"/>
          <w:lang w:val="en-GB"/>
        </w:rPr>
        <w:t>their</w:t>
      </w:r>
      <w:r w:rsidR="00FC096A" w:rsidRPr="0001617C">
        <w:rPr>
          <w:rFonts w:cs="Times New Roman"/>
          <w:sz w:val="24"/>
          <w:szCs w:val="24"/>
          <w:shd w:val="clear" w:color="auto" w:fill="FFFFFF"/>
          <w:lang w:val="en-GB"/>
        </w:rPr>
        <w:t xml:space="preserve"> monetary claim against the insurer to arbitration in London. It consider</w:t>
      </w:r>
      <w:r w:rsidR="007D0DAD" w:rsidRPr="0001617C">
        <w:rPr>
          <w:rFonts w:cs="Times New Roman"/>
          <w:sz w:val="24"/>
          <w:szCs w:val="24"/>
          <w:shd w:val="clear" w:color="auto" w:fill="FFFFFF"/>
          <w:lang w:val="en-GB"/>
        </w:rPr>
        <w:t>ed</w:t>
      </w:r>
      <w:r w:rsidR="00FC096A" w:rsidRPr="0001617C">
        <w:rPr>
          <w:rFonts w:cs="Times New Roman"/>
          <w:sz w:val="24"/>
          <w:szCs w:val="24"/>
          <w:shd w:val="clear" w:color="auto" w:fill="FFFFFF"/>
          <w:lang w:val="en-GB"/>
        </w:rPr>
        <w:t xml:space="preserve"> that these </w:t>
      </w:r>
      <w:r w:rsidR="00FC096A" w:rsidRPr="0001617C">
        <w:rPr>
          <w:rFonts w:cs="Times New Roman"/>
          <w:sz w:val="24"/>
          <w:szCs w:val="24"/>
          <w:shd w:val="clear" w:color="auto" w:fill="FFFFFF"/>
          <w:lang w:val="en-GB"/>
        </w:rPr>
        <w:lastRenderedPageBreak/>
        <w:t xml:space="preserve">States, as third parties to the P&amp;I insurance contract, </w:t>
      </w:r>
      <w:r w:rsidR="007D0DAD" w:rsidRPr="0001617C">
        <w:rPr>
          <w:rFonts w:cs="Times New Roman"/>
          <w:sz w:val="24"/>
          <w:szCs w:val="24"/>
          <w:shd w:val="clear" w:color="auto" w:fill="FFFFFF"/>
          <w:lang w:val="en-GB"/>
        </w:rPr>
        <w:t>were</w:t>
      </w:r>
      <w:r w:rsidR="00FC096A" w:rsidRPr="0001617C">
        <w:rPr>
          <w:rFonts w:cs="Times New Roman"/>
          <w:sz w:val="24"/>
          <w:szCs w:val="24"/>
          <w:shd w:val="clear" w:color="auto" w:fill="FFFFFF"/>
          <w:lang w:val="en-GB"/>
        </w:rPr>
        <w:t xml:space="preserve"> bound by </w:t>
      </w:r>
      <w:r w:rsidR="005F4B13" w:rsidRPr="0001617C">
        <w:rPr>
          <w:rFonts w:cs="Times New Roman"/>
          <w:sz w:val="24"/>
          <w:szCs w:val="24"/>
          <w:shd w:val="clear" w:color="auto" w:fill="FFFFFF"/>
          <w:lang w:val="en-GB"/>
        </w:rPr>
        <w:t xml:space="preserve">the arbitration clause in the insurance contract </w:t>
      </w:r>
      <w:r w:rsidR="00FC096A" w:rsidRPr="0001617C">
        <w:rPr>
          <w:rFonts w:cs="Times New Roman"/>
          <w:sz w:val="24"/>
          <w:szCs w:val="24"/>
          <w:shd w:val="clear" w:color="auto" w:fill="FFFFFF"/>
          <w:lang w:val="en-GB"/>
        </w:rPr>
        <w:t xml:space="preserve">concluded between the insurer and the company </w:t>
      </w:r>
      <w:r w:rsidR="00333A54" w:rsidRPr="0001617C">
        <w:rPr>
          <w:rFonts w:cs="Times New Roman"/>
          <w:sz w:val="24"/>
          <w:szCs w:val="24"/>
          <w:shd w:val="clear" w:color="auto" w:fill="FFFFFF"/>
          <w:lang w:val="en-GB"/>
        </w:rPr>
        <w:t xml:space="preserve">that owned </w:t>
      </w:r>
      <w:r w:rsidR="00333A54" w:rsidRPr="0001617C">
        <w:rPr>
          <w:rFonts w:cs="Times New Roman"/>
          <w:i/>
          <w:iCs/>
          <w:sz w:val="24"/>
          <w:szCs w:val="24"/>
          <w:shd w:val="clear" w:color="auto" w:fill="FFFFFF"/>
          <w:lang w:val="en-GB"/>
        </w:rPr>
        <w:t>The</w:t>
      </w:r>
      <w:r w:rsidR="00FC096A" w:rsidRPr="0001617C">
        <w:rPr>
          <w:rFonts w:cs="Times New Roman"/>
          <w:i/>
          <w:iCs/>
          <w:sz w:val="24"/>
          <w:szCs w:val="24"/>
          <w:shd w:val="clear" w:color="auto" w:fill="FFFFFF"/>
          <w:lang w:val="en-GB"/>
        </w:rPr>
        <w:t xml:space="preserve"> Prestige</w:t>
      </w:r>
      <w:r w:rsidRPr="0001617C">
        <w:rPr>
          <w:sz w:val="24"/>
          <w:szCs w:val="24"/>
          <w:lang w:val="en-GB"/>
        </w:rPr>
        <w:t xml:space="preserve">. </w:t>
      </w:r>
    </w:p>
    <w:p w14:paraId="720FFE35" w14:textId="1DCA0CFA" w:rsidR="00E23A92" w:rsidRPr="0001617C" w:rsidRDefault="00BB539D">
      <w:pPr>
        <w:spacing w:before="120" w:after="120" w:line="240" w:lineRule="auto"/>
        <w:jc w:val="both"/>
        <w:rPr>
          <w:rFonts w:cs="Times New Roman"/>
          <w:sz w:val="24"/>
          <w:szCs w:val="24"/>
          <w:lang w:val="en-GB"/>
        </w:rPr>
      </w:pPr>
      <w:r w:rsidRPr="0001617C">
        <w:rPr>
          <w:rFonts w:cs="Times New Roman"/>
          <w:sz w:val="24"/>
          <w:szCs w:val="24"/>
          <w:shd w:val="clear" w:color="auto" w:fill="FFFFFF"/>
          <w:lang w:val="en-GB"/>
        </w:rPr>
        <w:t xml:space="preserve">The </w:t>
      </w:r>
      <w:r w:rsidR="005F4B13" w:rsidRPr="0001617C">
        <w:rPr>
          <w:rFonts w:cs="Times New Roman"/>
          <w:sz w:val="24"/>
          <w:szCs w:val="24"/>
          <w:shd w:val="clear" w:color="auto" w:fill="FFFFFF"/>
          <w:lang w:val="en-GB"/>
        </w:rPr>
        <w:t>competent English court grant</w:t>
      </w:r>
      <w:r w:rsidR="00E968BC" w:rsidRPr="0001617C">
        <w:rPr>
          <w:rFonts w:cs="Times New Roman"/>
          <w:sz w:val="24"/>
          <w:szCs w:val="24"/>
          <w:shd w:val="clear" w:color="auto" w:fill="FFFFFF"/>
          <w:lang w:val="en-GB"/>
        </w:rPr>
        <w:t>ed</w:t>
      </w:r>
      <w:r w:rsidR="005F4B13" w:rsidRPr="0001617C">
        <w:rPr>
          <w:rFonts w:cs="Times New Roman"/>
          <w:sz w:val="24"/>
          <w:szCs w:val="24"/>
          <w:shd w:val="clear" w:color="auto" w:fill="FFFFFF"/>
          <w:lang w:val="en-GB"/>
        </w:rPr>
        <w:t xml:space="preserve"> the </w:t>
      </w:r>
      <w:r w:rsidR="00DA2396" w:rsidRPr="0001617C">
        <w:rPr>
          <w:rFonts w:cs="Times New Roman"/>
          <w:sz w:val="24"/>
          <w:szCs w:val="24"/>
          <w:shd w:val="clear" w:color="auto" w:fill="FFFFFF"/>
          <w:lang w:val="en-GB"/>
        </w:rPr>
        <w:t xml:space="preserve">P&amp;I </w:t>
      </w:r>
      <w:r w:rsidR="005A10DF" w:rsidRPr="0001617C">
        <w:rPr>
          <w:rFonts w:cs="Times New Roman"/>
          <w:sz w:val="24"/>
          <w:szCs w:val="24"/>
          <w:shd w:val="clear" w:color="auto" w:fill="FFFFFF"/>
          <w:lang w:val="en-GB"/>
        </w:rPr>
        <w:t>C</w:t>
      </w:r>
      <w:r w:rsidR="00DA2396" w:rsidRPr="0001617C">
        <w:rPr>
          <w:rFonts w:cs="Times New Roman"/>
          <w:sz w:val="24"/>
          <w:szCs w:val="24"/>
          <w:shd w:val="clear" w:color="auto" w:fill="FFFFFF"/>
          <w:lang w:val="en-GB"/>
        </w:rPr>
        <w:t>lub</w:t>
      </w:r>
      <w:r w:rsidR="00B84357" w:rsidRPr="0001617C">
        <w:rPr>
          <w:rFonts w:cs="Times New Roman"/>
          <w:sz w:val="24"/>
          <w:szCs w:val="24"/>
          <w:shd w:val="clear" w:color="auto" w:fill="FFFFFF"/>
          <w:lang w:val="en-GB"/>
        </w:rPr>
        <w:t>’</w:t>
      </w:r>
      <w:r w:rsidR="00DA2396" w:rsidRPr="0001617C">
        <w:rPr>
          <w:rFonts w:cs="Times New Roman"/>
          <w:sz w:val="24"/>
          <w:szCs w:val="24"/>
          <w:shd w:val="clear" w:color="auto" w:fill="FFFFFF"/>
          <w:lang w:val="en-GB"/>
        </w:rPr>
        <w:t xml:space="preserve">s request </w:t>
      </w:r>
      <w:r w:rsidR="00F93246" w:rsidRPr="0001617C">
        <w:rPr>
          <w:rFonts w:cs="Times New Roman"/>
          <w:sz w:val="24"/>
          <w:szCs w:val="24"/>
          <w:shd w:val="clear" w:color="auto" w:fill="FFFFFF"/>
          <w:lang w:val="en-GB"/>
        </w:rPr>
        <w:t xml:space="preserve">and </w:t>
      </w:r>
      <w:r w:rsidR="005F4B13" w:rsidRPr="0001617C">
        <w:rPr>
          <w:rFonts w:cs="Times New Roman"/>
          <w:sz w:val="24"/>
          <w:szCs w:val="24"/>
          <w:shd w:val="clear" w:color="auto" w:fill="FFFFFF"/>
          <w:lang w:val="en-GB"/>
        </w:rPr>
        <w:t>appoint</w:t>
      </w:r>
      <w:r w:rsidR="00E968BC" w:rsidRPr="0001617C">
        <w:rPr>
          <w:rFonts w:cs="Times New Roman"/>
          <w:sz w:val="24"/>
          <w:szCs w:val="24"/>
          <w:shd w:val="clear" w:color="auto" w:fill="FFFFFF"/>
          <w:lang w:val="en-GB"/>
        </w:rPr>
        <w:t>ed</w:t>
      </w:r>
      <w:r w:rsidR="005F4B13" w:rsidRPr="0001617C">
        <w:rPr>
          <w:rFonts w:cs="Times New Roman"/>
          <w:sz w:val="24"/>
          <w:szCs w:val="24"/>
          <w:shd w:val="clear" w:color="auto" w:fill="FFFFFF"/>
          <w:lang w:val="en-GB"/>
        </w:rPr>
        <w:t xml:space="preserve"> a sole arbitrator </w:t>
      </w:r>
      <w:r w:rsidR="00DA2396" w:rsidRPr="0001617C">
        <w:rPr>
          <w:rFonts w:cs="Times New Roman"/>
          <w:sz w:val="24"/>
          <w:szCs w:val="24"/>
          <w:shd w:val="clear" w:color="auto" w:fill="FFFFFF"/>
          <w:lang w:val="en-GB"/>
        </w:rPr>
        <w:t xml:space="preserve">for </w:t>
      </w:r>
      <w:r w:rsidR="005F4B13" w:rsidRPr="0001617C">
        <w:rPr>
          <w:rFonts w:cs="Times New Roman"/>
          <w:sz w:val="24"/>
          <w:szCs w:val="24"/>
          <w:shd w:val="clear" w:color="auto" w:fill="FFFFFF"/>
          <w:lang w:val="en-GB"/>
        </w:rPr>
        <w:t xml:space="preserve">both arbitration proceedings against the </w:t>
      </w:r>
      <w:r w:rsidR="005F4B13" w:rsidRPr="0001617C">
        <w:rPr>
          <w:rFonts w:cs="Times New Roman"/>
          <w:sz w:val="24"/>
          <w:szCs w:val="24"/>
          <w:lang w:val="en-GB"/>
        </w:rPr>
        <w:t xml:space="preserve">Spanish and French </w:t>
      </w:r>
      <w:r w:rsidR="00E968BC" w:rsidRPr="0001617C">
        <w:rPr>
          <w:rFonts w:cs="Times New Roman"/>
          <w:sz w:val="24"/>
          <w:szCs w:val="24"/>
          <w:lang w:val="en-GB"/>
        </w:rPr>
        <w:t>S</w:t>
      </w:r>
      <w:r w:rsidR="005F4B13" w:rsidRPr="0001617C">
        <w:rPr>
          <w:rFonts w:cs="Times New Roman"/>
          <w:sz w:val="24"/>
          <w:szCs w:val="24"/>
          <w:lang w:val="en-GB"/>
        </w:rPr>
        <w:t xml:space="preserve">tates, respectively. Both </w:t>
      </w:r>
      <w:r w:rsidR="007676A4" w:rsidRPr="0001617C">
        <w:rPr>
          <w:rFonts w:cs="Times New Roman"/>
          <w:sz w:val="24"/>
          <w:szCs w:val="24"/>
          <w:lang w:val="en-GB"/>
        </w:rPr>
        <w:t xml:space="preserve">states </w:t>
      </w:r>
      <w:r w:rsidR="005F4B13" w:rsidRPr="0001617C">
        <w:rPr>
          <w:rFonts w:cs="Times New Roman"/>
          <w:sz w:val="24"/>
          <w:szCs w:val="24"/>
          <w:lang w:val="en-GB"/>
        </w:rPr>
        <w:t>refuse</w:t>
      </w:r>
      <w:r w:rsidR="007676A4" w:rsidRPr="0001617C">
        <w:rPr>
          <w:rFonts w:cs="Times New Roman"/>
          <w:sz w:val="24"/>
          <w:szCs w:val="24"/>
          <w:lang w:val="en-GB"/>
        </w:rPr>
        <w:t>d</w:t>
      </w:r>
      <w:r w:rsidR="005F4B13" w:rsidRPr="0001617C">
        <w:rPr>
          <w:rFonts w:cs="Times New Roman"/>
          <w:sz w:val="24"/>
          <w:szCs w:val="24"/>
          <w:lang w:val="en-GB"/>
        </w:rPr>
        <w:t xml:space="preserve"> </w:t>
      </w:r>
      <w:r w:rsidRPr="0001617C">
        <w:rPr>
          <w:rFonts w:cs="Times New Roman"/>
          <w:sz w:val="24"/>
          <w:szCs w:val="24"/>
          <w:lang w:val="en-GB"/>
        </w:rPr>
        <w:t xml:space="preserve">to </w:t>
      </w:r>
      <w:r w:rsidR="005F4B13" w:rsidRPr="0001617C">
        <w:rPr>
          <w:rFonts w:cs="Times New Roman"/>
          <w:sz w:val="24"/>
          <w:szCs w:val="24"/>
          <w:lang w:val="en-GB"/>
        </w:rPr>
        <w:t xml:space="preserve">participate in the respective arbitration proceedings. </w:t>
      </w:r>
      <w:r w:rsidR="00B43C4B" w:rsidRPr="0001617C">
        <w:rPr>
          <w:rFonts w:cs="Times New Roman"/>
          <w:sz w:val="24"/>
          <w:szCs w:val="24"/>
          <w:lang w:val="en-GB"/>
        </w:rPr>
        <w:t xml:space="preserve">The arbitrations </w:t>
      </w:r>
      <w:r w:rsidR="00F93246" w:rsidRPr="0001617C">
        <w:rPr>
          <w:rFonts w:cs="Times New Roman"/>
          <w:sz w:val="24"/>
          <w:szCs w:val="24"/>
          <w:lang w:val="en-GB"/>
        </w:rPr>
        <w:t xml:space="preserve">in London </w:t>
      </w:r>
      <w:r w:rsidR="005F4B13" w:rsidRPr="0001617C">
        <w:rPr>
          <w:rFonts w:cs="Times New Roman"/>
          <w:sz w:val="24"/>
          <w:szCs w:val="24"/>
          <w:lang w:val="en-GB"/>
        </w:rPr>
        <w:t>end</w:t>
      </w:r>
      <w:r w:rsidR="007676A4" w:rsidRPr="0001617C">
        <w:rPr>
          <w:rFonts w:cs="Times New Roman"/>
          <w:sz w:val="24"/>
          <w:szCs w:val="24"/>
          <w:lang w:val="en-GB"/>
        </w:rPr>
        <w:t>ed</w:t>
      </w:r>
      <w:r w:rsidR="005F4B13" w:rsidRPr="0001617C">
        <w:rPr>
          <w:rFonts w:cs="Times New Roman"/>
          <w:sz w:val="24"/>
          <w:szCs w:val="24"/>
          <w:lang w:val="en-GB"/>
        </w:rPr>
        <w:t xml:space="preserve"> with very similar awards, against the Spanish State (13 February 2013) and against the French State (3 July 2013). The </w:t>
      </w:r>
      <w:r w:rsidR="00F93246" w:rsidRPr="0001617C">
        <w:rPr>
          <w:rFonts w:cs="Times New Roman"/>
          <w:sz w:val="24"/>
          <w:szCs w:val="24"/>
          <w:lang w:val="en-GB"/>
        </w:rPr>
        <w:t xml:space="preserve">sole </w:t>
      </w:r>
      <w:r w:rsidR="005F4B13" w:rsidRPr="0001617C">
        <w:rPr>
          <w:rFonts w:cs="Times New Roman"/>
          <w:sz w:val="24"/>
          <w:szCs w:val="24"/>
          <w:lang w:val="en-GB"/>
        </w:rPr>
        <w:t>arbitrator accept</w:t>
      </w:r>
      <w:r w:rsidR="00FB2D8E" w:rsidRPr="0001617C">
        <w:rPr>
          <w:rFonts w:cs="Times New Roman"/>
          <w:sz w:val="24"/>
          <w:szCs w:val="24"/>
          <w:lang w:val="en-GB"/>
        </w:rPr>
        <w:t>ed</w:t>
      </w:r>
      <w:r w:rsidR="005F4B13" w:rsidRPr="0001617C">
        <w:rPr>
          <w:rFonts w:cs="Times New Roman"/>
          <w:sz w:val="24"/>
          <w:szCs w:val="24"/>
          <w:lang w:val="en-GB"/>
        </w:rPr>
        <w:t xml:space="preserve"> in full the terms requested by the </w:t>
      </w:r>
      <w:r w:rsidRPr="0001617C">
        <w:rPr>
          <w:rFonts w:cs="Times New Roman"/>
          <w:sz w:val="24"/>
          <w:szCs w:val="24"/>
          <w:lang w:val="en-GB"/>
        </w:rPr>
        <w:t xml:space="preserve">P&amp;I </w:t>
      </w:r>
      <w:r w:rsidR="00FB2D8E" w:rsidRPr="0001617C">
        <w:rPr>
          <w:rFonts w:cs="Times New Roman"/>
          <w:sz w:val="24"/>
          <w:szCs w:val="24"/>
          <w:lang w:val="en-GB"/>
        </w:rPr>
        <w:t>C</w:t>
      </w:r>
      <w:r w:rsidRPr="0001617C">
        <w:rPr>
          <w:rFonts w:cs="Times New Roman"/>
          <w:sz w:val="24"/>
          <w:szCs w:val="24"/>
          <w:lang w:val="en-GB"/>
        </w:rPr>
        <w:t>lub</w:t>
      </w:r>
      <w:r w:rsidR="005F4B13" w:rsidRPr="0001617C">
        <w:rPr>
          <w:rFonts w:cs="Times New Roman"/>
          <w:sz w:val="24"/>
          <w:szCs w:val="24"/>
          <w:lang w:val="en-GB"/>
        </w:rPr>
        <w:t xml:space="preserve">: </w:t>
      </w:r>
    </w:p>
    <w:p w14:paraId="6A982D0A" w14:textId="0E472DD9" w:rsidR="00E23A92" w:rsidRPr="0001617C" w:rsidRDefault="005F4B13">
      <w:pPr>
        <w:pStyle w:val="Prrafodelista"/>
        <w:numPr>
          <w:ilvl w:val="0"/>
          <w:numId w:val="43"/>
        </w:numPr>
        <w:spacing w:before="120" w:after="120" w:line="240" w:lineRule="auto"/>
        <w:jc w:val="both"/>
        <w:rPr>
          <w:rFonts w:cs="Times New Roman"/>
          <w:sz w:val="24"/>
          <w:szCs w:val="24"/>
          <w:lang w:val="en-GB"/>
        </w:rPr>
      </w:pPr>
      <w:r w:rsidRPr="0001617C">
        <w:rPr>
          <w:rFonts w:cs="Times New Roman"/>
          <w:sz w:val="24"/>
          <w:szCs w:val="24"/>
          <w:lang w:val="en-GB"/>
        </w:rPr>
        <w:t xml:space="preserve">The claim of the Spanish and French States against the </w:t>
      </w:r>
      <w:r w:rsidR="005A10DF" w:rsidRPr="0001617C">
        <w:rPr>
          <w:rFonts w:cs="Times New Roman"/>
          <w:sz w:val="24"/>
          <w:szCs w:val="24"/>
          <w:lang w:val="en-GB"/>
        </w:rPr>
        <w:t>P&amp;I Club</w:t>
      </w:r>
      <w:r w:rsidRPr="0001617C">
        <w:rPr>
          <w:rFonts w:cs="Times New Roman"/>
          <w:sz w:val="24"/>
          <w:szCs w:val="24"/>
          <w:lang w:val="en-GB"/>
        </w:rPr>
        <w:t xml:space="preserve"> </w:t>
      </w:r>
      <w:r w:rsidR="00EF233C" w:rsidRPr="0001617C">
        <w:rPr>
          <w:rFonts w:cs="Times New Roman"/>
          <w:sz w:val="24"/>
          <w:szCs w:val="24"/>
          <w:lang w:val="en-GB"/>
        </w:rPr>
        <w:t>should</w:t>
      </w:r>
      <w:r w:rsidRPr="0001617C">
        <w:rPr>
          <w:rFonts w:cs="Times New Roman"/>
          <w:sz w:val="24"/>
          <w:szCs w:val="24"/>
          <w:lang w:val="en-GB"/>
        </w:rPr>
        <w:t xml:space="preserve"> be submitted to arbitration under the </w:t>
      </w:r>
      <w:r w:rsidR="00B43C4B" w:rsidRPr="0001617C">
        <w:rPr>
          <w:rFonts w:cs="Times New Roman"/>
          <w:sz w:val="24"/>
          <w:szCs w:val="24"/>
          <w:lang w:val="en-GB"/>
        </w:rPr>
        <w:t xml:space="preserve">P&amp;I </w:t>
      </w:r>
      <w:r w:rsidRPr="0001617C">
        <w:rPr>
          <w:rFonts w:cs="Times New Roman"/>
          <w:sz w:val="24"/>
          <w:szCs w:val="24"/>
          <w:lang w:val="en-GB"/>
        </w:rPr>
        <w:t xml:space="preserve">insurance arbitration </w:t>
      </w:r>
      <w:r w:rsidR="00F9359D" w:rsidRPr="0001617C">
        <w:rPr>
          <w:rFonts w:cs="Times New Roman"/>
          <w:sz w:val="24"/>
          <w:szCs w:val="24"/>
          <w:lang w:val="en-GB"/>
        </w:rPr>
        <w:t>clause</w:t>
      </w:r>
      <w:r w:rsidR="00110695" w:rsidRPr="0001617C">
        <w:rPr>
          <w:rFonts w:cs="Times New Roman"/>
          <w:sz w:val="24"/>
          <w:szCs w:val="24"/>
          <w:lang w:val="en-GB"/>
        </w:rPr>
        <w:t xml:space="preserve">. </w:t>
      </w:r>
    </w:p>
    <w:p w14:paraId="6B04C726" w14:textId="5935247B" w:rsidR="00E23A92" w:rsidRPr="0001617C" w:rsidRDefault="005F4B13">
      <w:pPr>
        <w:pStyle w:val="Prrafodelista"/>
        <w:numPr>
          <w:ilvl w:val="0"/>
          <w:numId w:val="43"/>
        </w:numPr>
        <w:spacing w:before="120" w:after="120" w:line="240" w:lineRule="auto"/>
        <w:jc w:val="both"/>
        <w:rPr>
          <w:rFonts w:cs="Times New Roman"/>
          <w:sz w:val="24"/>
          <w:szCs w:val="24"/>
          <w:shd w:val="clear" w:color="auto" w:fill="FFFFFF"/>
          <w:lang w:val="en-GB"/>
        </w:rPr>
      </w:pPr>
      <w:r w:rsidRPr="0001617C">
        <w:rPr>
          <w:rFonts w:cs="Times New Roman"/>
          <w:sz w:val="24"/>
          <w:szCs w:val="24"/>
          <w:shd w:val="clear" w:color="auto" w:fill="FFFFFF"/>
          <w:lang w:val="en-GB"/>
        </w:rPr>
        <w:t xml:space="preserve">The </w:t>
      </w:r>
      <w:r w:rsidR="00110695" w:rsidRPr="0001617C">
        <w:rPr>
          <w:rFonts w:cs="Times New Roman"/>
          <w:sz w:val="24"/>
          <w:szCs w:val="24"/>
          <w:shd w:val="clear" w:color="auto" w:fill="FFFFFF"/>
          <w:lang w:val="en-GB"/>
        </w:rPr>
        <w:t xml:space="preserve">P&amp;I </w:t>
      </w:r>
      <w:r w:rsidR="00EF233C" w:rsidRPr="0001617C">
        <w:rPr>
          <w:rFonts w:cs="Times New Roman"/>
          <w:sz w:val="24"/>
          <w:szCs w:val="24"/>
          <w:shd w:val="clear" w:color="auto" w:fill="FFFFFF"/>
          <w:lang w:val="en-GB"/>
        </w:rPr>
        <w:t>C</w:t>
      </w:r>
      <w:r w:rsidRPr="0001617C">
        <w:rPr>
          <w:rFonts w:cs="Times New Roman"/>
          <w:sz w:val="24"/>
          <w:szCs w:val="24"/>
          <w:shd w:val="clear" w:color="auto" w:fill="FFFFFF"/>
          <w:lang w:val="en-GB"/>
        </w:rPr>
        <w:t xml:space="preserve">lub </w:t>
      </w:r>
      <w:r w:rsidR="00EF233C" w:rsidRPr="0001617C">
        <w:rPr>
          <w:rFonts w:cs="Times New Roman"/>
          <w:sz w:val="24"/>
          <w:szCs w:val="24"/>
          <w:shd w:val="clear" w:color="auto" w:fill="FFFFFF"/>
          <w:lang w:val="en-GB"/>
        </w:rPr>
        <w:t>should</w:t>
      </w:r>
      <w:r w:rsidRPr="0001617C">
        <w:rPr>
          <w:rFonts w:cs="Times New Roman"/>
          <w:sz w:val="24"/>
          <w:szCs w:val="24"/>
          <w:shd w:val="clear" w:color="auto" w:fill="FFFFFF"/>
          <w:lang w:val="en-GB"/>
        </w:rPr>
        <w:t xml:space="preserve"> not be liable above the limit of </w:t>
      </w:r>
      <w:r w:rsidR="00110695" w:rsidRPr="0001617C">
        <w:rPr>
          <w:rFonts w:cs="Times New Roman"/>
          <w:sz w:val="24"/>
          <w:szCs w:val="24"/>
          <w:shd w:val="clear" w:color="auto" w:fill="FFFFFF"/>
          <w:lang w:val="en-GB"/>
        </w:rPr>
        <w:t xml:space="preserve">indemnity </w:t>
      </w:r>
      <w:r w:rsidR="00EF233C" w:rsidRPr="0001617C">
        <w:rPr>
          <w:rFonts w:cs="Times New Roman"/>
          <w:sz w:val="24"/>
          <w:szCs w:val="24"/>
          <w:shd w:val="clear" w:color="auto" w:fill="FFFFFF"/>
          <w:lang w:val="en-GB"/>
        </w:rPr>
        <w:t xml:space="preserve">established </w:t>
      </w:r>
      <w:r w:rsidRPr="0001617C">
        <w:rPr>
          <w:rFonts w:cs="Times New Roman"/>
          <w:sz w:val="24"/>
          <w:szCs w:val="24"/>
          <w:shd w:val="clear" w:color="auto" w:fill="FFFFFF"/>
          <w:lang w:val="en-GB"/>
        </w:rPr>
        <w:t xml:space="preserve">in the 1992 Civil Liability Convention. Alternatively, its liability </w:t>
      </w:r>
      <w:r w:rsidR="00EF233C" w:rsidRPr="0001617C">
        <w:rPr>
          <w:rFonts w:cs="Times New Roman"/>
          <w:sz w:val="24"/>
          <w:szCs w:val="24"/>
          <w:shd w:val="clear" w:color="auto" w:fill="FFFFFF"/>
          <w:lang w:val="en-GB"/>
        </w:rPr>
        <w:t xml:space="preserve">should </w:t>
      </w:r>
      <w:r w:rsidR="00110695" w:rsidRPr="0001617C">
        <w:rPr>
          <w:rFonts w:cs="Times New Roman"/>
          <w:sz w:val="24"/>
          <w:szCs w:val="24"/>
          <w:shd w:val="clear" w:color="auto" w:fill="FFFFFF"/>
          <w:lang w:val="en-GB"/>
        </w:rPr>
        <w:t xml:space="preserve">not exceed </w:t>
      </w:r>
      <w:r w:rsidRPr="0001617C">
        <w:rPr>
          <w:rFonts w:cs="Times New Roman"/>
          <w:sz w:val="24"/>
          <w:szCs w:val="24"/>
          <w:shd w:val="clear" w:color="auto" w:fill="FFFFFF"/>
          <w:lang w:val="en-GB"/>
        </w:rPr>
        <w:t>the limit of the sum insured in the P&amp;I insurance rules for oil pollution damage</w:t>
      </w:r>
      <w:r w:rsidR="00504E90" w:rsidRPr="0001617C">
        <w:rPr>
          <w:rFonts w:cs="Times New Roman"/>
          <w:sz w:val="24"/>
          <w:szCs w:val="24"/>
          <w:shd w:val="clear" w:color="auto" w:fill="FFFFFF"/>
          <w:lang w:val="en-GB"/>
        </w:rPr>
        <w:t>, i.e.</w:t>
      </w:r>
      <w:r w:rsidRPr="0001617C">
        <w:rPr>
          <w:rFonts w:cs="Times New Roman"/>
          <w:sz w:val="24"/>
          <w:szCs w:val="24"/>
          <w:shd w:val="clear" w:color="auto" w:fill="FFFFFF"/>
          <w:lang w:val="en-GB"/>
        </w:rPr>
        <w:t xml:space="preserve"> US$</w:t>
      </w:r>
      <w:r w:rsidR="008F2FC2" w:rsidRPr="0001617C">
        <w:rPr>
          <w:rFonts w:cs="Times New Roman"/>
          <w:sz w:val="24"/>
          <w:szCs w:val="24"/>
          <w:shd w:val="clear" w:color="auto" w:fill="FFFFFF"/>
          <w:lang w:val="en-GB"/>
        </w:rPr>
        <w:t xml:space="preserve"> </w:t>
      </w:r>
      <w:r w:rsidRPr="0001617C">
        <w:rPr>
          <w:rFonts w:cs="Times New Roman"/>
          <w:sz w:val="24"/>
          <w:szCs w:val="24"/>
          <w:shd w:val="clear" w:color="auto" w:fill="FFFFFF"/>
          <w:lang w:val="en-GB"/>
        </w:rPr>
        <w:t>1 billion</w:t>
      </w:r>
      <w:r w:rsidR="00110695" w:rsidRPr="0001617C">
        <w:rPr>
          <w:rFonts w:cs="Times New Roman"/>
          <w:sz w:val="24"/>
          <w:szCs w:val="24"/>
          <w:shd w:val="clear" w:color="auto" w:fill="FFFFFF"/>
          <w:lang w:val="en-GB"/>
        </w:rPr>
        <w:t xml:space="preserve">. </w:t>
      </w:r>
    </w:p>
    <w:p w14:paraId="3158F9F0" w14:textId="2BD6A838" w:rsidR="00E23A92" w:rsidRPr="0001617C" w:rsidRDefault="00F93246">
      <w:pPr>
        <w:pStyle w:val="Prrafodelista"/>
        <w:numPr>
          <w:ilvl w:val="0"/>
          <w:numId w:val="43"/>
        </w:numPr>
        <w:spacing w:before="120" w:after="120" w:line="240" w:lineRule="auto"/>
        <w:jc w:val="both"/>
        <w:rPr>
          <w:sz w:val="24"/>
          <w:szCs w:val="24"/>
          <w:lang w:val="en-GB" w:eastAsia="es-ES"/>
        </w:rPr>
      </w:pPr>
      <w:r w:rsidRPr="0001617C">
        <w:rPr>
          <w:rFonts w:cs="Times New Roman"/>
          <w:sz w:val="24"/>
          <w:szCs w:val="24"/>
          <w:shd w:val="clear" w:color="auto" w:fill="FFFFFF"/>
          <w:lang w:val="en-GB"/>
        </w:rPr>
        <w:t>For claims above the limits of the 1992 Civil Liability Convention (</w:t>
      </w:r>
      <w:r w:rsidR="0029009F" w:rsidRPr="0001617C">
        <w:rPr>
          <w:rFonts w:cs="Times New Roman"/>
          <w:sz w:val="24"/>
          <w:szCs w:val="24"/>
          <w:shd w:val="clear" w:color="auto" w:fill="FFFFFF"/>
          <w:lang w:val="en-GB"/>
        </w:rPr>
        <w:t>“</w:t>
      </w:r>
      <w:r w:rsidRPr="0001617C">
        <w:rPr>
          <w:rFonts w:cs="Times New Roman"/>
          <w:sz w:val="24"/>
          <w:szCs w:val="24"/>
          <w:shd w:val="clear" w:color="auto" w:fill="FFFFFF"/>
          <w:lang w:val="en-GB"/>
        </w:rPr>
        <w:t>non-CLC claims</w:t>
      </w:r>
      <w:r w:rsidR="0029009F" w:rsidRPr="0001617C">
        <w:rPr>
          <w:rFonts w:cs="Times New Roman"/>
          <w:sz w:val="24"/>
          <w:szCs w:val="24"/>
          <w:shd w:val="clear" w:color="auto" w:fill="FFFFFF"/>
          <w:lang w:val="en-GB"/>
        </w:rPr>
        <w:t>”</w:t>
      </w:r>
      <w:r w:rsidRPr="0001617C">
        <w:rPr>
          <w:rFonts w:cs="Times New Roman"/>
          <w:sz w:val="24"/>
          <w:szCs w:val="24"/>
          <w:shd w:val="clear" w:color="auto" w:fill="FFFFFF"/>
          <w:lang w:val="en-GB"/>
        </w:rPr>
        <w:t xml:space="preserve">), the </w:t>
      </w:r>
      <w:r w:rsidR="0029009F" w:rsidRPr="0001617C">
        <w:rPr>
          <w:rFonts w:cs="Times New Roman"/>
          <w:sz w:val="24"/>
          <w:szCs w:val="24"/>
          <w:shd w:val="clear" w:color="auto" w:fill="FFFFFF"/>
          <w:lang w:val="en-GB"/>
        </w:rPr>
        <w:t>“</w:t>
      </w:r>
      <w:r w:rsidR="005F4B13" w:rsidRPr="0001617C">
        <w:rPr>
          <w:rFonts w:cs="Times New Roman"/>
          <w:sz w:val="24"/>
          <w:szCs w:val="24"/>
          <w:shd w:val="clear" w:color="auto" w:fill="FFFFFF"/>
          <w:lang w:val="en-GB"/>
        </w:rPr>
        <w:t>pay to be paid</w:t>
      </w:r>
      <w:r w:rsidR="0029009F" w:rsidRPr="0001617C">
        <w:rPr>
          <w:rFonts w:cs="Times New Roman"/>
          <w:iCs/>
          <w:sz w:val="24"/>
          <w:szCs w:val="24"/>
          <w:shd w:val="clear" w:color="auto" w:fill="FFFFFF"/>
          <w:lang w:val="en-GB"/>
        </w:rPr>
        <w:t>”</w:t>
      </w:r>
      <w:r w:rsidR="005F4B13" w:rsidRPr="0001617C">
        <w:rPr>
          <w:rFonts w:cs="Times New Roman"/>
          <w:iCs/>
          <w:sz w:val="24"/>
          <w:szCs w:val="24"/>
          <w:shd w:val="clear" w:color="auto" w:fill="FFFFFF"/>
          <w:lang w:val="en-GB"/>
        </w:rPr>
        <w:t xml:space="preserve"> </w:t>
      </w:r>
      <w:r w:rsidR="005F4B13" w:rsidRPr="0001617C">
        <w:rPr>
          <w:rFonts w:cs="Times New Roman"/>
          <w:sz w:val="24"/>
          <w:szCs w:val="24"/>
          <w:shd w:val="clear" w:color="auto" w:fill="FFFFFF"/>
          <w:lang w:val="en-GB"/>
        </w:rPr>
        <w:t>clause of the insurance rules applies</w:t>
      </w:r>
      <w:r w:rsidR="00BB539D" w:rsidRPr="0001617C">
        <w:rPr>
          <w:rFonts w:cs="Times New Roman"/>
          <w:sz w:val="24"/>
          <w:szCs w:val="24"/>
          <w:shd w:val="clear" w:color="auto" w:fill="FFFFFF"/>
          <w:lang w:val="en-GB"/>
        </w:rPr>
        <w:t xml:space="preserve">. </w:t>
      </w:r>
      <w:r w:rsidR="00BB539D" w:rsidRPr="0001617C">
        <w:rPr>
          <w:sz w:val="24"/>
          <w:szCs w:val="24"/>
          <w:lang w:val="en-GB"/>
        </w:rPr>
        <w:t xml:space="preserve">P&amp;I insurance is set up as an </w:t>
      </w:r>
      <w:r w:rsidR="00E0241C" w:rsidRPr="0001617C">
        <w:rPr>
          <w:sz w:val="24"/>
          <w:szCs w:val="24"/>
          <w:lang w:val="en-GB"/>
        </w:rPr>
        <w:t>effective</w:t>
      </w:r>
      <w:r w:rsidR="00BB539D" w:rsidRPr="0001617C">
        <w:rPr>
          <w:sz w:val="24"/>
          <w:szCs w:val="24"/>
          <w:lang w:val="en-GB"/>
        </w:rPr>
        <w:t xml:space="preserve"> indemnity insurance. According to the </w:t>
      </w:r>
      <w:r w:rsidR="0029009F" w:rsidRPr="0001617C">
        <w:rPr>
          <w:sz w:val="24"/>
          <w:szCs w:val="24"/>
          <w:lang w:val="en-GB"/>
        </w:rPr>
        <w:t>“</w:t>
      </w:r>
      <w:r w:rsidR="00BB539D" w:rsidRPr="0001617C">
        <w:rPr>
          <w:sz w:val="24"/>
          <w:szCs w:val="24"/>
          <w:lang w:val="en-GB"/>
        </w:rPr>
        <w:t>pay to be paid</w:t>
      </w:r>
      <w:r w:rsidR="00BD7805" w:rsidRPr="0001617C">
        <w:rPr>
          <w:sz w:val="24"/>
          <w:szCs w:val="24"/>
          <w:lang w:val="en-GB"/>
        </w:rPr>
        <w:t>,</w:t>
      </w:r>
      <w:r w:rsidR="0029009F" w:rsidRPr="0001617C">
        <w:rPr>
          <w:sz w:val="24"/>
          <w:szCs w:val="24"/>
          <w:lang w:val="en-GB"/>
        </w:rPr>
        <w:t>”</w:t>
      </w:r>
      <w:r w:rsidR="00BB539D" w:rsidRPr="0001617C">
        <w:rPr>
          <w:sz w:val="24"/>
          <w:szCs w:val="24"/>
          <w:lang w:val="en-GB"/>
        </w:rPr>
        <w:t xml:space="preserve"> </w:t>
      </w:r>
      <w:r w:rsidR="0029009F" w:rsidRPr="0001617C">
        <w:rPr>
          <w:sz w:val="24"/>
          <w:szCs w:val="24"/>
          <w:lang w:val="en-GB"/>
        </w:rPr>
        <w:t>“</w:t>
      </w:r>
      <w:r w:rsidR="00BB539D" w:rsidRPr="0001617C">
        <w:rPr>
          <w:sz w:val="24"/>
          <w:szCs w:val="24"/>
          <w:lang w:val="en-GB"/>
        </w:rPr>
        <w:t>pay first</w:t>
      </w:r>
      <w:r w:rsidR="00BD7805" w:rsidRPr="0001617C">
        <w:rPr>
          <w:sz w:val="24"/>
          <w:szCs w:val="24"/>
          <w:lang w:val="en-GB"/>
        </w:rPr>
        <w:t>,</w:t>
      </w:r>
      <w:r w:rsidR="0029009F" w:rsidRPr="0001617C">
        <w:rPr>
          <w:sz w:val="24"/>
          <w:szCs w:val="24"/>
          <w:lang w:val="en-GB"/>
        </w:rPr>
        <w:t>”</w:t>
      </w:r>
      <w:r w:rsidR="00BB539D" w:rsidRPr="0001617C">
        <w:rPr>
          <w:sz w:val="24"/>
          <w:szCs w:val="24"/>
          <w:lang w:val="en-GB"/>
        </w:rPr>
        <w:t xml:space="preserve"> </w:t>
      </w:r>
      <w:r w:rsidR="0029009F" w:rsidRPr="0001617C">
        <w:rPr>
          <w:sz w:val="24"/>
          <w:szCs w:val="24"/>
          <w:lang w:val="en-GB"/>
        </w:rPr>
        <w:t>“</w:t>
      </w:r>
      <w:r w:rsidR="00BB539D" w:rsidRPr="0001617C">
        <w:rPr>
          <w:sz w:val="24"/>
          <w:szCs w:val="24"/>
          <w:lang w:val="en-GB"/>
        </w:rPr>
        <w:t>right of recovery</w:t>
      </w:r>
      <w:r w:rsidR="0029009F" w:rsidRPr="0001617C">
        <w:rPr>
          <w:sz w:val="24"/>
          <w:szCs w:val="24"/>
          <w:lang w:val="en-GB"/>
        </w:rPr>
        <w:t>”</w:t>
      </w:r>
      <w:r w:rsidR="00BB539D" w:rsidRPr="0001617C">
        <w:rPr>
          <w:sz w:val="24"/>
          <w:szCs w:val="24"/>
          <w:lang w:val="en-GB"/>
        </w:rPr>
        <w:t xml:space="preserve"> or other </w:t>
      </w:r>
      <w:r w:rsidR="0029009F" w:rsidRPr="0001617C">
        <w:rPr>
          <w:sz w:val="24"/>
          <w:szCs w:val="24"/>
          <w:lang w:val="en-GB"/>
        </w:rPr>
        <w:t>cla</w:t>
      </w:r>
      <w:r w:rsidR="00113D83" w:rsidRPr="0001617C">
        <w:rPr>
          <w:sz w:val="24"/>
          <w:szCs w:val="24"/>
          <w:lang w:val="en-GB"/>
        </w:rPr>
        <w:t>u</w:t>
      </w:r>
      <w:r w:rsidR="0029009F" w:rsidRPr="0001617C">
        <w:rPr>
          <w:sz w:val="24"/>
          <w:szCs w:val="24"/>
          <w:lang w:val="en-GB"/>
        </w:rPr>
        <w:t>ses</w:t>
      </w:r>
      <w:r w:rsidR="00BB539D" w:rsidRPr="0001617C">
        <w:rPr>
          <w:sz w:val="24"/>
          <w:szCs w:val="24"/>
          <w:lang w:val="en-GB"/>
        </w:rPr>
        <w:t xml:space="preserve">, the </w:t>
      </w:r>
      <w:r w:rsidR="005A10DF" w:rsidRPr="0001617C">
        <w:rPr>
          <w:sz w:val="24"/>
          <w:szCs w:val="24"/>
          <w:lang w:val="en-GB"/>
        </w:rPr>
        <w:t>P&amp;I Club</w:t>
      </w:r>
      <w:r w:rsidR="00BB539D" w:rsidRPr="0001617C">
        <w:rPr>
          <w:sz w:val="24"/>
          <w:szCs w:val="24"/>
          <w:lang w:val="en-GB"/>
        </w:rPr>
        <w:t xml:space="preserve"> as insurer </w:t>
      </w:r>
      <w:r w:rsidR="00CD3FDE" w:rsidRPr="0001617C">
        <w:rPr>
          <w:sz w:val="24"/>
          <w:szCs w:val="24"/>
          <w:lang w:val="en-GB"/>
        </w:rPr>
        <w:t>need only</w:t>
      </w:r>
      <w:r w:rsidR="00BB539D" w:rsidRPr="0001617C">
        <w:rPr>
          <w:sz w:val="24"/>
          <w:szCs w:val="24"/>
          <w:lang w:val="en-GB"/>
        </w:rPr>
        <w:t xml:space="preserve"> pay the indemnity to the liable insured</w:t>
      </w:r>
      <w:r w:rsidR="00BE2273" w:rsidRPr="0001617C">
        <w:rPr>
          <w:sz w:val="24"/>
          <w:szCs w:val="24"/>
          <w:lang w:val="en-GB"/>
        </w:rPr>
        <w:t>,</w:t>
      </w:r>
      <w:r w:rsidR="00BB539D" w:rsidRPr="0001617C">
        <w:rPr>
          <w:sz w:val="24"/>
          <w:szCs w:val="24"/>
          <w:lang w:val="en-GB"/>
        </w:rPr>
        <w:t xml:space="preserve"> and on condition that </w:t>
      </w:r>
      <w:r w:rsidR="00BE2273" w:rsidRPr="0001617C">
        <w:rPr>
          <w:sz w:val="24"/>
          <w:szCs w:val="24"/>
          <w:lang w:val="en-GB"/>
        </w:rPr>
        <w:t>the insured</w:t>
      </w:r>
      <w:r w:rsidR="00BB539D" w:rsidRPr="0001617C">
        <w:rPr>
          <w:sz w:val="24"/>
          <w:szCs w:val="24"/>
          <w:lang w:val="en-GB"/>
        </w:rPr>
        <w:t xml:space="preserve"> proves that it has previously paid the injured third party</w:t>
      </w:r>
      <w:r w:rsidR="00BE2273" w:rsidRPr="0001617C">
        <w:rPr>
          <w:sz w:val="24"/>
          <w:szCs w:val="24"/>
          <w:lang w:val="en-GB"/>
        </w:rPr>
        <w:t>.</w:t>
      </w:r>
      <w:r w:rsidR="00B43C4B" w:rsidRPr="0001617C">
        <w:rPr>
          <w:rStyle w:val="Refdenotaalpie"/>
          <w:sz w:val="24"/>
          <w:szCs w:val="24"/>
          <w:lang w:val="en-GB"/>
        </w:rPr>
        <w:footnoteReference w:id="10"/>
      </w:r>
      <w:r w:rsidR="00BB539D" w:rsidRPr="0001617C">
        <w:rPr>
          <w:sz w:val="24"/>
          <w:szCs w:val="24"/>
          <w:lang w:val="en-GB"/>
        </w:rPr>
        <w:t xml:space="preserve"> The insurance rules include contractual exceptions where</w:t>
      </w:r>
      <w:r w:rsidR="00476FED" w:rsidRPr="0001617C">
        <w:rPr>
          <w:sz w:val="24"/>
          <w:szCs w:val="24"/>
          <w:lang w:val="en-GB"/>
        </w:rPr>
        <w:t>by</w:t>
      </w:r>
      <w:r w:rsidR="00BB539D" w:rsidRPr="0001617C">
        <w:rPr>
          <w:sz w:val="24"/>
          <w:szCs w:val="24"/>
          <w:lang w:val="en-GB"/>
        </w:rPr>
        <w:t xml:space="preserve"> the </w:t>
      </w:r>
      <w:r w:rsidR="005A10DF" w:rsidRPr="0001617C">
        <w:rPr>
          <w:sz w:val="24"/>
          <w:szCs w:val="24"/>
          <w:lang w:val="en-GB"/>
        </w:rPr>
        <w:t>P&amp;I Club</w:t>
      </w:r>
      <w:r w:rsidR="00BB539D" w:rsidRPr="0001617C">
        <w:rPr>
          <w:sz w:val="24"/>
          <w:szCs w:val="24"/>
          <w:lang w:val="en-GB"/>
        </w:rPr>
        <w:t xml:space="preserve"> is obliged to directly </w:t>
      </w:r>
      <w:r w:rsidR="00476FED" w:rsidRPr="0001617C">
        <w:rPr>
          <w:sz w:val="24"/>
          <w:szCs w:val="24"/>
          <w:lang w:val="en-GB"/>
        </w:rPr>
        <w:t>pay</w:t>
      </w:r>
      <w:r w:rsidR="00BB539D" w:rsidRPr="0001617C">
        <w:rPr>
          <w:sz w:val="24"/>
          <w:szCs w:val="24"/>
          <w:lang w:val="en-GB"/>
        </w:rPr>
        <w:t xml:space="preserve"> the injured third party, even if its insured shipowner has not </w:t>
      </w:r>
      <w:r w:rsidR="00476FED" w:rsidRPr="0001617C">
        <w:rPr>
          <w:sz w:val="24"/>
          <w:szCs w:val="24"/>
          <w:lang w:val="en-GB"/>
        </w:rPr>
        <w:t xml:space="preserve">already </w:t>
      </w:r>
      <w:r w:rsidR="00BB539D" w:rsidRPr="0001617C">
        <w:rPr>
          <w:sz w:val="24"/>
          <w:szCs w:val="24"/>
          <w:lang w:val="en-GB"/>
        </w:rPr>
        <w:t xml:space="preserve">paid the indemnity. This is precisely the case for civil liability arising out of oil pollution damage under the 1992 Civil Liability Convention. </w:t>
      </w:r>
      <w:r w:rsidR="005B6DC6" w:rsidRPr="0001617C">
        <w:rPr>
          <w:sz w:val="24"/>
          <w:szCs w:val="24"/>
          <w:lang w:val="en-GB"/>
        </w:rPr>
        <w:t>I</w:t>
      </w:r>
      <w:r w:rsidR="00BB539D" w:rsidRPr="0001617C">
        <w:rPr>
          <w:sz w:val="24"/>
          <w:szCs w:val="24"/>
          <w:lang w:val="en-GB"/>
        </w:rPr>
        <w:t xml:space="preserve">n compliance with the international standard and the P&amp;I insurance contract, </w:t>
      </w:r>
      <w:r w:rsidR="005B6DC6" w:rsidRPr="0001617C">
        <w:rPr>
          <w:sz w:val="24"/>
          <w:szCs w:val="24"/>
          <w:lang w:val="en-GB"/>
        </w:rPr>
        <w:t xml:space="preserve">the P&amp;I Club </w:t>
      </w:r>
      <w:r w:rsidR="00BB539D" w:rsidRPr="0001617C">
        <w:rPr>
          <w:sz w:val="24"/>
          <w:szCs w:val="24"/>
          <w:lang w:val="en-GB"/>
        </w:rPr>
        <w:t xml:space="preserve">is obliged to pay directly to the injured third party </w:t>
      </w:r>
      <w:r w:rsidR="00BB539D" w:rsidRPr="0001617C">
        <w:rPr>
          <w:i/>
          <w:iCs/>
          <w:sz w:val="24"/>
          <w:szCs w:val="24"/>
          <w:lang w:val="en-GB"/>
        </w:rPr>
        <w:t xml:space="preserve">up to the limit of the compensation </w:t>
      </w:r>
      <w:r w:rsidR="00B43C4B" w:rsidRPr="0001617C">
        <w:rPr>
          <w:sz w:val="24"/>
          <w:szCs w:val="24"/>
          <w:lang w:val="en-GB"/>
        </w:rPr>
        <w:t>(</w:t>
      </w:r>
      <w:r w:rsidR="0029009F" w:rsidRPr="0001617C">
        <w:rPr>
          <w:sz w:val="24"/>
          <w:szCs w:val="24"/>
          <w:lang w:val="en-GB"/>
        </w:rPr>
        <w:t>“</w:t>
      </w:r>
      <w:r w:rsidR="00B43C4B" w:rsidRPr="0001617C">
        <w:rPr>
          <w:i/>
          <w:iCs/>
          <w:sz w:val="24"/>
          <w:szCs w:val="24"/>
          <w:lang w:val="en-GB"/>
        </w:rPr>
        <w:t>CLC claims</w:t>
      </w:r>
      <w:r w:rsidR="0029009F" w:rsidRPr="0001617C">
        <w:rPr>
          <w:sz w:val="24"/>
          <w:szCs w:val="24"/>
          <w:lang w:val="en-GB"/>
        </w:rPr>
        <w:t>”</w:t>
      </w:r>
      <w:r w:rsidR="00B43C4B" w:rsidRPr="0001617C">
        <w:rPr>
          <w:sz w:val="24"/>
          <w:szCs w:val="24"/>
          <w:lang w:val="en-GB"/>
        </w:rPr>
        <w:t>)</w:t>
      </w:r>
      <w:r w:rsidR="00BB539D" w:rsidRPr="0001617C">
        <w:rPr>
          <w:sz w:val="24"/>
          <w:szCs w:val="24"/>
          <w:lang w:val="en-GB"/>
        </w:rPr>
        <w:t xml:space="preserve">. The arbitrator points out </w:t>
      </w:r>
      <w:r w:rsidR="00C508F6" w:rsidRPr="0001617C">
        <w:rPr>
          <w:sz w:val="24"/>
          <w:szCs w:val="24"/>
          <w:lang w:val="en-GB"/>
        </w:rPr>
        <w:t xml:space="preserve">that, above </w:t>
      </w:r>
      <w:r w:rsidR="00BB539D" w:rsidRPr="0001617C">
        <w:rPr>
          <w:sz w:val="24"/>
          <w:szCs w:val="24"/>
          <w:lang w:val="en-GB"/>
        </w:rPr>
        <w:t xml:space="preserve">this limit, the </w:t>
      </w:r>
      <w:r w:rsidR="00C12C4E" w:rsidRPr="0001617C">
        <w:rPr>
          <w:sz w:val="24"/>
          <w:szCs w:val="24"/>
          <w:lang w:val="en-GB"/>
        </w:rPr>
        <w:t>pre-payment</w:t>
      </w:r>
      <w:r w:rsidR="00BB539D" w:rsidRPr="0001617C">
        <w:rPr>
          <w:sz w:val="24"/>
          <w:szCs w:val="24"/>
          <w:lang w:val="en-GB"/>
        </w:rPr>
        <w:t xml:space="preserve"> clause is enforceable against the injured third party who tries to collect the </w:t>
      </w:r>
      <w:r w:rsidR="007607F6" w:rsidRPr="0001617C">
        <w:rPr>
          <w:sz w:val="24"/>
          <w:szCs w:val="24"/>
          <w:lang w:val="en-GB"/>
        </w:rPr>
        <w:t>indemnity</w:t>
      </w:r>
      <w:r w:rsidR="00BB539D" w:rsidRPr="0001617C">
        <w:rPr>
          <w:sz w:val="24"/>
          <w:szCs w:val="24"/>
          <w:lang w:val="en-GB"/>
        </w:rPr>
        <w:t xml:space="preserve"> directly from the </w:t>
      </w:r>
      <w:r w:rsidR="005A10DF" w:rsidRPr="0001617C">
        <w:rPr>
          <w:sz w:val="24"/>
          <w:szCs w:val="24"/>
          <w:lang w:val="en-GB"/>
        </w:rPr>
        <w:t>P&amp;I Club</w:t>
      </w:r>
      <w:r w:rsidR="00BB539D" w:rsidRPr="0001617C">
        <w:rPr>
          <w:sz w:val="24"/>
          <w:szCs w:val="24"/>
          <w:lang w:val="en-GB"/>
        </w:rPr>
        <w:t>.</w:t>
      </w:r>
    </w:p>
    <w:p w14:paraId="6CBA77AA" w14:textId="644E6E56" w:rsidR="00E23A92" w:rsidRPr="0001617C" w:rsidRDefault="00BB539D">
      <w:pPr>
        <w:spacing w:before="120" w:after="120" w:line="240" w:lineRule="auto"/>
        <w:jc w:val="both"/>
        <w:rPr>
          <w:sz w:val="24"/>
          <w:szCs w:val="24"/>
          <w:lang w:val="en-GB" w:eastAsia="es-ES"/>
        </w:rPr>
      </w:pPr>
      <w:r w:rsidRPr="0001617C">
        <w:rPr>
          <w:i/>
          <w:iCs/>
          <w:sz w:val="24"/>
          <w:szCs w:val="24"/>
          <w:lang w:val="en-GB" w:eastAsia="es-ES"/>
        </w:rPr>
        <w:t>2</w:t>
      </w:r>
      <w:r w:rsidR="00F93246" w:rsidRPr="0001617C">
        <w:rPr>
          <w:i/>
          <w:iCs/>
          <w:sz w:val="24"/>
          <w:szCs w:val="24"/>
          <w:lang w:val="en-GB" w:eastAsia="es-ES"/>
        </w:rPr>
        <w:t xml:space="preserve">. Judicial </w:t>
      </w:r>
      <w:r w:rsidRPr="0001617C">
        <w:rPr>
          <w:i/>
          <w:iCs/>
          <w:sz w:val="24"/>
          <w:szCs w:val="24"/>
          <w:lang w:val="en-GB" w:eastAsia="es-ES"/>
        </w:rPr>
        <w:t>phase</w:t>
      </w:r>
      <w:r w:rsidRPr="0001617C">
        <w:rPr>
          <w:sz w:val="24"/>
          <w:szCs w:val="24"/>
          <w:lang w:val="en-GB" w:eastAsia="es-ES"/>
        </w:rPr>
        <w:t xml:space="preserve">. After the </w:t>
      </w:r>
      <w:r w:rsidR="00350A48" w:rsidRPr="0001617C">
        <w:rPr>
          <w:sz w:val="24"/>
          <w:szCs w:val="24"/>
          <w:lang w:val="en-GB" w:eastAsia="es-ES"/>
        </w:rPr>
        <w:t xml:space="preserve">arbitral awards in </w:t>
      </w:r>
      <w:r w:rsidR="00B43C4B" w:rsidRPr="0001617C">
        <w:rPr>
          <w:sz w:val="24"/>
          <w:szCs w:val="24"/>
          <w:lang w:val="en-GB" w:eastAsia="es-ES"/>
        </w:rPr>
        <w:t xml:space="preserve">favour of the P&amp;I Club </w:t>
      </w:r>
      <w:r w:rsidR="00350A48" w:rsidRPr="0001617C">
        <w:rPr>
          <w:sz w:val="24"/>
          <w:szCs w:val="24"/>
          <w:lang w:val="en-GB" w:eastAsia="es-ES"/>
        </w:rPr>
        <w:t xml:space="preserve">were rendered </w:t>
      </w:r>
      <w:r w:rsidR="005F4B13" w:rsidRPr="0001617C">
        <w:rPr>
          <w:sz w:val="24"/>
          <w:szCs w:val="24"/>
          <w:lang w:val="en-GB" w:eastAsia="es-ES"/>
        </w:rPr>
        <w:t xml:space="preserve">in March 2013, </w:t>
      </w:r>
      <w:r w:rsidRPr="0001617C">
        <w:rPr>
          <w:sz w:val="24"/>
          <w:szCs w:val="24"/>
          <w:lang w:val="en-GB" w:eastAsia="es-ES"/>
        </w:rPr>
        <w:t xml:space="preserve">the P&amp;I Club applied </w:t>
      </w:r>
      <w:r w:rsidR="005F4B13" w:rsidRPr="0001617C">
        <w:rPr>
          <w:sz w:val="24"/>
          <w:szCs w:val="24"/>
          <w:lang w:val="en-GB" w:eastAsia="es-ES"/>
        </w:rPr>
        <w:t>to the competent High Court</w:t>
      </w:r>
      <w:r w:rsidR="005F4B13" w:rsidRPr="0001617C">
        <w:rPr>
          <w:i/>
          <w:iCs/>
          <w:sz w:val="24"/>
          <w:szCs w:val="24"/>
          <w:lang w:val="en-GB" w:eastAsia="es-ES"/>
        </w:rPr>
        <w:t xml:space="preserve"> </w:t>
      </w:r>
      <w:r w:rsidR="005F4B13" w:rsidRPr="0001617C">
        <w:rPr>
          <w:sz w:val="24"/>
          <w:szCs w:val="24"/>
          <w:lang w:val="en-GB" w:eastAsia="es-ES"/>
        </w:rPr>
        <w:t xml:space="preserve">for the two arbitral awards rendered respectively to be recognised as judgments </w:t>
      </w:r>
      <w:r w:rsidR="005F4B13" w:rsidRPr="0001617C">
        <w:rPr>
          <w:iCs/>
          <w:sz w:val="24"/>
          <w:szCs w:val="24"/>
          <w:lang w:val="en-GB" w:eastAsia="es-ES"/>
        </w:rPr>
        <w:t>under</w:t>
      </w:r>
      <w:r w:rsidR="005F4B13" w:rsidRPr="0001617C">
        <w:rPr>
          <w:i/>
          <w:sz w:val="24"/>
          <w:szCs w:val="24"/>
          <w:lang w:val="en-GB" w:eastAsia="es-ES"/>
        </w:rPr>
        <w:t xml:space="preserve"> </w:t>
      </w:r>
      <w:r w:rsidR="005F4B13" w:rsidRPr="0001617C">
        <w:rPr>
          <w:sz w:val="24"/>
          <w:szCs w:val="24"/>
          <w:lang w:val="en-GB" w:eastAsia="es-ES"/>
        </w:rPr>
        <w:t xml:space="preserve">section 66 of the English Arbitration Act 1996. </w:t>
      </w:r>
      <w:r w:rsidR="00F93246" w:rsidRPr="0001617C">
        <w:rPr>
          <w:sz w:val="24"/>
          <w:szCs w:val="24"/>
          <w:lang w:val="en-GB" w:eastAsia="es-ES"/>
        </w:rPr>
        <w:t xml:space="preserve">With the permission of the court, the </w:t>
      </w:r>
      <w:r w:rsidR="00F93246" w:rsidRPr="00FE1947">
        <w:rPr>
          <w:sz w:val="24"/>
          <w:szCs w:val="24"/>
          <w:lang w:val="en-GB" w:eastAsia="es-ES"/>
        </w:rPr>
        <w:t>award c</w:t>
      </w:r>
      <w:r w:rsidR="00065B1F" w:rsidRPr="0001617C">
        <w:rPr>
          <w:sz w:val="24"/>
          <w:szCs w:val="24"/>
          <w:lang w:val="en-GB" w:eastAsia="es-ES"/>
        </w:rPr>
        <w:t>ould</w:t>
      </w:r>
      <w:r w:rsidR="00F93246" w:rsidRPr="0001617C">
        <w:rPr>
          <w:sz w:val="24"/>
          <w:szCs w:val="24"/>
          <w:lang w:val="en-GB" w:eastAsia="es-ES"/>
        </w:rPr>
        <w:t xml:space="preserve"> be enforced in the same way as a court decision</w:t>
      </w:r>
      <w:r w:rsidR="00B84357" w:rsidRPr="0001617C">
        <w:rPr>
          <w:sz w:val="24"/>
          <w:szCs w:val="24"/>
          <w:lang w:val="en-GB" w:eastAsia="es-ES"/>
        </w:rPr>
        <w:t>, and t</w:t>
      </w:r>
      <w:r w:rsidR="00F93246" w:rsidRPr="0001617C">
        <w:rPr>
          <w:sz w:val="24"/>
          <w:szCs w:val="24"/>
          <w:lang w:val="en-GB" w:eastAsia="es-ES"/>
        </w:rPr>
        <w:t xml:space="preserve">he competent court </w:t>
      </w:r>
      <w:r w:rsidR="0018591E" w:rsidRPr="0001617C">
        <w:rPr>
          <w:sz w:val="24"/>
          <w:szCs w:val="24"/>
          <w:lang w:val="en-GB" w:eastAsia="es-ES"/>
        </w:rPr>
        <w:t>could</w:t>
      </w:r>
      <w:r w:rsidR="00F93246" w:rsidRPr="0001617C">
        <w:rPr>
          <w:sz w:val="24"/>
          <w:szCs w:val="24"/>
          <w:lang w:val="en-GB" w:eastAsia="es-ES"/>
        </w:rPr>
        <w:t xml:space="preserve"> issue a decision in the same terms as the </w:t>
      </w:r>
      <w:r w:rsidR="006F573D" w:rsidRPr="0001617C">
        <w:rPr>
          <w:sz w:val="24"/>
          <w:szCs w:val="24"/>
          <w:lang w:val="en-GB" w:eastAsia="es-ES"/>
        </w:rPr>
        <w:t xml:space="preserve">award. </w:t>
      </w:r>
      <w:r w:rsidR="005F4B13" w:rsidRPr="0001617C">
        <w:rPr>
          <w:sz w:val="24"/>
          <w:szCs w:val="24"/>
          <w:lang w:val="en-GB" w:eastAsia="es-ES"/>
        </w:rPr>
        <w:t>The Spanish and French States appear</w:t>
      </w:r>
      <w:r w:rsidR="00B84357" w:rsidRPr="0001617C">
        <w:rPr>
          <w:sz w:val="24"/>
          <w:szCs w:val="24"/>
          <w:lang w:val="en-GB" w:eastAsia="es-ES"/>
        </w:rPr>
        <w:t>ed</w:t>
      </w:r>
      <w:r w:rsidR="005F4B13" w:rsidRPr="0001617C">
        <w:rPr>
          <w:sz w:val="24"/>
          <w:szCs w:val="24"/>
          <w:lang w:val="en-GB" w:eastAsia="es-ES"/>
        </w:rPr>
        <w:t xml:space="preserve"> before the </w:t>
      </w:r>
      <w:r w:rsidR="005F4B13" w:rsidRPr="0001617C">
        <w:rPr>
          <w:iCs/>
          <w:sz w:val="24"/>
          <w:szCs w:val="24"/>
          <w:lang w:val="en-GB" w:eastAsia="es-ES"/>
        </w:rPr>
        <w:t>High Court</w:t>
      </w:r>
      <w:r w:rsidR="005F4B13" w:rsidRPr="0001617C">
        <w:rPr>
          <w:sz w:val="24"/>
          <w:szCs w:val="24"/>
          <w:lang w:val="en-GB" w:eastAsia="es-ES"/>
        </w:rPr>
        <w:t xml:space="preserve"> </w:t>
      </w:r>
      <w:r w:rsidR="00B84357" w:rsidRPr="0001617C">
        <w:rPr>
          <w:sz w:val="24"/>
          <w:szCs w:val="24"/>
          <w:lang w:val="en-GB" w:eastAsia="es-ES"/>
        </w:rPr>
        <w:t xml:space="preserve">to </w:t>
      </w:r>
      <w:r w:rsidR="005F4B13" w:rsidRPr="0001617C">
        <w:rPr>
          <w:sz w:val="24"/>
          <w:szCs w:val="24"/>
          <w:lang w:val="en-GB" w:eastAsia="es-ES"/>
        </w:rPr>
        <w:t>oppos</w:t>
      </w:r>
      <w:r w:rsidR="00B84357" w:rsidRPr="0001617C">
        <w:rPr>
          <w:sz w:val="24"/>
          <w:szCs w:val="24"/>
          <w:lang w:val="en-GB" w:eastAsia="es-ES"/>
        </w:rPr>
        <w:t>e</w:t>
      </w:r>
      <w:r w:rsidR="005F4B13" w:rsidRPr="0001617C">
        <w:rPr>
          <w:sz w:val="24"/>
          <w:szCs w:val="24"/>
          <w:lang w:val="en-GB" w:eastAsia="es-ES"/>
        </w:rPr>
        <w:t xml:space="preserve"> the P&amp;I Club</w:t>
      </w:r>
      <w:r w:rsidR="00B84357" w:rsidRPr="0001617C">
        <w:rPr>
          <w:sz w:val="24"/>
          <w:szCs w:val="24"/>
          <w:lang w:val="en-GB" w:eastAsia="es-ES"/>
        </w:rPr>
        <w:t>’</w:t>
      </w:r>
      <w:r w:rsidR="005F4B13" w:rsidRPr="0001617C">
        <w:rPr>
          <w:sz w:val="24"/>
          <w:szCs w:val="24"/>
          <w:lang w:val="en-GB" w:eastAsia="es-ES"/>
        </w:rPr>
        <w:t xml:space="preserve">s claim. </w:t>
      </w:r>
    </w:p>
    <w:p w14:paraId="488DB81B" w14:textId="38D9C712" w:rsidR="00E23A92" w:rsidRPr="0001617C" w:rsidRDefault="00D23EA0">
      <w:pPr>
        <w:spacing w:before="120" w:after="120" w:line="240" w:lineRule="auto"/>
        <w:jc w:val="both"/>
        <w:rPr>
          <w:sz w:val="24"/>
          <w:szCs w:val="24"/>
          <w:lang w:val="en-GB"/>
        </w:rPr>
      </w:pPr>
      <w:r w:rsidRPr="0001617C">
        <w:rPr>
          <w:sz w:val="24"/>
          <w:szCs w:val="24"/>
          <w:lang w:val="en-GB" w:eastAsia="es-ES"/>
        </w:rPr>
        <w:t>I</w:t>
      </w:r>
      <w:r w:rsidR="00BB539D" w:rsidRPr="0001617C">
        <w:rPr>
          <w:sz w:val="24"/>
          <w:szCs w:val="24"/>
          <w:lang w:val="en-GB" w:eastAsia="es-ES"/>
        </w:rPr>
        <w:t xml:space="preserve">n his </w:t>
      </w:r>
      <w:r w:rsidR="005F4B13" w:rsidRPr="0001617C">
        <w:rPr>
          <w:iCs/>
          <w:sz w:val="24"/>
          <w:szCs w:val="24"/>
          <w:lang w:val="en-GB"/>
        </w:rPr>
        <w:t>High Court</w:t>
      </w:r>
      <w:r w:rsidR="005F4B13" w:rsidRPr="0001617C">
        <w:rPr>
          <w:i/>
          <w:sz w:val="24"/>
          <w:szCs w:val="24"/>
          <w:lang w:val="en-GB"/>
        </w:rPr>
        <w:t xml:space="preserve"> </w:t>
      </w:r>
      <w:r w:rsidR="005F4B13" w:rsidRPr="0001617C">
        <w:rPr>
          <w:sz w:val="24"/>
          <w:szCs w:val="24"/>
          <w:lang w:val="en-GB"/>
        </w:rPr>
        <w:t xml:space="preserve">judgment </w:t>
      </w:r>
      <w:r w:rsidR="005F4B13" w:rsidRPr="0001617C">
        <w:rPr>
          <w:iCs/>
          <w:sz w:val="24"/>
          <w:szCs w:val="24"/>
          <w:lang w:val="en-GB"/>
        </w:rPr>
        <w:t>of 22 October 2013</w:t>
      </w:r>
      <w:r w:rsidRPr="0001617C">
        <w:rPr>
          <w:iCs/>
          <w:sz w:val="24"/>
          <w:szCs w:val="24"/>
          <w:lang w:val="en-GB"/>
        </w:rPr>
        <w:t>,</w:t>
      </w:r>
      <w:r w:rsidR="005F4B13" w:rsidRPr="0001617C">
        <w:rPr>
          <w:rStyle w:val="Refdenotaalpie"/>
          <w:sz w:val="24"/>
          <w:szCs w:val="24"/>
          <w:lang w:val="en-GB"/>
        </w:rPr>
        <w:footnoteReference w:id="11"/>
      </w:r>
      <w:r w:rsidR="00574379" w:rsidRPr="0001617C">
        <w:rPr>
          <w:sz w:val="24"/>
          <w:szCs w:val="24"/>
          <w:lang w:val="en-GB"/>
        </w:rPr>
        <w:t xml:space="preserve"> </w:t>
      </w:r>
      <w:r w:rsidRPr="0001617C">
        <w:rPr>
          <w:sz w:val="24"/>
          <w:szCs w:val="24"/>
          <w:lang w:val="en-GB" w:eastAsia="es-ES"/>
        </w:rPr>
        <w:t xml:space="preserve">the Judge </w:t>
      </w:r>
      <w:r w:rsidR="00574379" w:rsidRPr="0001617C">
        <w:rPr>
          <w:sz w:val="24"/>
          <w:szCs w:val="24"/>
          <w:lang w:val="en-GB"/>
        </w:rPr>
        <w:t>accept</w:t>
      </w:r>
      <w:r w:rsidRPr="0001617C">
        <w:rPr>
          <w:sz w:val="24"/>
          <w:szCs w:val="24"/>
          <w:lang w:val="en-GB"/>
        </w:rPr>
        <w:t>ed</w:t>
      </w:r>
      <w:r w:rsidR="00574379" w:rsidRPr="0001617C">
        <w:rPr>
          <w:sz w:val="24"/>
          <w:szCs w:val="24"/>
          <w:lang w:val="en-GB"/>
        </w:rPr>
        <w:t xml:space="preserve"> the </w:t>
      </w:r>
      <w:r w:rsidR="005A10DF" w:rsidRPr="0001617C">
        <w:rPr>
          <w:sz w:val="24"/>
          <w:szCs w:val="24"/>
          <w:lang w:val="en-GB"/>
        </w:rPr>
        <w:t>P&amp;I Club</w:t>
      </w:r>
      <w:r w:rsidR="00B84357" w:rsidRPr="0001617C">
        <w:rPr>
          <w:sz w:val="24"/>
          <w:szCs w:val="24"/>
          <w:lang w:val="en-GB"/>
        </w:rPr>
        <w:t>’</w:t>
      </w:r>
      <w:r w:rsidR="00574379" w:rsidRPr="0001617C">
        <w:rPr>
          <w:sz w:val="24"/>
          <w:szCs w:val="24"/>
          <w:lang w:val="en-GB"/>
        </w:rPr>
        <w:t>s application. He grant</w:t>
      </w:r>
      <w:r w:rsidR="006B44DB" w:rsidRPr="0001617C">
        <w:rPr>
          <w:sz w:val="24"/>
          <w:szCs w:val="24"/>
          <w:lang w:val="en-GB"/>
        </w:rPr>
        <w:t>ed</w:t>
      </w:r>
      <w:r w:rsidR="00574379" w:rsidRPr="0001617C">
        <w:rPr>
          <w:sz w:val="24"/>
          <w:szCs w:val="24"/>
          <w:lang w:val="en-GB"/>
        </w:rPr>
        <w:t xml:space="preserve"> </w:t>
      </w:r>
      <w:r w:rsidR="006F573D" w:rsidRPr="0001617C">
        <w:rPr>
          <w:sz w:val="24"/>
          <w:szCs w:val="24"/>
          <w:lang w:val="en-GB"/>
        </w:rPr>
        <w:t xml:space="preserve">the permission of </w:t>
      </w:r>
      <w:r w:rsidR="006B44DB" w:rsidRPr="0001617C">
        <w:rPr>
          <w:sz w:val="24"/>
          <w:szCs w:val="24"/>
          <w:lang w:val="en-GB"/>
        </w:rPr>
        <w:t>section</w:t>
      </w:r>
      <w:r w:rsidR="006F573D" w:rsidRPr="0001617C">
        <w:rPr>
          <w:sz w:val="24"/>
          <w:szCs w:val="24"/>
          <w:lang w:val="en-GB"/>
        </w:rPr>
        <w:t xml:space="preserve"> 66 of the English Arbitration Act </w:t>
      </w:r>
      <w:r w:rsidR="00BB539D" w:rsidRPr="0001617C">
        <w:rPr>
          <w:sz w:val="24"/>
          <w:szCs w:val="24"/>
          <w:lang w:val="en-GB"/>
        </w:rPr>
        <w:t xml:space="preserve">and </w:t>
      </w:r>
      <w:r w:rsidR="006F573D" w:rsidRPr="0001617C">
        <w:rPr>
          <w:sz w:val="24"/>
          <w:szCs w:val="24"/>
          <w:lang w:val="en-GB"/>
        </w:rPr>
        <w:t xml:space="preserve">the awards </w:t>
      </w:r>
      <w:r w:rsidR="00BB539D" w:rsidRPr="0001617C">
        <w:rPr>
          <w:sz w:val="24"/>
          <w:szCs w:val="24"/>
          <w:lang w:val="en-GB"/>
        </w:rPr>
        <w:t xml:space="preserve">in favour of the </w:t>
      </w:r>
      <w:r w:rsidR="005A10DF" w:rsidRPr="0001617C">
        <w:rPr>
          <w:sz w:val="24"/>
          <w:szCs w:val="24"/>
          <w:lang w:val="en-GB"/>
        </w:rPr>
        <w:t>P&amp;I Club</w:t>
      </w:r>
      <w:r w:rsidR="00BB539D" w:rsidRPr="0001617C">
        <w:rPr>
          <w:sz w:val="24"/>
          <w:szCs w:val="24"/>
          <w:lang w:val="en-GB"/>
        </w:rPr>
        <w:t xml:space="preserve"> </w:t>
      </w:r>
      <w:r w:rsidR="003B776F" w:rsidRPr="0001617C">
        <w:rPr>
          <w:sz w:val="24"/>
          <w:szCs w:val="24"/>
          <w:lang w:val="en-GB"/>
        </w:rPr>
        <w:t>were</w:t>
      </w:r>
      <w:r w:rsidR="00BB539D" w:rsidRPr="0001617C">
        <w:rPr>
          <w:sz w:val="24"/>
          <w:szCs w:val="24"/>
          <w:lang w:val="en-GB"/>
        </w:rPr>
        <w:t xml:space="preserve"> </w:t>
      </w:r>
      <w:r w:rsidR="00574379" w:rsidRPr="0001617C">
        <w:rPr>
          <w:sz w:val="24"/>
          <w:szCs w:val="24"/>
          <w:lang w:val="en-GB"/>
        </w:rPr>
        <w:t xml:space="preserve">jointly </w:t>
      </w:r>
      <w:r w:rsidR="006F573D" w:rsidRPr="0001617C">
        <w:rPr>
          <w:sz w:val="24"/>
          <w:szCs w:val="24"/>
          <w:lang w:val="en-GB"/>
        </w:rPr>
        <w:t xml:space="preserve">recognised </w:t>
      </w:r>
      <w:r w:rsidR="00574379" w:rsidRPr="0001617C">
        <w:rPr>
          <w:sz w:val="24"/>
          <w:szCs w:val="24"/>
          <w:lang w:val="en-GB"/>
        </w:rPr>
        <w:t xml:space="preserve">in </w:t>
      </w:r>
      <w:r w:rsidR="00BB539D" w:rsidRPr="0001617C">
        <w:rPr>
          <w:sz w:val="24"/>
          <w:szCs w:val="24"/>
          <w:lang w:val="en-GB"/>
        </w:rPr>
        <w:t xml:space="preserve">his </w:t>
      </w:r>
      <w:r w:rsidR="006F573D" w:rsidRPr="0001617C">
        <w:rPr>
          <w:sz w:val="24"/>
          <w:szCs w:val="24"/>
          <w:lang w:val="en-GB"/>
        </w:rPr>
        <w:t>judgement</w:t>
      </w:r>
      <w:r w:rsidR="003C64DF" w:rsidRPr="0001617C">
        <w:rPr>
          <w:sz w:val="24"/>
          <w:szCs w:val="24"/>
          <w:lang w:val="en-GB"/>
        </w:rPr>
        <w:t>.</w:t>
      </w:r>
      <w:r w:rsidR="005F4B13" w:rsidRPr="0001617C">
        <w:rPr>
          <w:rStyle w:val="Refdenotaalpie"/>
          <w:sz w:val="24"/>
          <w:szCs w:val="24"/>
          <w:lang w:val="en-GB" w:eastAsia="es-ES"/>
        </w:rPr>
        <w:footnoteReference w:id="12"/>
      </w:r>
      <w:r w:rsidR="005F4B13" w:rsidRPr="0001617C">
        <w:rPr>
          <w:sz w:val="24"/>
          <w:szCs w:val="24"/>
          <w:lang w:val="en-GB"/>
        </w:rPr>
        <w:t xml:space="preserve"> The </w:t>
      </w:r>
      <w:r w:rsidR="00BB539D" w:rsidRPr="0001617C">
        <w:rPr>
          <w:sz w:val="24"/>
          <w:szCs w:val="24"/>
          <w:lang w:val="en-GB"/>
        </w:rPr>
        <w:t xml:space="preserve">judicial </w:t>
      </w:r>
      <w:r w:rsidR="005F4B13" w:rsidRPr="0001617C">
        <w:rPr>
          <w:sz w:val="24"/>
          <w:szCs w:val="24"/>
          <w:lang w:val="en-GB"/>
        </w:rPr>
        <w:t xml:space="preserve">motivation </w:t>
      </w:r>
      <w:r w:rsidR="003C64DF" w:rsidRPr="0001617C">
        <w:rPr>
          <w:sz w:val="24"/>
          <w:szCs w:val="24"/>
          <w:lang w:val="en-GB"/>
        </w:rPr>
        <w:t>was</w:t>
      </w:r>
      <w:r w:rsidR="005F4B13" w:rsidRPr="0001617C">
        <w:rPr>
          <w:sz w:val="24"/>
          <w:szCs w:val="24"/>
          <w:lang w:val="en-GB"/>
        </w:rPr>
        <w:t xml:space="preserve"> as follows.</w:t>
      </w:r>
    </w:p>
    <w:p w14:paraId="1DDF86D0" w14:textId="146737A6" w:rsidR="00E23A92" w:rsidRPr="0001617C" w:rsidRDefault="00BB539D">
      <w:pPr>
        <w:pStyle w:val="Textonotaalfinal"/>
        <w:numPr>
          <w:ilvl w:val="0"/>
          <w:numId w:val="44"/>
        </w:numPr>
        <w:spacing w:before="120" w:after="120"/>
        <w:jc w:val="both"/>
        <w:rPr>
          <w:rStyle w:val="DeltaViewInsertion"/>
          <w:rFonts w:ascii="Times New Roman" w:hAnsi="Times New Roman"/>
          <w:color w:val="auto"/>
          <w:sz w:val="24"/>
          <w:szCs w:val="24"/>
          <w:u w:val="none"/>
          <w:lang w:val="en-GB"/>
        </w:rPr>
      </w:pPr>
      <w:r w:rsidRPr="0001617C">
        <w:rPr>
          <w:rFonts w:ascii="Times New Roman" w:hAnsi="Times New Roman"/>
          <w:sz w:val="24"/>
          <w:szCs w:val="24"/>
          <w:lang w:val="en-GB"/>
        </w:rPr>
        <w:lastRenderedPageBreak/>
        <w:t xml:space="preserve">Spain and France </w:t>
      </w:r>
      <w:r w:rsidR="005F4B13" w:rsidRPr="0001617C">
        <w:rPr>
          <w:rStyle w:val="DeltaViewInsertion"/>
          <w:rFonts w:ascii="Times New Roman" w:hAnsi="Times New Roman"/>
          <w:color w:val="auto"/>
          <w:sz w:val="24"/>
          <w:szCs w:val="24"/>
          <w:u w:val="none"/>
          <w:lang w:val="en-GB"/>
        </w:rPr>
        <w:t xml:space="preserve">lost state immunity by appearing in the English proceedings to oppose the enforcement of arbitral awards. </w:t>
      </w:r>
    </w:p>
    <w:p w14:paraId="2343AB3D" w14:textId="35AA1399" w:rsidR="00E23A92" w:rsidRPr="0001617C" w:rsidRDefault="005F4B13">
      <w:pPr>
        <w:pStyle w:val="Textonotaalfinal"/>
        <w:numPr>
          <w:ilvl w:val="0"/>
          <w:numId w:val="44"/>
        </w:numPr>
        <w:spacing w:before="120" w:after="120"/>
        <w:jc w:val="both"/>
        <w:rPr>
          <w:rFonts w:ascii="Times New Roman" w:hAnsi="Times New Roman"/>
          <w:sz w:val="24"/>
          <w:szCs w:val="24"/>
          <w:lang w:val="en-GB"/>
        </w:rPr>
      </w:pPr>
      <w:r w:rsidRPr="0001617C">
        <w:rPr>
          <w:rStyle w:val="DeltaViewInsertion"/>
          <w:rFonts w:ascii="Times New Roman" w:hAnsi="Times New Roman"/>
          <w:color w:val="auto"/>
          <w:sz w:val="24"/>
          <w:szCs w:val="24"/>
          <w:u w:val="none"/>
          <w:lang w:val="en-GB"/>
        </w:rPr>
        <w:t>The direct action by</w:t>
      </w:r>
      <w:r w:rsidR="006A5655" w:rsidRPr="0001617C">
        <w:rPr>
          <w:rStyle w:val="DeltaViewInsertion"/>
          <w:rFonts w:ascii="Times New Roman" w:hAnsi="Times New Roman"/>
          <w:color w:val="auto"/>
          <w:sz w:val="24"/>
          <w:szCs w:val="24"/>
          <w:u w:val="none"/>
          <w:lang w:val="en-GB"/>
        </w:rPr>
        <w:t xml:space="preserve"> the</w:t>
      </w:r>
      <w:r w:rsidRPr="0001617C">
        <w:rPr>
          <w:rStyle w:val="DeltaViewInsertion"/>
          <w:rFonts w:ascii="Times New Roman" w:hAnsi="Times New Roman"/>
          <w:color w:val="auto"/>
          <w:sz w:val="24"/>
          <w:szCs w:val="24"/>
          <w:u w:val="none"/>
          <w:lang w:val="en-GB"/>
        </w:rPr>
        <w:t xml:space="preserve"> injured parties </w:t>
      </w:r>
      <w:r w:rsidR="00E412A3" w:rsidRPr="0001617C">
        <w:rPr>
          <w:rStyle w:val="DeltaViewInsertion"/>
          <w:rFonts w:ascii="Times New Roman" w:hAnsi="Times New Roman"/>
          <w:color w:val="auto"/>
          <w:sz w:val="24"/>
          <w:szCs w:val="24"/>
          <w:u w:val="none"/>
          <w:lang w:val="en-GB"/>
        </w:rPr>
        <w:t>was in substance</w:t>
      </w:r>
      <w:r w:rsidRPr="0001617C">
        <w:rPr>
          <w:rStyle w:val="DeltaViewInsertion"/>
          <w:rFonts w:ascii="Times New Roman" w:hAnsi="Times New Roman"/>
          <w:color w:val="auto"/>
          <w:sz w:val="24"/>
          <w:szCs w:val="24"/>
          <w:u w:val="none"/>
          <w:lang w:val="en-GB"/>
        </w:rPr>
        <w:t xml:space="preserve"> </w:t>
      </w:r>
      <w:r w:rsidR="0029009F" w:rsidRPr="0001617C">
        <w:rPr>
          <w:rStyle w:val="DeltaViewInsertion"/>
          <w:rFonts w:ascii="Times New Roman" w:hAnsi="Times New Roman"/>
          <w:color w:val="auto"/>
          <w:sz w:val="24"/>
          <w:szCs w:val="24"/>
          <w:u w:val="none"/>
          <w:lang w:val="en-GB"/>
        </w:rPr>
        <w:t>“</w:t>
      </w:r>
      <w:r w:rsidRPr="0001617C">
        <w:rPr>
          <w:rStyle w:val="DeltaViewInsertion"/>
          <w:rFonts w:ascii="Times New Roman" w:hAnsi="Times New Roman"/>
          <w:color w:val="auto"/>
          <w:sz w:val="24"/>
          <w:szCs w:val="24"/>
          <w:u w:val="none"/>
          <w:lang w:val="en-GB"/>
        </w:rPr>
        <w:t>contractual</w:t>
      </w:r>
      <w:r w:rsidR="006A5655" w:rsidRPr="0001617C">
        <w:rPr>
          <w:rStyle w:val="DeltaViewInsertion"/>
          <w:rFonts w:ascii="Times New Roman" w:hAnsi="Times New Roman"/>
          <w:color w:val="auto"/>
          <w:sz w:val="24"/>
          <w:szCs w:val="24"/>
          <w:u w:val="none"/>
          <w:lang w:val="en-GB"/>
        </w:rPr>
        <w:t>,</w:t>
      </w:r>
      <w:r w:rsidR="0029009F" w:rsidRPr="0001617C">
        <w:rPr>
          <w:rStyle w:val="DeltaViewInsertion"/>
          <w:rFonts w:ascii="Times New Roman" w:hAnsi="Times New Roman"/>
          <w:color w:val="auto"/>
          <w:sz w:val="24"/>
          <w:szCs w:val="24"/>
          <w:u w:val="none"/>
          <w:lang w:val="en-GB"/>
        </w:rPr>
        <w:t>”</w:t>
      </w:r>
      <w:r w:rsidRPr="0001617C">
        <w:rPr>
          <w:rStyle w:val="Refdenotaalpie"/>
          <w:rFonts w:ascii="Times New Roman" w:hAnsi="Times New Roman"/>
          <w:sz w:val="24"/>
          <w:szCs w:val="24"/>
          <w:lang w:val="en-GB"/>
        </w:rPr>
        <w:footnoteReference w:id="13"/>
      </w:r>
      <w:r w:rsidR="006F573D" w:rsidRPr="0001617C">
        <w:rPr>
          <w:rStyle w:val="DeltaViewInsertion"/>
          <w:rFonts w:ascii="Times New Roman" w:hAnsi="Times New Roman"/>
          <w:color w:val="auto"/>
          <w:sz w:val="24"/>
          <w:szCs w:val="24"/>
          <w:u w:val="none"/>
          <w:lang w:val="en-GB"/>
        </w:rPr>
        <w:t xml:space="preserve"> as </w:t>
      </w:r>
      <w:r w:rsidR="00643775" w:rsidRPr="0001617C">
        <w:rPr>
          <w:rStyle w:val="DeltaViewInsertion"/>
          <w:rFonts w:ascii="Times New Roman" w:hAnsi="Times New Roman"/>
          <w:color w:val="auto"/>
          <w:sz w:val="24"/>
          <w:szCs w:val="24"/>
          <w:u w:val="none"/>
          <w:lang w:val="en-GB"/>
        </w:rPr>
        <w:t xml:space="preserve">the </w:t>
      </w:r>
      <w:r w:rsidRPr="0001617C">
        <w:rPr>
          <w:rFonts w:ascii="Times New Roman" w:hAnsi="Times New Roman"/>
          <w:sz w:val="24"/>
          <w:szCs w:val="24"/>
          <w:lang w:val="en-GB"/>
        </w:rPr>
        <w:t xml:space="preserve">claimants </w:t>
      </w:r>
      <w:r w:rsidR="00940CBC" w:rsidRPr="0001617C">
        <w:rPr>
          <w:rFonts w:ascii="Times New Roman" w:hAnsi="Times New Roman"/>
          <w:sz w:val="24"/>
          <w:szCs w:val="24"/>
          <w:lang w:val="en-GB"/>
        </w:rPr>
        <w:t xml:space="preserve">were </w:t>
      </w:r>
      <w:r w:rsidRPr="0001617C">
        <w:rPr>
          <w:rFonts w:ascii="Times New Roman" w:hAnsi="Times New Roman"/>
          <w:sz w:val="24"/>
          <w:szCs w:val="24"/>
          <w:lang w:val="en-GB"/>
        </w:rPr>
        <w:t>exercis</w:t>
      </w:r>
      <w:r w:rsidR="00940CBC" w:rsidRPr="0001617C">
        <w:rPr>
          <w:rFonts w:ascii="Times New Roman" w:hAnsi="Times New Roman"/>
          <w:sz w:val="24"/>
          <w:szCs w:val="24"/>
          <w:lang w:val="en-GB"/>
        </w:rPr>
        <w:t xml:space="preserve">ing </w:t>
      </w:r>
      <w:r w:rsidRPr="0001617C">
        <w:rPr>
          <w:rFonts w:ascii="Times New Roman" w:hAnsi="Times New Roman"/>
          <w:sz w:val="24"/>
          <w:szCs w:val="24"/>
          <w:lang w:val="en-GB"/>
        </w:rPr>
        <w:t>a right to enforce a contract</w:t>
      </w:r>
      <w:r w:rsidR="006F573D" w:rsidRPr="0001617C">
        <w:rPr>
          <w:rFonts w:ascii="Times New Roman" w:hAnsi="Times New Roman"/>
          <w:sz w:val="24"/>
          <w:szCs w:val="24"/>
          <w:lang w:val="en-GB"/>
        </w:rPr>
        <w:t xml:space="preserve">. It </w:t>
      </w:r>
      <w:r w:rsidR="00FD0972" w:rsidRPr="0001617C">
        <w:rPr>
          <w:rFonts w:ascii="Times New Roman" w:hAnsi="Times New Roman"/>
          <w:sz w:val="24"/>
          <w:szCs w:val="24"/>
          <w:lang w:val="en-GB"/>
        </w:rPr>
        <w:t>was</w:t>
      </w:r>
      <w:r w:rsidR="006F573D" w:rsidRPr="0001617C">
        <w:rPr>
          <w:rFonts w:ascii="Times New Roman" w:hAnsi="Times New Roman"/>
          <w:sz w:val="24"/>
          <w:szCs w:val="24"/>
          <w:lang w:val="en-GB"/>
        </w:rPr>
        <w:t xml:space="preserve"> not an </w:t>
      </w:r>
      <w:r w:rsidRPr="0001617C">
        <w:rPr>
          <w:rFonts w:ascii="Times New Roman" w:hAnsi="Times New Roman"/>
          <w:sz w:val="24"/>
          <w:szCs w:val="24"/>
          <w:lang w:val="en-GB"/>
        </w:rPr>
        <w:t xml:space="preserve">independent right of </w:t>
      </w:r>
      <w:r w:rsidR="00FD0972" w:rsidRPr="0001617C">
        <w:rPr>
          <w:rFonts w:ascii="Times New Roman" w:hAnsi="Times New Roman"/>
          <w:sz w:val="24"/>
          <w:szCs w:val="24"/>
          <w:lang w:val="en-GB"/>
        </w:rPr>
        <w:t>recovery</w:t>
      </w:r>
      <w:r w:rsidRPr="0001617C">
        <w:rPr>
          <w:rFonts w:ascii="Times New Roman" w:hAnsi="Times New Roman"/>
          <w:sz w:val="24"/>
          <w:szCs w:val="24"/>
          <w:lang w:val="en-GB"/>
        </w:rPr>
        <w:t xml:space="preserve">. When a third party </w:t>
      </w:r>
      <w:r w:rsidR="006F573D" w:rsidRPr="0001617C">
        <w:rPr>
          <w:rFonts w:ascii="Times New Roman" w:hAnsi="Times New Roman"/>
          <w:sz w:val="24"/>
          <w:szCs w:val="24"/>
          <w:lang w:val="en-GB"/>
        </w:rPr>
        <w:t xml:space="preserve">to the insurance contract </w:t>
      </w:r>
      <w:r w:rsidRPr="0001617C">
        <w:rPr>
          <w:rFonts w:ascii="Times New Roman" w:hAnsi="Times New Roman"/>
          <w:sz w:val="24"/>
          <w:szCs w:val="24"/>
          <w:lang w:val="en-GB"/>
        </w:rPr>
        <w:t xml:space="preserve">makes a claim based on </w:t>
      </w:r>
      <w:r w:rsidR="006F573D" w:rsidRPr="0001617C">
        <w:rPr>
          <w:rFonts w:ascii="Times New Roman" w:hAnsi="Times New Roman"/>
          <w:sz w:val="24"/>
          <w:szCs w:val="24"/>
          <w:lang w:val="en-GB"/>
        </w:rPr>
        <w:t xml:space="preserve">the insurance contract and </w:t>
      </w:r>
      <w:r w:rsidR="005A7897" w:rsidRPr="0001617C">
        <w:rPr>
          <w:rFonts w:ascii="Times New Roman" w:hAnsi="Times New Roman"/>
          <w:sz w:val="24"/>
          <w:szCs w:val="24"/>
          <w:lang w:val="en-GB"/>
        </w:rPr>
        <w:t xml:space="preserve">this </w:t>
      </w:r>
      <w:r w:rsidRPr="0001617C">
        <w:rPr>
          <w:rFonts w:ascii="Times New Roman" w:hAnsi="Times New Roman"/>
          <w:sz w:val="24"/>
          <w:szCs w:val="24"/>
          <w:lang w:val="en-GB"/>
        </w:rPr>
        <w:t>contain</w:t>
      </w:r>
      <w:r w:rsidR="005A7897" w:rsidRPr="0001617C">
        <w:rPr>
          <w:rFonts w:ascii="Times New Roman" w:hAnsi="Times New Roman"/>
          <w:sz w:val="24"/>
          <w:szCs w:val="24"/>
          <w:lang w:val="en-GB"/>
        </w:rPr>
        <w:t>s</w:t>
      </w:r>
      <w:r w:rsidRPr="0001617C">
        <w:rPr>
          <w:rFonts w:ascii="Times New Roman" w:hAnsi="Times New Roman"/>
          <w:sz w:val="24"/>
          <w:szCs w:val="24"/>
          <w:lang w:val="en-GB"/>
        </w:rPr>
        <w:t xml:space="preserve"> an arbitration clause, and such a claim is contradicted by the insurer, the claimant becomes obliged to refer the dispute to arbitration in accordance with the arbitration clause of the contract whose performance </w:t>
      </w:r>
      <w:r w:rsidR="009C1DED" w:rsidRPr="0001617C">
        <w:rPr>
          <w:rFonts w:ascii="Times New Roman" w:hAnsi="Times New Roman"/>
          <w:sz w:val="24"/>
          <w:szCs w:val="24"/>
          <w:lang w:val="en-GB"/>
        </w:rPr>
        <w:t>he seeks</w:t>
      </w:r>
      <w:r w:rsidRPr="0001617C">
        <w:rPr>
          <w:rFonts w:ascii="Times New Roman" w:hAnsi="Times New Roman"/>
          <w:sz w:val="24"/>
          <w:szCs w:val="24"/>
          <w:lang w:val="en-GB"/>
        </w:rPr>
        <w:t xml:space="preserve">. Although not the original party to the arbitration clause, the claimant becomes a party by novation or by legal transfer of the rights and obligations of the agreement. He is not a party in all respects, but he is bound by the arbitration </w:t>
      </w:r>
      <w:r w:rsidR="00767D7B" w:rsidRPr="0001617C">
        <w:rPr>
          <w:rFonts w:ascii="Times New Roman" w:hAnsi="Times New Roman"/>
          <w:sz w:val="24"/>
          <w:szCs w:val="24"/>
          <w:lang w:val="en-GB"/>
        </w:rPr>
        <w:t>clause</w:t>
      </w:r>
      <w:r w:rsidRPr="0001617C">
        <w:rPr>
          <w:rFonts w:ascii="Times New Roman" w:hAnsi="Times New Roman"/>
          <w:sz w:val="24"/>
          <w:szCs w:val="24"/>
          <w:lang w:val="en-GB"/>
        </w:rPr>
        <w:t xml:space="preserve"> for the purposes of the law, he concludes.</w:t>
      </w:r>
    </w:p>
    <w:p w14:paraId="6A4D5DA9" w14:textId="0850A207" w:rsidR="00E23A92" w:rsidRPr="0001617C" w:rsidRDefault="00BB539D">
      <w:pPr>
        <w:pStyle w:val="Textonotaalfinal"/>
        <w:numPr>
          <w:ilvl w:val="0"/>
          <w:numId w:val="44"/>
        </w:numPr>
        <w:spacing w:before="120" w:after="120"/>
        <w:jc w:val="both"/>
        <w:rPr>
          <w:rFonts w:ascii="Times New Roman" w:hAnsi="Times New Roman"/>
          <w:i/>
          <w:iCs/>
          <w:sz w:val="24"/>
          <w:szCs w:val="24"/>
          <w:lang w:val="en-GB"/>
        </w:rPr>
      </w:pPr>
      <w:r w:rsidRPr="0001617C">
        <w:rPr>
          <w:rFonts w:ascii="Times New Roman" w:hAnsi="Times New Roman"/>
          <w:sz w:val="24"/>
          <w:szCs w:val="24"/>
          <w:lang w:val="en-GB"/>
        </w:rPr>
        <w:t xml:space="preserve">The </w:t>
      </w:r>
      <w:r w:rsidR="005F4B13" w:rsidRPr="0001617C">
        <w:rPr>
          <w:rFonts w:ascii="Times New Roman" w:hAnsi="Times New Roman"/>
          <w:i/>
          <w:iCs/>
          <w:sz w:val="24"/>
          <w:szCs w:val="24"/>
          <w:lang w:val="en-GB"/>
        </w:rPr>
        <w:t>lis pendens</w:t>
      </w:r>
      <w:r w:rsidR="005F4B13" w:rsidRPr="0001617C">
        <w:rPr>
          <w:rFonts w:ascii="Times New Roman" w:hAnsi="Times New Roman"/>
          <w:sz w:val="24"/>
          <w:szCs w:val="24"/>
          <w:lang w:val="en-GB"/>
        </w:rPr>
        <w:t xml:space="preserve"> </w:t>
      </w:r>
      <w:r w:rsidRPr="0001617C">
        <w:rPr>
          <w:rFonts w:ascii="Times New Roman" w:hAnsi="Times New Roman"/>
          <w:sz w:val="24"/>
          <w:szCs w:val="24"/>
          <w:lang w:val="en-GB"/>
        </w:rPr>
        <w:t xml:space="preserve">rules of </w:t>
      </w:r>
      <w:r w:rsidR="006063B5" w:rsidRPr="0001617C">
        <w:rPr>
          <w:rFonts w:ascii="Times New Roman" w:hAnsi="Times New Roman"/>
          <w:sz w:val="24"/>
          <w:szCs w:val="24"/>
          <w:lang w:val="en-GB"/>
        </w:rPr>
        <w:t>Regulation (EC) 44/2001</w:t>
      </w:r>
      <w:r w:rsidRPr="0001617C">
        <w:rPr>
          <w:rFonts w:ascii="Times New Roman" w:hAnsi="Times New Roman"/>
          <w:sz w:val="24"/>
          <w:szCs w:val="24"/>
          <w:lang w:val="en-GB"/>
        </w:rPr>
        <w:t xml:space="preserve"> </w:t>
      </w:r>
      <w:r w:rsidR="005F4B13" w:rsidRPr="0001617C">
        <w:rPr>
          <w:rFonts w:ascii="Times New Roman" w:hAnsi="Times New Roman"/>
          <w:sz w:val="24"/>
          <w:szCs w:val="24"/>
          <w:lang w:val="en-GB"/>
        </w:rPr>
        <w:t xml:space="preserve">in favour of the Provincial </w:t>
      </w:r>
      <w:r w:rsidR="00724EB2" w:rsidRPr="0001617C">
        <w:rPr>
          <w:rFonts w:ascii="Times New Roman" w:hAnsi="Times New Roman"/>
          <w:sz w:val="24"/>
          <w:szCs w:val="24"/>
          <w:lang w:val="en-GB"/>
        </w:rPr>
        <w:t>Court of</w:t>
      </w:r>
      <w:r w:rsidR="005F4B13" w:rsidRPr="0001617C">
        <w:rPr>
          <w:rFonts w:ascii="Times New Roman" w:hAnsi="Times New Roman"/>
          <w:sz w:val="24"/>
          <w:szCs w:val="24"/>
          <w:lang w:val="en-GB"/>
        </w:rPr>
        <w:t xml:space="preserve"> A Coruña, as the first court to hear the civil liability claim</w:t>
      </w:r>
      <w:r w:rsidRPr="0001617C">
        <w:rPr>
          <w:rFonts w:ascii="Times New Roman" w:hAnsi="Times New Roman"/>
          <w:sz w:val="24"/>
          <w:szCs w:val="24"/>
          <w:lang w:val="en-GB"/>
        </w:rPr>
        <w:t xml:space="preserve">, </w:t>
      </w:r>
      <w:r w:rsidR="005F4B13" w:rsidRPr="0001617C">
        <w:rPr>
          <w:rFonts w:ascii="Times New Roman" w:hAnsi="Times New Roman"/>
          <w:sz w:val="24"/>
          <w:szCs w:val="24"/>
          <w:lang w:val="en-GB"/>
        </w:rPr>
        <w:t xml:space="preserve">do not require it to stay the proceedings </w:t>
      </w:r>
      <w:r w:rsidRPr="0001617C">
        <w:rPr>
          <w:rFonts w:ascii="Times New Roman" w:hAnsi="Times New Roman"/>
          <w:sz w:val="24"/>
          <w:szCs w:val="24"/>
          <w:lang w:val="en-GB"/>
        </w:rPr>
        <w:t xml:space="preserve">initiated or to </w:t>
      </w:r>
      <w:r w:rsidR="00BF3433" w:rsidRPr="0001617C">
        <w:rPr>
          <w:rFonts w:ascii="Times New Roman" w:hAnsi="Times New Roman"/>
          <w:sz w:val="24"/>
          <w:szCs w:val="24"/>
          <w:lang w:val="en-GB"/>
        </w:rPr>
        <w:t>restrain</w:t>
      </w:r>
      <w:r w:rsidRPr="0001617C">
        <w:rPr>
          <w:rFonts w:ascii="Times New Roman" w:hAnsi="Times New Roman"/>
          <w:sz w:val="24"/>
          <w:szCs w:val="24"/>
          <w:lang w:val="en-GB"/>
        </w:rPr>
        <w:t xml:space="preserve"> the </w:t>
      </w:r>
      <w:r w:rsidR="005F4B13" w:rsidRPr="0001617C">
        <w:rPr>
          <w:rFonts w:ascii="Times New Roman" w:hAnsi="Times New Roman"/>
          <w:sz w:val="24"/>
          <w:szCs w:val="24"/>
          <w:lang w:val="en-GB"/>
        </w:rPr>
        <w:t xml:space="preserve">enforcement of arbitral awards in accordance with </w:t>
      </w:r>
      <w:r w:rsidRPr="0001617C">
        <w:rPr>
          <w:rFonts w:ascii="Times New Roman" w:hAnsi="Times New Roman"/>
          <w:sz w:val="24"/>
          <w:szCs w:val="24"/>
          <w:lang w:val="en-GB"/>
        </w:rPr>
        <w:t>section 66 of the English Arbitration Act</w:t>
      </w:r>
      <w:r w:rsidR="005F4B13" w:rsidRPr="0001617C">
        <w:rPr>
          <w:rFonts w:ascii="Times New Roman" w:hAnsi="Times New Roman"/>
          <w:sz w:val="24"/>
          <w:szCs w:val="24"/>
          <w:lang w:val="en-GB"/>
        </w:rPr>
        <w:t xml:space="preserve">. The </w:t>
      </w:r>
      <w:r w:rsidRPr="0001617C">
        <w:rPr>
          <w:rFonts w:ascii="Times New Roman" w:hAnsi="Times New Roman"/>
          <w:sz w:val="24"/>
          <w:szCs w:val="24"/>
          <w:lang w:val="en-GB"/>
        </w:rPr>
        <w:t xml:space="preserve">judicial </w:t>
      </w:r>
      <w:r w:rsidR="005F4B13" w:rsidRPr="0001617C">
        <w:rPr>
          <w:rFonts w:ascii="Times New Roman" w:hAnsi="Times New Roman"/>
          <w:sz w:val="24"/>
          <w:szCs w:val="24"/>
          <w:lang w:val="en-GB"/>
        </w:rPr>
        <w:t>enforcement of an arbitral award is not a judicial proceeding falling within the scope of Regulation (EC) 44/2001</w:t>
      </w:r>
      <w:r w:rsidRPr="0001617C">
        <w:rPr>
          <w:rFonts w:ascii="Times New Roman" w:hAnsi="Times New Roman"/>
          <w:sz w:val="24"/>
          <w:szCs w:val="24"/>
          <w:lang w:val="en-GB"/>
        </w:rPr>
        <w:t xml:space="preserve">. </w:t>
      </w:r>
      <w:r w:rsidR="005F4B13" w:rsidRPr="0001617C">
        <w:rPr>
          <w:rFonts w:ascii="Times New Roman" w:hAnsi="Times New Roman"/>
          <w:sz w:val="24"/>
          <w:szCs w:val="24"/>
          <w:lang w:val="en-GB"/>
        </w:rPr>
        <w:t xml:space="preserve">The subject matter </w:t>
      </w:r>
      <w:r w:rsidR="0029009F" w:rsidRPr="0001617C">
        <w:rPr>
          <w:rFonts w:ascii="Times New Roman" w:hAnsi="Times New Roman"/>
          <w:sz w:val="24"/>
          <w:szCs w:val="24"/>
          <w:lang w:val="en-GB"/>
        </w:rPr>
        <w:t>“</w:t>
      </w:r>
      <w:r w:rsidR="005F4B13" w:rsidRPr="0001617C">
        <w:rPr>
          <w:rFonts w:ascii="Times New Roman" w:hAnsi="Times New Roman"/>
          <w:sz w:val="24"/>
          <w:szCs w:val="24"/>
          <w:lang w:val="en-GB"/>
        </w:rPr>
        <w:t>arbitration</w:t>
      </w:r>
      <w:r w:rsidR="0029009F" w:rsidRPr="0001617C">
        <w:rPr>
          <w:rFonts w:ascii="Times New Roman" w:hAnsi="Times New Roman"/>
          <w:sz w:val="24"/>
          <w:szCs w:val="24"/>
          <w:lang w:val="en-GB"/>
        </w:rPr>
        <w:t>”</w:t>
      </w:r>
      <w:r w:rsidR="005F4B13" w:rsidRPr="0001617C">
        <w:rPr>
          <w:rFonts w:ascii="Times New Roman" w:hAnsi="Times New Roman"/>
          <w:sz w:val="24"/>
          <w:szCs w:val="24"/>
          <w:lang w:val="en-GB"/>
        </w:rPr>
        <w:t xml:space="preserve"> is excluded in Art. 1(2)(d) from its scope of application. </w:t>
      </w:r>
      <w:r w:rsidRPr="0001617C">
        <w:rPr>
          <w:rFonts w:ascii="Times New Roman" w:hAnsi="Times New Roman"/>
          <w:sz w:val="24"/>
          <w:szCs w:val="24"/>
          <w:lang w:val="en-GB"/>
        </w:rPr>
        <w:t xml:space="preserve">Therefore, </w:t>
      </w:r>
      <w:r w:rsidR="0029009F" w:rsidRPr="0001617C">
        <w:rPr>
          <w:rFonts w:ascii="Times New Roman" w:hAnsi="Times New Roman"/>
          <w:sz w:val="24"/>
          <w:szCs w:val="24"/>
          <w:lang w:val="en-GB"/>
        </w:rPr>
        <w:t>“</w:t>
      </w:r>
      <w:bookmarkStart w:id="4" w:name="para192"/>
      <w:r w:rsidR="007B19D8" w:rsidRPr="0001617C">
        <w:rPr>
          <w:rFonts w:ascii="Times New Roman" w:hAnsi="Times New Roman"/>
          <w:i/>
          <w:iCs/>
          <w:color w:val="000000"/>
          <w:sz w:val="24"/>
          <w:szCs w:val="24"/>
          <w:lang w:val="en-GB"/>
        </w:rPr>
        <w:t>the non-Regulation nature of the s.66 proceedings allows the Court to ignore the mandatory stay imposed by the Regulation</w:t>
      </w:r>
      <w:bookmarkEnd w:id="4"/>
      <w:r w:rsidR="0029009F" w:rsidRPr="0001617C">
        <w:rPr>
          <w:rFonts w:ascii="Times New Roman" w:hAnsi="Times New Roman"/>
          <w:sz w:val="24"/>
          <w:szCs w:val="24"/>
          <w:lang w:val="en-GB"/>
        </w:rPr>
        <w:t>”</w:t>
      </w:r>
      <w:r w:rsidR="005F4B13" w:rsidRPr="0001617C">
        <w:rPr>
          <w:rFonts w:ascii="Times New Roman" w:hAnsi="Times New Roman"/>
          <w:sz w:val="24"/>
          <w:szCs w:val="24"/>
          <w:lang w:val="en-GB"/>
        </w:rPr>
        <w:t xml:space="preserve"> (paragraph 192)</w:t>
      </w:r>
      <w:r w:rsidR="005F4B13" w:rsidRPr="0001617C">
        <w:rPr>
          <w:rFonts w:ascii="Times New Roman" w:hAnsi="Times New Roman"/>
          <w:i/>
          <w:iCs/>
          <w:sz w:val="24"/>
          <w:szCs w:val="24"/>
          <w:lang w:val="en-GB"/>
        </w:rPr>
        <w:t xml:space="preserve">. </w:t>
      </w:r>
    </w:p>
    <w:p w14:paraId="350F0E83" w14:textId="466F0CE0" w:rsidR="00E23A92" w:rsidRPr="0001617C" w:rsidRDefault="00BB539D">
      <w:pPr>
        <w:pStyle w:val="Prrafodelista"/>
        <w:numPr>
          <w:ilvl w:val="0"/>
          <w:numId w:val="44"/>
        </w:numPr>
        <w:spacing w:before="120" w:after="120" w:line="240" w:lineRule="auto"/>
        <w:jc w:val="both"/>
        <w:rPr>
          <w:rFonts w:cs="Times New Roman"/>
          <w:sz w:val="24"/>
          <w:szCs w:val="24"/>
          <w:lang w:val="en-GB"/>
        </w:rPr>
      </w:pPr>
      <w:r w:rsidRPr="0001617C">
        <w:rPr>
          <w:rFonts w:cs="Times New Roman"/>
          <w:sz w:val="24"/>
          <w:szCs w:val="24"/>
          <w:lang w:val="en-GB"/>
        </w:rPr>
        <w:t xml:space="preserve">The forced enforcement in the United Kingdom </w:t>
      </w:r>
      <w:r w:rsidR="00D75B1D" w:rsidRPr="0001617C">
        <w:rPr>
          <w:rFonts w:cs="Times New Roman"/>
          <w:sz w:val="24"/>
          <w:szCs w:val="24"/>
          <w:lang w:val="en-GB"/>
        </w:rPr>
        <w:t xml:space="preserve">of the awards </w:t>
      </w:r>
      <w:r w:rsidRPr="0001617C">
        <w:rPr>
          <w:rFonts w:cs="Times New Roman"/>
          <w:sz w:val="24"/>
          <w:szCs w:val="24"/>
          <w:lang w:val="en-GB"/>
        </w:rPr>
        <w:t xml:space="preserve">against Spain and France is motivated by a </w:t>
      </w:r>
      <w:r w:rsidR="005F4B13" w:rsidRPr="0001617C">
        <w:rPr>
          <w:rFonts w:cs="Times New Roman"/>
          <w:i/>
          <w:iCs/>
          <w:sz w:val="24"/>
          <w:szCs w:val="24"/>
          <w:lang w:val="en-GB"/>
        </w:rPr>
        <w:t xml:space="preserve">criterion of utility </w:t>
      </w:r>
      <w:r w:rsidR="005F4B13" w:rsidRPr="0001617C">
        <w:rPr>
          <w:rFonts w:cs="Times New Roman"/>
          <w:sz w:val="24"/>
          <w:szCs w:val="24"/>
          <w:lang w:val="en-GB"/>
        </w:rPr>
        <w:t xml:space="preserve">for the </w:t>
      </w:r>
      <w:r w:rsidR="005A10DF" w:rsidRPr="0001617C">
        <w:rPr>
          <w:rFonts w:cs="Times New Roman"/>
          <w:sz w:val="24"/>
          <w:szCs w:val="24"/>
          <w:lang w:val="en-GB"/>
        </w:rPr>
        <w:t>P&amp;I Club</w:t>
      </w:r>
      <w:r w:rsidRPr="0001617C">
        <w:rPr>
          <w:rFonts w:cs="Times New Roman"/>
          <w:sz w:val="24"/>
          <w:szCs w:val="24"/>
          <w:lang w:val="en-GB"/>
        </w:rPr>
        <w:t xml:space="preserve">: to </w:t>
      </w:r>
      <w:r w:rsidR="005F4B13" w:rsidRPr="0001617C">
        <w:rPr>
          <w:rFonts w:cs="Times New Roman"/>
          <w:sz w:val="24"/>
          <w:szCs w:val="24"/>
          <w:lang w:val="en-GB"/>
        </w:rPr>
        <w:t xml:space="preserve">hinder the future judgement of the Spanish court which first heard the dispute concerning the civil liability arising from </w:t>
      </w:r>
      <w:r w:rsidR="009F443D" w:rsidRPr="0001617C">
        <w:rPr>
          <w:rFonts w:cs="Times New Roman"/>
          <w:i/>
          <w:iCs/>
          <w:sz w:val="24"/>
          <w:szCs w:val="24"/>
          <w:lang w:val="en-GB"/>
        </w:rPr>
        <w:t>T</w:t>
      </w:r>
      <w:r w:rsidR="005F4B13" w:rsidRPr="0001617C">
        <w:rPr>
          <w:rFonts w:cs="Times New Roman"/>
          <w:i/>
          <w:iCs/>
          <w:sz w:val="24"/>
          <w:szCs w:val="24"/>
          <w:lang w:val="en-GB"/>
        </w:rPr>
        <w:t>he Prestige</w:t>
      </w:r>
      <w:r w:rsidR="005F4B13" w:rsidRPr="0001617C">
        <w:rPr>
          <w:rFonts w:cs="Times New Roman"/>
          <w:sz w:val="24"/>
          <w:szCs w:val="24"/>
          <w:lang w:val="en-GB"/>
        </w:rPr>
        <w:t xml:space="preserve"> incident</w:t>
      </w:r>
      <w:r w:rsidR="00515686" w:rsidRPr="0001617C">
        <w:rPr>
          <w:rFonts w:cs="Times New Roman"/>
          <w:sz w:val="24"/>
          <w:szCs w:val="24"/>
          <w:lang w:val="en-GB"/>
        </w:rPr>
        <w:t>, b</w:t>
      </w:r>
      <w:r w:rsidRPr="0001617C">
        <w:rPr>
          <w:rFonts w:cs="Times New Roman"/>
          <w:sz w:val="24"/>
          <w:szCs w:val="24"/>
          <w:lang w:val="en-GB"/>
        </w:rPr>
        <w:t xml:space="preserve">y considering that the judicial decision on the enforcement of awards is irreconcilable with the future Spanish judicial decision. It </w:t>
      </w:r>
      <w:r w:rsidR="005F4B13" w:rsidRPr="0001617C">
        <w:rPr>
          <w:rFonts w:cs="Times New Roman"/>
          <w:sz w:val="24"/>
          <w:szCs w:val="24"/>
          <w:lang w:val="en-GB"/>
        </w:rPr>
        <w:t>would</w:t>
      </w:r>
      <w:r w:rsidR="005F4B13" w:rsidRPr="0001617C">
        <w:rPr>
          <w:rFonts w:cs="Times New Roman"/>
          <w:i/>
          <w:iCs/>
          <w:sz w:val="24"/>
          <w:szCs w:val="24"/>
          <w:lang w:val="en-GB"/>
        </w:rPr>
        <w:t xml:space="preserve"> </w:t>
      </w:r>
      <w:r w:rsidRPr="0001617C">
        <w:rPr>
          <w:rFonts w:cs="Times New Roman"/>
          <w:sz w:val="24"/>
          <w:szCs w:val="24"/>
          <w:lang w:val="en-GB"/>
        </w:rPr>
        <w:t xml:space="preserve">expressly </w:t>
      </w:r>
      <w:r w:rsidR="00831121" w:rsidRPr="0001617C">
        <w:rPr>
          <w:rFonts w:cs="Times New Roman"/>
          <w:sz w:val="24"/>
          <w:szCs w:val="24"/>
          <w:lang w:val="en-GB"/>
        </w:rPr>
        <w:t>“</w:t>
      </w:r>
      <w:r w:rsidR="00831121" w:rsidRPr="0001617C">
        <w:rPr>
          <w:i/>
          <w:iCs/>
          <w:color w:val="000000"/>
          <w:sz w:val="24"/>
          <w:szCs w:val="24"/>
          <w:lang w:val="en-GB"/>
        </w:rPr>
        <w:t>assert the status of having issued a Regulation judgment in order to trump the judgment of the Court first seised</w:t>
      </w:r>
      <w:r w:rsidR="00831121" w:rsidRPr="0001617C">
        <w:rPr>
          <w:rFonts w:cs="Times New Roman"/>
          <w:sz w:val="24"/>
          <w:szCs w:val="24"/>
          <w:lang w:val="en-GB"/>
        </w:rPr>
        <w:t>”</w:t>
      </w:r>
      <w:r w:rsidR="005F4B13" w:rsidRPr="0001617C">
        <w:rPr>
          <w:rFonts w:cs="Times New Roman"/>
          <w:sz w:val="24"/>
          <w:szCs w:val="24"/>
          <w:lang w:val="en-GB"/>
        </w:rPr>
        <w:t xml:space="preserve"> (paragraph 192)</w:t>
      </w:r>
      <w:r w:rsidRPr="0001617C">
        <w:rPr>
          <w:rFonts w:cs="Times New Roman"/>
          <w:sz w:val="24"/>
          <w:szCs w:val="24"/>
          <w:lang w:val="en-GB"/>
        </w:rPr>
        <w:t xml:space="preserve">; </w:t>
      </w:r>
      <w:r w:rsidR="005B34C0" w:rsidRPr="0001617C">
        <w:rPr>
          <w:rFonts w:cs="Times New Roman"/>
          <w:sz w:val="24"/>
          <w:szCs w:val="24"/>
          <w:lang w:val="en-GB"/>
        </w:rPr>
        <w:t>“</w:t>
      </w:r>
      <w:bookmarkStart w:id="5" w:name="para194"/>
      <w:r w:rsidR="005B34C0" w:rsidRPr="0001617C">
        <w:rPr>
          <w:i/>
          <w:iCs/>
          <w:color w:val="000000"/>
          <w:sz w:val="24"/>
          <w:szCs w:val="24"/>
          <w:lang w:val="en-GB"/>
        </w:rPr>
        <w:t>there is a clear utility in granting judgment and the Regulation regime is not a good or sufficient reason for preventing the Club from seeking to realise the full benefit of their awards</w:t>
      </w:r>
      <w:bookmarkEnd w:id="5"/>
      <w:r w:rsidR="005B34C0" w:rsidRPr="0001617C">
        <w:rPr>
          <w:rFonts w:cs="Times New Roman"/>
          <w:sz w:val="24"/>
          <w:szCs w:val="24"/>
          <w:lang w:val="en-GB"/>
        </w:rPr>
        <w:t>”</w:t>
      </w:r>
      <w:r w:rsidR="005F4B13" w:rsidRPr="0001617C">
        <w:rPr>
          <w:rFonts w:cs="Times New Roman"/>
          <w:sz w:val="24"/>
          <w:szCs w:val="24"/>
          <w:lang w:val="en-GB"/>
        </w:rPr>
        <w:t xml:space="preserve"> (paragraph 194). </w:t>
      </w:r>
    </w:p>
    <w:p w14:paraId="1DAC8392" w14:textId="440FB303" w:rsidR="00E23A92" w:rsidRPr="0001617C" w:rsidRDefault="005F4B13">
      <w:pPr>
        <w:spacing w:before="120" w:after="120" w:line="240" w:lineRule="auto"/>
        <w:jc w:val="both"/>
        <w:rPr>
          <w:rFonts w:cs="Times New Roman"/>
          <w:sz w:val="24"/>
          <w:szCs w:val="24"/>
          <w:lang w:val="en-GB"/>
        </w:rPr>
      </w:pPr>
      <w:r w:rsidRPr="0001617C">
        <w:rPr>
          <w:rFonts w:cs="Times New Roman"/>
          <w:sz w:val="24"/>
          <w:szCs w:val="24"/>
          <w:lang w:val="en-GB"/>
        </w:rPr>
        <w:t xml:space="preserve">The Spanish and French States appealed against the High Court </w:t>
      </w:r>
      <w:r w:rsidR="00606F6D" w:rsidRPr="0001617C">
        <w:rPr>
          <w:rFonts w:cs="Times New Roman"/>
          <w:sz w:val="24"/>
          <w:szCs w:val="24"/>
          <w:lang w:val="en-GB"/>
        </w:rPr>
        <w:t xml:space="preserve">judgment </w:t>
      </w:r>
      <w:r w:rsidRPr="0001617C">
        <w:rPr>
          <w:rFonts w:cs="Times New Roman"/>
          <w:sz w:val="24"/>
          <w:szCs w:val="24"/>
          <w:lang w:val="en-GB"/>
        </w:rPr>
        <w:t>of</w:t>
      </w:r>
      <w:r w:rsidRPr="0001617C">
        <w:rPr>
          <w:rFonts w:cs="Times New Roman"/>
          <w:i/>
          <w:iCs/>
          <w:sz w:val="24"/>
          <w:szCs w:val="24"/>
          <w:lang w:val="en-GB"/>
        </w:rPr>
        <w:t xml:space="preserve"> </w:t>
      </w:r>
      <w:r w:rsidRPr="0001617C">
        <w:rPr>
          <w:rFonts w:cs="Times New Roman"/>
          <w:sz w:val="24"/>
          <w:szCs w:val="24"/>
          <w:lang w:val="en-GB"/>
        </w:rPr>
        <w:t xml:space="preserve">22 October 2013. However, on 1 April 2015, the </w:t>
      </w:r>
      <w:r w:rsidRPr="0001617C">
        <w:rPr>
          <w:rFonts w:cs="Times New Roman"/>
          <w:iCs/>
          <w:sz w:val="24"/>
          <w:szCs w:val="24"/>
          <w:lang w:val="en-GB"/>
        </w:rPr>
        <w:t>Court of Appeal</w:t>
      </w:r>
      <w:r w:rsidRPr="0001617C">
        <w:rPr>
          <w:rFonts w:cs="Times New Roman"/>
          <w:sz w:val="24"/>
          <w:szCs w:val="24"/>
          <w:vertAlign w:val="superscript"/>
          <w:lang w:val="en-GB"/>
        </w:rPr>
        <w:footnoteReference w:id="14"/>
      </w:r>
      <w:r w:rsidRPr="0001617C">
        <w:rPr>
          <w:rFonts w:cs="Times New Roman"/>
          <w:sz w:val="24"/>
          <w:szCs w:val="24"/>
          <w:lang w:val="en-GB"/>
        </w:rPr>
        <w:t xml:space="preserve"> upheld th</w:t>
      </w:r>
      <w:r w:rsidR="00151F72" w:rsidRPr="0001617C">
        <w:rPr>
          <w:rFonts w:cs="Times New Roman"/>
          <w:sz w:val="24"/>
          <w:szCs w:val="24"/>
          <w:lang w:val="en-GB"/>
        </w:rPr>
        <w:t>e</w:t>
      </w:r>
      <w:r w:rsidRPr="0001617C">
        <w:rPr>
          <w:rFonts w:cs="Times New Roman"/>
          <w:sz w:val="24"/>
          <w:szCs w:val="24"/>
          <w:lang w:val="en-GB"/>
        </w:rPr>
        <w:t xml:space="preserve"> decision. Moreover, it expressly maintain</w:t>
      </w:r>
      <w:r w:rsidR="00151F72" w:rsidRPr="0001617C">
        <w:rPr>
          <w:rFonts w:cs="Times New Roman"/>
          <w:sz w:val="24"/>
          <w:szCs w:val="24"/>
          <w:lang w:val="en-GB"/>
        </w:rPr>
        <w:t>ed</w:t>
      </w:r>
      <w:r w:rsidRPr="0001617C">
        <w:rPr>
          <w:rFonts w:cs="Times New Roman"/>
          <w:sz w:val="24"/>
          <w:szCs w:val="24"/>
          <w:lang w:val="en-GB"/>
        </w:rPr>
        <w:t xml:space="preserve"> that the Spanish and French States </w:t>
      </w:r>
      <w:r w:rsidR="00BB539D" w:rsidRPr="0001617C">
        <w:rPr>
          <w:rFonts w:cs="Times New Roman"/>
          <w:sz w:val="24"/>
          <w:szCs w:val="24"/>
          <w:lang w:val="en-GB"/>
        </w:rPr>
        <w:t>ha</w:t>
      </w:r>
      <w:r w:rsidR="00151F72" w:rsidRPr="0001617C">
        <w:rPr>
          <w:rFonts w:cs="Times New Roman"/>
          <w:sz w:val="24"/>
          <w:szCs w:val="24"/>
          <w:lang w:val="en-GB"/>
        </w:rPr>
        <w:t>d</w:t>
      </w:r>
      <w:r w:rsidR="00BB539D" w:rsidRPr="0001617C">
        <w:rPr>
          <w:rFonts w:cs="Times New Roman"/>
          <w:sz w:val="24"/>
          <w:szCs w:val="24"/>
          <w:lang w:val="en-GB"/>
        </w:rPr>
        <w:t xml:space="preserve"> </w:t>
      </w:r>
      <w:r w:rsidRPr="0001617C">
        <w:rPr>
          <w:rFonts w:cs="Times New Roman"/>
          <w:sz w:val="24"/>
          <w:szCs w:val="24"/>
          <w:lang w:val="en-GB"/>
        </w:rPr>
        <w:t>lost state immunity by submitting to the English courts to oppose the enforcement of the arbitra</w:t>
      </w:r>
      <w:r w:rsidR="006C0E01" w:rsidRPr="0001617C">
        <w:rPr>
          <w:rFonts w:cs="Times New Roman"/>
          <w:sz w:val="24"/>
          <w:szCs w:val="24"/>
          <w:lang w:val="en-GB"/>
        </w:rPr>
        <w:t>tion</w:t>
      </w:r>
      <w:r w:rsidRPr="0001617C">
        <w:rPr>
          <w:rFonts w:cs="Times New Roman"/>
          <w:sz w:val="24"/>
          <w:szCs w:val="24"/>
          <w:lang w:val="en-GB"/>
        </w:rPr>
        <w:t xml:space="preserve"> awards rendered. </w:t>
      </w:r>
    </w:p>
    <w:p w14:paraId="288188A0" w14:textId="77777777" w:rsidR="00FC6064" w:rsidRPr="0001617C" w:rsidRDefault="00FC6064" w:rsidP="00E17EC6">
      <w:pPr>
        <w:spacing w:before="120" w:after="120" w:line="240" w:lineRule="auto"/>
        <w:jc w:val="both"/>
        <w:rPr>
          <w:rFonts w:cs="Times New Roman"/>
          <w:sz w:val="24"/>
          <w:szCs w:val="24"/>
          <w:lang w:val="en-GB"/>
        </w:rPr>
      </w:pPr>
    </w:p>
    <w:p w14:paraId="7FE06C77" w14:textId="220277BF" w:rsidR="00E23A92" w:rsidRPr="001A75E8" w:rsidRDefault="00871F40" w:rsidP="001A75E8">
      <w:pPr>
        <w:pStyle w:val="Prrafodelista"/>
        <w:numPr>
          <w:ilvl w:val="1"/>
          <w:numId w:val="50"/>
        </w:numPr>
        <w:spacing w:before="120" w:after="120" w:line="240" w:lineRule="auto"/>
        <w:jc w:val="both"/>
        <w:rPr>
          <w:rFonts w:cs="Times New Roman"/>
          <w:b/>
          <w:bCs/>
          <w:sz w:val="24"/>
          <w:szCs w:val="24"/>
          <w:lang w:val="en-GB"/>
        </w:rPr>
      </w:pPr>
      <w:r w:rsidRPr="001A75E8">
        <w:rPr>
          <w:rFonts w:cs="Times New Roman"/>
          <w:b/>
          <w:bCs/>
          <w:sz w:val="24"/>
          <w:szCs w:val="24"/>
          <w:lang w:val="en-GB"/>
        </w:rPr>
        <w:t>Reference for a preliminary ruling before the Court of Justice of the European Union</w:t>
      </w:r>
      <w:r w:rsidR="00F64697" w:rsidRPr="001A75E8">
        <w:rPr>
          <w:rFonts w:cs="Times New Roman"/>
          <w:b/>
          <w:bCs/>
          <w:sz w:val="24"/>
          <w:szCs w:val="24"/>
          <w:lang w:val="en-GB"/>
        </w:rPr>
        <w:t xml:space="preserve">: obligation to enforce </w:t>
      </w:r>
      <w:r w:rsidR="00424E2D" w:rsidRPr="001A75E8">
        <w:rPr>
          <w:rFonts w:cs="Times New Roman"/>
          <w:b/>
          <w:bCs/>
          <w:sz w:val="24"/>
          <w:szCs w:val="24"/>
          <w:lang w:val="en-GB"/>
        </w:rPr>
        <w:t xml:space="preserve">the </w:t>
      </w:r>
      <w:r w:rsidR="00F64697" w:rsidRPr="001A75E8">
        <w:rPr>
          <w:rFonts w:cs="Times New Roman"/>
          <w:b/>
          <w:bCs/>
          <w:sz w:val="24"/>
          <w:szCs w:val="24"/>
          <w:lang w:val="en-GB"/>
        </w:rPr>
        <w:t xml:space="preserve">Spanish </w:t>
      </w:r>
      <w:r w:rsidR="001675C9" w:rsidRPr="001A75E8">
        <w:rPr>
          <w:rFonts w:cs="Times New Roman"/>
          <w:b/>
          <w:bCs/>
          <w:sz w:val="24"/>
          <w:szCs w:val="24"/>
          <w:lang w:val="en-GB"/>
        </w:rPr>
        <w:t>ruling</w:t>
      </w:r>
      <w:r w:rsidR="00F64697" w:rsidRPr="001A75E8">
        <w:rPr>
          <w:rFonts w:cs="Times New Roman"/>
          <w:b/>
          <w:bCs/>
          <w:sz w:val="24"/>
          <w:szCs w:val="24"/>
          <w:lang w:val="en-GB"/>
        </w:rPr>
        <w:t xml:space="preserve"> in the United Kingdom</w:t>
      </w:r>
    </w:p>
    <w:p w14:paraId="5FAE0D3C" w14:textId="0C2A5AA4" w:rsidR="00E23A92" w:rsidRPr="0001617C" w:rsidRDefault="00BB539D">
      <w:pPr>
        <w:spacing w:before="120" w:after="120" w:line="240" w:lineRule="auto"/>
        <w:jc w:val="both"/>
        <w:rPr>
          <w:rFonts w:cs="Times New Roman"/>
          <w:sz w:val="24"/>
          <w:szCs w:val="24"/>
          <w:lang w:val="en-GB"/>
        </w:rPr>
      </w:pPr>
      <w:r w:rsidRPr="0001617C">
        <w:rPr>
          <w:rFonts w:cs="Times New Roman"/>
          <w:sz w:val="24"/>
          <w:szCs w:val="24"/>
          <w:lang w:val="en-GB"/>
        </w:rPr>
        <w:t xml:space="preserve">Despite the finality of the </w:t>
      </w:r>
      <w:r w:rsidR="005206A4" w:rsidRPr="0001617C">
        <w:rPr>
          <w:rFonts w:cs="Times New Roman"/>
          <w:sz w:val="24"/>
          <w:szCs w:val="24"/>
          <w:lang w:val="en-GB"/>
        </w:rPr>
        <w:t>Spanish judgments</w:t>
      </w:r>
      <w:r w:rsidRPr="0001617C">
        <w:rPr>
          <w:rFonts w:cs="Times New Roman"/>
          <w:sz w:val="24"/>
          <w:szCs w:val="24"/>
          <w:lang w:val="en-GB"/>
        </w:rPr>
        <w:t xml:space="preserve">, </w:t>
      </w:r>
      <w:r w:rsidR="00004CF9" w:rsidRPr="0001617C">
        <w:rPr>
          <w:rFonts w:cs="Times New Roman"/>
          <w:sz w:val="24"/>
          <w:szCs w:val="24"/>
          <w:lang w:val="en-GB"/>
        </w:rPr>
        <w:t xml:space="preserve">the </w:t>
      </w:r>
      <w:r w:rsidR="005A10DF" w:rsidRPr="0001617C">
        <w:rPr>
          <w:rFonts w:cs="Times New Roman"/>
          <w:sz w:val="24"/>
          <w:szCs w:val="24"/>
          <w:lang w:val="en-GB"/>
        </w:rPr>
        <w:t>P&amp;I Club</w:t>
      </w:r>
      <w:r w:rsidR="00004CF9" w:rsidRPr="0001617C">
        <w:rPr>
          <w:rFonts w:cs="Times New Roman"/>
          <w:sz w:val="24"/>
          <w:szCs w:val="24"/>
          <w:lang w:val="en-GB"/>
        </w:rPr>
        <w:t xml:space="preserve"> </w:t>
      </w:r>
      <w:r w:rsidRPr="0001617C">
        <w:rPr>
          <w:rFonts w:cs="Times New Roman"/>
          <w:sz w:val="24"/>
          <w:szCs w:val="24"/>
          <w:lang w:val="en-GB"/>
        </w:rPr>
        <w:t>persist</w:t>
      </w:r>
      <w:r w:rsidR="00381180" w:rsidRPr="0001617C">
        <w:rPr>
          <w:rFonts w:cs="Times New Roman"/>
          <w:sz w:val="24"/>
          <w:szCs w:val="24"/>
          <w:lang w:val="en-GB"/>
        </w:rPr>
        <w:t>ed</w:t>
      </w:r>
      <w:r w:rsidRPr="0001617C">
        <w:rPr>
          <w:rFonts w:cs="Times New Roman"/>
          <w:sz w:val="24"/>
          <w:szCs w:val="24"/>
          <w:lang w:val="en-GB"/>
        </w:rPr>
        <w:t xml:space="preserve"> in default and d</w:t>
      </w:r>
      <w:r w:rsidR="00C779FA" w:rsidRPr="0001617C">
        <w:rPr>
          <w:rFonts w:cs="Times New Roman"/>
          <w:sz w:val="24"/>
          <w:szCs w:val="24"/>
          <w:lang w:val="en-GB"/>
        </w:rPr>
        <w:t>id</w:t>
      </w:r>
      <w:r w:rsidRPr="0001617C">
        <w:rPr>
          <w:rFonts w:cs="Times New Roman"/>
          <w:sz w:val="24"/>
          <w:szCs w:val="24"/>
          <w:lang w:val="en-GB"/>
        </w:rPr>
        <w:t xml:space="preserve"> </w:t>
      </w:r>
      <w:r w:rsidR="00004CF9" w:rsidRPr="0001617C">
        <w:rPr>
          <w:rFonts w:cs="Times New Roman"/>
          <w:sz w:val="24"/>
          <w:szCs w:val="24"/>
          <w:lang w:val="en-GB"/>
        </w:rPr>
        <w:t xml:space="preserve">not </w:t>
      </w:r>
      <w:r w:rsidR="00756CD5" w:rsidRPr="0001617C">
        <w:rPr>
          <w:rFonts w:cs="Times New Roman"/>
          <w:sz w:val="24"/>
          <w:szCs w:val="24"/>
          <w:lang w:val="en-GB"/>
        </w:rPr>
        <w:t xml:space="preserve">comply with </w:t>
      </w:r>
      <w:r w:rsidR="00004CF9" w:rsidRPr="0001617C">
        <w:rPr>
          <w:rFonts w:cs="Times New Roman"/>
          <w:sz w:val="24"/>
          <w:szCs w:val="24"/>
          <w:lang w:val="en-GB"/>
        </w:rPr>
        <w:t>its obligation to pay the</w:t>
      </w:r>
      <w:r w:rsidR="008B5EE7" w:rsidRPr="0001617C">
        <w:rPr>
          <w:rFonts w:cs="Times New Roman"/>
          <w:sz w:val="24"/>
          <w:szCs w:val="24"/>
          <w:lang w:val="en-GB"/>
        </w:rPr>
        <w:t xml:space="preserve"> </w:t>
      </w:r>
      <w:r w:rsidR="00B62C82" w:rsidRPr="0001617C">
        <w:rPr>
          <w:rFonts w:cs="Times New Roman"/>
          <w:sz w:val="24"/>
          <w:szCs w:val="24"/>
          <w:lang w:val="en-GB"/>
        </w:rPr>
        <w:t xml:space="preserve">EUR </w:t>
      </w:r>
      <w:r w:rsidR="008B5EE7" w:rsidRPr="0001617C">
        <w:rPr>
          <w:rFonts w:cs="Times New Roman"/>
          <w:sz w:val="24"/>
          <w:szCs w:val="24"/>
          <w:lang w:val="en-GB"/>
        </w:rPr>
        <w:t xml:space="preserve">855 million </w:t>
      </w:r>
      <w:r w:rsidR="00EF565F" w:rsidRPr="0001617C">
        <w:rPr>
          <w:rFonts w:cs="Times New Roman"/>
          <w:sz w:val="24"/>
          <w:szCs w:val="24"/>
          <w:lang w:val="en-GB"/>
        </w:rPr>
        <w:t xml:space="preserve">imposed on it by the </w:t>
      </w:r>
      <w:r w:rsidR="00F37CEC" w:rsidRPr="0001617C">
        <w:rPr>
          <w:rFonts w:cs="Times New Roman"/>
          <w:sz w:val="24"/>
          <w:szCs w:val="24"/>
          <w:lang w:val="en-GB"/>
        </w:rPr>
        <w:t xml:space="preserve">order </w:t>
      </w:r>
      <w:r w:rsidR="008B5EE7" w:rsidRPr="0001617C">
        <w:rPr>
          <w:rFonts w:cs="Times New Roman"/>
          <w:sz w:val="24"/>
          <w:szCs w:val="24"/>
          <w:lang w:val="en-GB"/>
        </w:rPr>
        <w:t xml:space="preserve">of </w:t>
      </w:r>
      <w:r w:rsidR="008B5EE7" w:rsidRPr="0001617C">
        <w:rPr>
          <w:rFonts w:cs="Times New Roman"/>
          <w:sz w:val="24"/>
          <w:szCs w:val="24"/>
          <w:lang w:val="en-GB"/>
        </w:rPr>
        <w:lastRenderedPageBreak/>
        <w:t>the Provincial Court of A Coruña of 1 March 2019</w:t>
      </w:r>
      <w:r w:rsidR="00EF565F" w:rsidRPr="0001617C">
        <w:rPr>
          <w:rFonts w:cs="Times New Roman"/>
          <w:sz w:val="24"/>
          <w:szCs w:val="24"/>
          <w:lang w:val="en-GB"/>
        </w:rPr>
        <w:t xml:space="preserve">. As a </w:t>
      </w:r>
      <w:r w:rsidR="00AD4990" w:rsidRPr="0001617C">
        <w:rPr>
          <w:rFonts w:cs="Times New Roman"/>
          <w:sz w:val="24"/>
          <w:szCs w:val="24"/>
          <w:lang w:val="en-GB"/>
        </w:rPr>
        <w:t xml:space="preserve">result, </w:t>
      </w:r>
      <w:r w:rsidR="00EF565F" w:rsidRPr="0001617C">
        <w:rPr>
          <w:rFonts w:cs="Times New Roman"/>
          <w:sz w:val="24"/>
          <w:szCs w:val="24"/>
          <w:lang w:val="en-GB"/>
        </w:rPr>
        <w:t>the Spanish State commence</w:t>
      </w:r>
      <w:r w:rsidR="001C2E50" w:rsidRPr="0001617C">
        <w:rPr>
          <w:rFonts w:cs="Times New Roman"/>
          <w:sz w:val="24"/>
          <w:szCs w:val="24"/>
          <w:lang w:val="en-GB"/>
        </w:rPr>
        <w:t>d</w:t>
      </w:r>
      <w:r w:rsidR="00EF565F" w:rsidRPr="0001617C">
        <w:rPr>
          <w:rFonts w:cs="Times New Roman"/>
          <w:sz w:val="24"/>
          <w:szCs w:val="24"/>
          <w:lang w:val="en-GB"/>
        </w:rPr>
        <w:t xml:space="preserve"> enforcement </w:t>
      </w:r>
      <w:r w:rsidR="00823532" w:rsidRPr="0001617C">
        <w:rPr>
          <w:rFonts w:cs="Times New Roman"/>
          <w:sz w:val="24"/>
          <w:szCs w:val="24"/>
          <w:lang w:val="en-GB"/>
        </w:rPr>
        <w:t xml:space="preserve">in the United Kingdom, </w:t>
      </w:r>
      <w:r w:rsidR="008E1FAB" w:rsidRPr="0001617C">
        <w:rPr>
          <w:rFonts w:cs="Times New Roman"/>
          <w:sz w:val="24"/>
          <w:szCs w:val="24"/>
          <w:lang w:val="en-GB"/>
        </w:rPr>
        <w:t>the location of</w:t>
      </w:r>
      <w:r w:rsidR="00004CF9" w:rsidRPr="0001617C">
        <w:rPr>
          <w:rFonts w:cs="Times New Roman"/>
          <w:sz w:val="24"/>
          <w:szCs w:val="24"/>
          <w:lang w:val="en-GB"/>
        </w:rPr>
        <w:t xml:space="preserve"> the insurer</w:t>
      </w:r>
      <w:r w:rsidR="008E1FAB" w:rsidRPr="0001617C">
        <w:rPr>
          <w:rFonts w:cs="Times New Roman"/>
          <w:sz w:val="24"/>
          <w:szCs w:val="24"/>
          <w:lang w:val="en-GB"/>
        </w:rPr>
        <w:t>’s</w:t>
      </w:r>
      <w:r w:rsidR="00004CF9" w:rsidRPr="0001617C">
        <w:rPr>
          <w:rFonts w:cs="Times New Roman"/>
          <w:sz w:val="24"/>
          <w:szCs w:val="24"/>
          <w:lang w:val="en-GB"/>
        </w:rPr>
        <w:t xml:space="preserve"> </w:t>
      </w:r>
      <w:r w:rsidR="00823532" w:rsidRPr="0001617C">
        <w:rPr>
          <w:rFonts w:cs="Times New Roman"/>
          <w:sz w:val="24"/>
          <w:szCs w:val="24"/>
          <w:lang w:val="en-GB"/>
        </w:rPr>
        <w:t>registered office</w:t>
      </w:r>
      <w:r w:rsidR="00004CF9" w:rsidRPr="0001617C">
        <w:rPr>
          <w:rFonts w:cs="Times New Roman"/>
          <w:sz w:val="24"/>
          <w:szCs w:val="24"/>
          <w:lang w:val="en-GB"/>
        </w:rPr>
        <w:t xml:space="preserve">. The legal basis for the enforcement of </w:t>
      </w:r>
      <w:r w:rsidR="005F278A" w:rsidRPr="0001617C">
        <w:rPr>
          <w:rFonts w:cs="Times New Roman"/>
          <w:sz w:val="24"/>
          <w:szCs w:val="24"/>
          <w:lang w:val="en-GB"/>
        </w:rPr>
        <w:t xml:space="preserve">a judgment of one European Union State in another </w:t>
      </w:r>
      <w:r w:rsidR="00004CF9" w:rsidRPr="0001617C">
        <w:rPr>
          <w:rFonts w:cs="Times New Roman"/>
          <w:sz w:val="24"/>
          <w:szCs w:val="24"/>
          <w:lang w:val="en-GB"/>
        </w:rPr>
        <w:t xml:space="preserve">is </w:t>
      </w:r>
      <w:r w:rsidR="00192A8B" w:rsidRPr="0001617C">
        <w:rPr>
          <w:rFonts w:cs="Times New Roman"/>
          <w:sz w:val="24"/>
          <w:szCs w:val="24"/>
          <w:lang w:val="en-GB"/>
        </w:rPr>
        <w:t xml:space="preserve">Regulation (EC) 44/2001 </w:t>
      </w:r>
      <w:r w:rsidR="00004CF9" w:rsidRPr="0001617C">
        <w:rPr>
          <w:rFonts w:cs="Times New Roman"/>
          <w:sz w:val="24"/>
          <w:szCs w:val="24"/>
          <w:lang w:val="en-GB"/>
        </w:rPr>
        <w:t>(</w:t>
      </w:r>
      <w:r w:rsidR="00004CF9" w:rsidRPr="0001617C">
        <w:rPr>
          <w:rFonts w:cs="Times New Roman"/>
          <w:i/>
          <w:iCs/>
          <w:sz w:val="24"/>
          <w:szCs w:val="24"/>
          <w:lang w:val="en-GB"/>
        </w:rPr>
        <w:t>Brussels I</w:t>
      </w:r>
      <w:r w:rsidR="00004CF9" w:rsidRPr="0001617C">
        <w:rPr>
          <w:rFonts w:cs="Times New Roman"/>
          <w:sz w:val="24"/>
          <w:szCs w:val="24"/>
          <w:lang w:val="en-GB"/>
        </w:rPr>
        <w:t>)</w:t>
      </w:r>
      <w:r w:rsidR="005206A4" w:rsidRPr="0001617C">
        <w:rPr>
          <w:rFonts w:cs="Times New Roman"/>
          <w:sz w:val="24"/>
          <w:szCs w:val="24"/>
          <w:lang w:val="en-GB"/>
        </w:rPr>
        <w:t xml:space="preserve">. </w:t>
      </w:r>
      <w:r w:rsidR="002820F4" w:rsidRPr="0001617C">
        <w:rPr>
          <w:rFonts w:cs="Times New Roman"/>
          <w:sz w:val="24"/>
          <w:szCs w:val="24"/>
          <w:lang w:val="en-GB"/>
        </w:rPr>
        <w:t>Although it had then been</w:t>
      </w:r>
      <w:r w:rsidR="009116B5" w:rsidRPr="0001617C">
        <w:rPr>
          <w:rFonts w:cs="Times New Roman"/>
          <w:sz w:val="24"/>
          <w:szCs w:val="24"/>
          <w:lang w:val="en-GB"/>
        </w:rPr>
        <w:t xml:space="preserve"> repealed</w:t>
      </w:r>
      <w:r w:rsidR="00B70684" w:rsidRPr="0001617C">
        <w:rPr>
          <w:rFonts w:cs="Times New Roman"/>
          <w:sz w:val="24"/>
          <w:szCs w:val="24"/>
          <w:lang w:val="en-GB"/>
        </w:rPr>
        <w:t>,</w:t>
      </w:r>
      <w:r w:rsidR="009116B5" w:rsidRPr="0001617C">
        <w:rPr>
          <w:rStyle w:val="Refdenotaalpie"/>
          <w:rFonts w:cs="Times New Roman"/>
          <w:sz w:val="24"/>
          <w:szCs w:val="24"/>
          <w:lang w:val="en-GB"/>
        </w:rPr>
        <w:footnoteReference w:id="15"/>
      </w:r>
      <w:r w:rsidR="005206A4" w:rsidRPr="0001617C">
        <w:rPr>
          <w:rFonts w:cs="Times New Roman"/>
          <w:sz w:val="24"/>
          <w:szCs w:val="24"/>
          <w:lang w:val="en-GB"/>
        </w:rPr>
        <w:t xml:space="preserve"> it </w:t>
      </w:r>
      <w:r w:rsidR="00BC111A" w:rsidRPr="0001617C">
        <w:rPr>
          <w:rFonts w:cs="Times New Roman"/>
          <w:sz w:val="24"/>
          <w:szCs w:val="24"/>
          <w:lang w:val="en-GB"/>
        </w:rPr>
        <w:t>wa</w:t>
      </w:r>
      <w:r w:rsidR="005206A4" w:rsidRPr="0001617C">
        <w:rPr>
          <w:rFonts w:cs="Times New Roman"/>
          <w:sz w:val="24"/>
          <w:szCs w:val="24"/>
          <w:lang w:val="en-GB"/>
        </w:rPr>
        <w:t xml:space="preserve">s </w:t>
      </w:r>
      <w:r w:rsidR="00004CF9" w:rsidRPr="0001617C">
        <w:rPr>
          <w:rFonts w:cs="Times New Roman"/>
          <w:sz w:val="24"/>
          <w:szCs w:val="24"/>
          <w:lang w:val="en-GB"/>
        </w:rPr>
        <w:t xml:space="preserve">applicable </w:t>
      </w:r>
      <w:r w:rsidR="00BC111A" w:rsidRPr="0001617C">
        <w:rPr>
          <w:rFonts w:cs="Times New Roman"/>
          <w:sz w:val="24"/>
          <w:szCs w:val="24"/>
          <w:lang w:val="en-GB"/>
        </w:rPr>
        <w:t>as</w:t>
      </w:r>
      <w:r w:rsidRPr="0001617C">
        <w:rPr>
          <w:rFonts w:cs="Times New Roman"/>
          <w:sz w:val="24"/>
          <w:szCs w:val="24"/>
          <w:lang w:val="en-GB"/>
        </w:rPr>
        <w:t xml:space="preserve"> it </w:t>
      </w:r>
      <w:r w:rsidR="00BC111A" w:rsidRPr="0001617C">
        <w:rPr>
          <w:rFonts w:cs="Times New Roman"/>
          <w:sz w:val="24"/>
          <w:szCs w:val="24"/>
          <w:lang w:val="en-GB"/>
        </w:rPr>
        <w:t>wa</w:t>
      </w:r>
      <w:r w:rsidRPr="0001617C">
        <w:rPr>
          <w:rFonts w:cs="Times New Roman"/>
          <w:sz w:val="24"/>
          <w:szCs w:val="24"/>
          <w:lang w:val="en-GB"/>
        </w:rPr>
        <w:t xml:space="preserve">s the rule in force at the time </w:t>
      </w:r>
      <w:r w:rsidR="00A31BA7" w:rsidRPr="0001617C">
        <w:rPr>
          <w:rFonts w:cs="Times New Roman"/>
          <w:sz w:val="24"/>
          <w:szCs w:val="24"/>
          <w:lang w:val="en-GB"/>
        </w:rPr>
        <w:t xml:space="preserve">the legal action </w:t>
      </w:r>
      <w:r w:rsidR="00BC111A" w:rsidRPr="0001617C">
        <w:rPr>
          <w:rFonts w:cs="Times New Roman"/>
          <w:sz w:val="24"/>
          <w:szCs w:val="24"/>
          <w:lang w:val="en-GB"/>
        </w:rPr>
        <w:t>wa</w:t>
      </w:r>
      <w:r w:rsidR="00A31BA7" w:rsidRPr="0001617C">
        <w:rPr>
          <w:rFonts w:cs="Times New Roman"/>
          <w:sz w:val="24"/>
          <w:szCs w:val="24"/>
          <w:lang w:val="en-GB"/>
        </w:rPr>
        <w:t>s brought (Art. 66.1</w:t>
      </w:r>
      <w:r w:rsidR="00004CF9" w:rsidRPr="0001617C">
        <w:rPr>
          <w:rFonts w:cs="Times New Roman"/>
          <w:sz w:val="24"/>
          <w:szCs w:val="24"/>
          <w:lang w:val="en-GB"/>
        </w:rPr>
        <w:t>)</w:t>
      </w:r>
      <w:r w:rsidR="00192A8B" w:rsidRPr="0001617C">
        <w:rPr>
          <w:rFonts w:cs="Times New Roman"/>
          <w:sz w:val="24"/>
          <w:szCs w:val="24"/>
          <w:lang w:val="en-GB"/>
        </w:rPr>
        <w:t xml:space="preserve">. </w:t>
      </w:r>
    </w:p>
    <w:p w14:paraId="05CBE606" w14:textId="4DB62EA5" w:rsidR="00E23A92" w:rsidRPr="0001617C" w:rsidRDefault="00BB539D">
      <w:pPr>
        <w:spacing w:before="120" w:after="120" w:line="240" w:lineRule="auto"/>
        <w:jc w:val="both"/>
        <w:rPr>
          <w:rFonts w:cs="Times New Roman"/>
          <w:sz w:val="24"/>
          <w:szCs w:val="24"/>
          <w:lang w:val="en-GB"/>
        </w:rPr>
      </w:pPr>
      <w:r w:rsidRPr="0001617C">
        <w:rPr>
          <w:rFonts w:cs="Times New Roman"/>
          <w:sz w:val="24"/>
          <w:szCs w:val="24"/>
          <w:lang w:val="en-GB"/>
        </w:rPr>
        <w:t>The Spanish State applie</w:t>
      </w:r>
      <w:r w:rsidR="00190B27" w:rsidRPr="0001617C">
        <w:rPr>
          <w:rFonts w:cs="Times New Roman"/>
          <w:sz w:val="24"/>
          <w:szCs w:val="24"/>
          <w:lang w:val="en-GB"/>
        </w:rPr>
        <w:t>d</w:t>
      </w:r>
      <w:r w:rsidRPr="0001617C">
        <w:rPr>
          <w:rFonts w:cs="Times New Roman"/>
          <w:sz w:val="24"/>
          <w:szCs w:val="24"/>
          <w:lang w:val="en-GB"/>
        </w:rPr>
        <w:t xml:space="preserve"> to the </w:t>
      </w:r>
      <w:r w:rsidR="009116B5" w:rsidRPr="0001617C">
        <w:rPr>
          <w:rFonts w:cs="Times New Roman"/>
          <w:sz w:val="24"/>
          <w:szCs w:val="24"/>
          <w:lang w:val="en-GB"/>
        </w:rPr>
        <w:t xml:space="preserve">competent </w:t>
      </w:r>
      <w:r w:rsidR="00823532" w:rsidRPr="0001617C">
        <w:rPr>
          <w:rFonts w:cs="Times New Roman"/>
          <w:iCs/>
          <w:sz w:val="24"/>
          <w:szCs w:val="24"/>
          <w:lang w:val="en-GB"/>
        </w:rPr>
        <w:t>High Court</w:t>
      </w:r>
      <w:r w:rsidR="00823532" w:rsidRPr="0001617C">
        <w:rPr>
          <w:rFonts w:cs="Times New Roman"/>
          <w:i/>
          <w:sz w:val="24"/>
          <w:szCs w:val="24"/>
          <w:lang w:val="en-GB"/>
        </w:rPr>
        <w:t xml:space="preserve"> </w:t>
      </w:r>
      <w:r w:rsidRPr="0001617C">
        <w:rPr>
          <w:rFonts w:cs="Times New Roman"/>
          <w:sz w:val="24"/>
          <w:szCs w:val="24"/>
          <w:lang w:val="en-GB"/>
        </w:rPr>
        <w:t xml:space="preserve">for </w:t>
      </w:r>
      <w:r w:rsidR="00756CD5" w:rsidRPr="0001617C">
        <w:rPr>
          <w:rFonts w:cs="Times New Roman"/>
          <w:sz w:val="24"/>
          <w:szCs w:val="24"/>
          <w:lang w:val="en-GB"/>
        </w:rPr>
        <w:t>enforcement of the order of the Provincial Court of A Coruña of 1 March 2019</w:t>
      </w:r>
      <w:r w:rsidR="00AC2CAA" w:rsidRPr="0001617C">
        <w:rPr>
          <w:rFonts w:cs="Times New Roman"/>
          <w:sz w:val="24"/>
          <w:szCs w:val="24"/>
          <w:lang w:val="en-GB"/>
        </w:rPr>
        <w:t>, and t</w:t>
      </w:r>
      <w:r w:rsidR="00682538" w:rsidRPr="0001617C">
        <w:rPr>
          <w:rFonts w:cs="Times New Roman"/>
          <w:sz w:val="24"/>
          <w:szCs w:val="24"/>
          <w:lang w:val="en-GB"/>
        </w:rPr>
        <w:t xml:space="preserve">he judge </w:t>
      </w:r>
      <w:r w:rsidR="00756CD5" w:rsidRPr="0001617C">
        <w:rPr>
          <w:rFonts w:cs="Times New Roman"/>
          <w:sz w:val="24"/>
          <w:szCs w:val="24"/>
          <w:lang w:val="en-GB"/>
        </w:rPr>
        <w:t>issue</w:t>
      </w:r>
      <w:r w:rsidR="00190B27" w:rsidRPr="0001617C">
        <w:rPr>
          <w:rFonts w:cs="Times New Roman"/>
          <w:sz w:val="24"/>
          <w:szCs w:val="24"/>
          <w:lang w:val="en-GB"/>
        </w:rPr>
        <w:t>d</w:t>
      </w:r>
      <w:r w:rsidR="00756CD5" w:rsidRPr="0001617C">
        <w:rPr>
          <w:rFonts w:cs="Times New Roman"/>
          <w:sz w:val="24"/>
          <w:szCs w:val="24"/>
          <w:lang w:val="en-GB"/>
        </w:rPr>
        <w:t xml:space="preserve"> </w:t>
      </w:r>
      <w:r w:rsidR="00823532" w:rsidRPr="0001617C">
        <w:rPr>
          <w:rFonts w:cs="Times New Roman"/>
          <w:sz w:val="24"/>
          <w:szCs w:val="24"/>
          <w:lang w:val="en-GB"/>
        </w:rPr>
        <w:t>a search warrant</w:t>
      </w:r>
      <w:r w:rsidR="00AC2CAA" w:rsidRPr="0001617C">
        <w:rPr>
          <w:rFonts w:cs="Times New Roman"/>
          <w:sz w:val="24"/>
          <w:szCs w:val="24"/>
          <w:lang w:val="en-GB"/>
        </w:rPr>
        <w:t>.</w:t>
      </w:r>
      <w:r w:rsidR="00823532" w:rsidRPr="0001617C">
        <w:rPr>
          <w:rStyle w:val="Refdenotaalpie"/>
          <w:rFonts w:cs="Times New Roman"/>
          <w:sz w:val="24"/>
          <w:szCs w:val="24"/>
          <w:lang w:val="en-GB"/>
        </w:rPr>
        <w:footnoteReference w:id="16"/>
      </w:r>
      <w:r w:rsidR="00823532" w:rsidRPr="0001617C">
        <w:rPr>
          <w:rFonts w:cs="Times New Roman"/>
          <w:sz w:val="24"/>
          <w:szCs w:val="24"/>
          <w:lang w:val="en-GB"/>
        </w:rPr>
        <w:t xml:space="preserve"> </w:t>
      </w:r>
      <w:r w:rsidR="009116B5" w:rsidRPr="0001617C">
        <w:rPr>
          <w:rFonts w:cs="Times New Roman"/>
          <w:sz w:val="24"/>
          <w:szCs w:val="24"/>
          <w:lang w:val="en-GB"/>
        </w:rPr>
        <w:t xml:space="preserve">The </w:t>
      </w:r>
      <w:r w:rsidR="005A10DF" w:rsidRPr="0001617C">
        <w:rPr>
          <w:rFonts w:cs="Times New Roman"/>
          <w:sz w:val="24"/>
          <w:szCs w:val="24"/>
          <w:lang w:val="en-GB"/>
        </w:rPr>
        <w:t>P&amp;I Club</w:t>
      </w:r>
      <w:r w:rsidR="009116B5" w:rsidRPr="0001617C">
        <w:rPr>
          <w:rFonts w:cs="Times New Roman"/>
          <w:sz w:val="24"/>
          <w:szCs w:val="24"/>
          <w:lang w:val="en-GB"/>
        </w:rPr>
        <w:t xml:space="preserve"> </w:t>
      </w:r>
      <w:r w:rsidR="00911F70" w:rsidRPr="0001617C">
        <w:rPr>
          <w:rFonts w:cs="Times New Roman"/>
          <w:sz w:val="24"/>
          <w:szCs w:val="24"/>
          <w:lang w:val="en-GB"/>
        </w:rPr>
        <w:t>oppose</w:t>
      </w:r>
      <w:r w:rsidR="00AC2CAA" w:rsidRPr="0001617C">
        <w:rPr>
          <w:rFonts w:cs="Times New Roman"/>
          <w:sz w:val="24"/>
          <w:szCs w:val="24"/>
          <w:lang w:val="en-GB"/>
        </w:rPr>
        <w:t>d</w:t>
      </w:r>
      <w:r w:rsidR="00911F70" w:rsidRPr="0001617C">
        <w:rPr>
          <w:rFonts w:cs="Times New Roman"/>
          <w:sz w:val="24"/>
          <w:szCs w:val="24"/>
          <w:lang w:val="en-GB"/>
        </w:rPr>
        <w:t xml:space="preserve"> </w:t>
      </w:r>
      <w:r w:rsidR="00485DB6" w:rsidRPr="0001617C">
        <w:rPr>
          <w:rFonts w:cs="Times New Roman"/>
          <w:sz w:val="24"/>
          <w:szCs w:val="24"/>
          <w:lang w:val="en-GB"/>
        </w:rPr>
        <w:t xml:space="preserve">its </w:t>
      </w:r>
      <w:r w:rsidR="00911F70" w:rsidRPr="0001617C">
        <w:rPr>
          <w:rFonts w:cs="Times New Roman"/>
          <w:sz w:val="24"/>
          <w:szCs w:val="24"/>
          <w:lang w:val="en-GB"/>
        </w:rPr>
        <w:t>enforcement in the UK</w:t>
      </w:r>
      <w:r w:rsidR="003F23B0" w:rsidRPr="0001617C">
        <w:rPr>
          <w:rFonts w:cs="Times New Roman"/>
          <w:sz w:val="24"/>
          <w:szCs w:val="24"/>
          <w:lang w:val="en-GB"/>
        </w:rPr>
        <w:t xml:space="preserve"> </w:t>
      </w:r>
      <w:r w:rsidR="00911F70" w:rsidRPr="0001617C">
        <w:rPr>
          <w:rFonts w:cs="Times New Roman"/>
          <w:sz w:val="24"/>
          <w:szCs w:val="24"/>
          <w:lang w:val="en-GB"/>
        </w:rPr>
        <w:t xml:space="preserve">according to </w:t>
      </w:r>
      <w:r w:rsidR="00AC2CAA" w:rsidRPr="0001617C">
        <w:rPr>
          <w:rFonts w:cs="Times New Roman"/>
          <w:sz w:val="24"/>
          <w:szCs w:val="24"/>
          <w:lang w:val="en-GB"/>
        </w:rPr>
        <w:t>A</w:t>
      </w:r>
      <w:r w:rsidR="00911F70" w:rsidRPr="0001617C">
        <w:rPr>
          <w:rFonts w:cs="Times New Roman"/>
          <w:sz w:val="24"/>
          <w:szCs w:val="24"/>
          <w:lang w:val="en-GB"/>
        </w:rPr>
        <w:t>rt. 34(3) Regulation (EC) 44/2001,</w:t>
      </w:r>
      <w:r w:rsidR="00182446" w:rsidRPr="0001617C">
        <w:rPr>
          <w:rFonts w:cs="Times New Roman"/>
          <w:sz w:val="24"/>
          <w:szCs w:val="24"/>
          <w:lang w:val="en-GB"/>
        </w:rPr>
        <w:t xml:space="preserve"> which states that</w:t>
      </w:r>
      <w:r w:rsidR="00911F70" w:rsidRPr="0001617C">
        <w:rPr>
          <w:rFonts w:cs="Times New Roman"/>
          <w:sz w:val="24"/>
          <w:szCs w:val="24"/>
          <w:lang w:val="en-GB"/>
        </w:rPr>
        <w:t xml:space="preserve"> </w:t>
      </w:r>
      <w:r w:rsidR="0029009F" w:rsidRPr="0001617C">
        <w:rPr>
          <w:rFonts w:cs="Times New Roman"/>
          <w:sz w:val="24"/>
          <w:szCs w:val="24"/>
          <w:lang w:val="en-GB"/>
        </w:rPr>
        <w:t>“</w:t>
      </w:r>
      <w:r w:rsidR="00DC3234" w:rsidRPr="0001617C">
        <w:rPr>
          <w:rFonts w:cs="Times New Roman"/>
          <w:i/>
          <w:iCs/>
          <w:color w:val="000000" w:themeColor="text1"/>
          <w:sz w:val="24"/>
          <w:szCs w:val="24"/>
          <w:shd w:val="clear" w:color="auto" w:fill="FFFFFF"/>
          <w:lang w:val="en-GB"/>
        </w:rPr>
        <w:t>A judgment shall not be recognised</w:t>
      </w:r>
      <w:r w:rsidR="003F23B0" w:rsidRPr="0001617C">
        <w:rPr>
          <w:rFonts w:cs="Times New Roman"/>
          <w:i/>
          <w:iCs/>
          <w:color w:val="000000" w:themeColor="text1"/>
          <w:sz w:val="24"/>
          <w:szCs w:val="24"/>
          <w:lang w:val="en-GB"/>
        </w:rPr>
        <w:t xml:space="preserve">: (...) (3) </w:t>
      </w:r>
      <w:r w:rsidR="006A4AC2" w:rsidRPr="0001617C">
        <w:rPr>
          <w:rFonts w:cs="Times New Roman"/>
          <w:i/>
          <w:iCs/>
          <w:color w:val="000000" w:themeColor="text1"/>
          <w:sz w:val="24"/>
          <w:szCs w:val="24"/>
          <w:shd w:val="clear" w:color="auto" w:fill="FFFFFF"/>
          <w:lang w:val="en-GB"/>
        </w:rPr>
        <w:t>if it is irreconcilable with a judgment given in a dispute between the same parties in the Member State in which recognition is sought</w:t>
      </w:r>
      <w:r w:rsidR="00137919" w:rsidRPr="0001617C">
        <w:rPr>
          <w:rFonts w:cs="Times New Roman"/>
          <w:i/>
          <w:iCs/>
          <w:color w:val="000000" w:themeColor="text1"/>
          <w:sz w:val="24"/>
          <w:szCs w:val="24"/>
          <w:shd w:val="clear" w:color="auto" w:fill="FFFFFF"/>
          <w:lang w:val="en-GB"/>
        </w:rPr>
        <w:t>.</w:t>
      </w:r>
      <w:r w:rsidR="0029009F" w:rsidRPr="0001617C">
        <w:rPr>
          <w:rFonts w:cs="Times New Roman"/>
          <w:sz w:val="24"/>
          <w:szCs w:val="24"/>
          <w:lang w:val="en-GB"/>
        </w:rPr>
        <w:t>”</w:t>
      </w:r>
      <w:r w:rsidR="003F23B0" w:rsidRPr="0001617C">
        <w:rPr>
          <w:rFonts w:cs="Times New Roman"/>
          <w:sz w:val="24"/>
          <w:szCs w:val="24"/>
          <w:lang w:val="en-GB"/>
        </w:rPr>
        <w:t xml:space="preserve"> The order of the Provincial Court of A Coruña </w:t>
      </w:r>
      <w:r w:rsidR="008B659F" w:rsidRPr="0001617C">
        <w:rPr>
          <w:rFonts w:cs="Times New Roman"/>
          <w:sz w:val="24"/>
          <w:szCs w:val="24"/>
          <w:lang w:val="en-GB"/>
        </w:rPr>
        <w:t>wa</w:t>
      </w:r>
      <w:r w:rsidR="003F23B0" w:rsidRPr="0001617C">
        <w:rPr>
          <w:rFonts w:cs="Times New Roman"/>
          <w:sz w:val="24"/>
          <w:szCs w:val="24"/>
          <w:lang w:val="en-GB"/>
        </w:rPr>
        <w:t xml:space="preserve">s irreconcilable </w:t>
      </w:r>
      <w:r w:rsidR="00911F70" w:rsidRPr="0001617C">
        <w:rPr>
          <w:rFonts w:cs="Times New Roman"/>
          <w:sz w:val="24"/>
          <w:szCs w:val="24"/>
          <w:lang w:val="en-GB"/>
        </w:rPr>
        <w:t xml:space="preserve">with the </w:t>
      </w:r>
      <w:r w:rsidR="00143B65" w:rsidRPr="0001617C">
        <w:rPr>
          <w:rFonts w:cs="Times New Roman"/>
          <w:sz w:val="24"/>
          <w:szCs w:val="24"/>
          <w:lang w:val="en-GB"/>
        </w:rPr>
        <w:t xml:space="preserve">aforementioned </w:t>
      </w:r>
      <w:r w:rsidR="00756CD5" w:rsidRPr="0001617C">
        <w:rPr>
          <w:rFonts w:cs="Times New Roman"/>
          <w:sz w:val="24"/>
          <w:szCs w:val="24"/>
          <w:lang w:val="en-GB"/>
        </w:rPr>
        <w:t xml:space="preserve">judgment </w:t>
      </w:r>
      <w:r w:rsidR="00911F70" w:rsidRPr="0001617C">
        <w:rPr>
          <w:rFonts w:cs="Times New Roman"/>
          <w:sz w:val="24"/>
          <w:szCs w:val="24"/>
          <w:lang w:val="en-GB"/>
        </w:rPr>
        <w:t>of the High Court of</w:t>
      </w:r>
      <w:r w:rsidR="00911F70" w:rsidRPr="0001617C">
        <w:rPr>
          <w:rFonts w:cs="Times New Roman"/>
          <w:i/>
          <w:iCs/>
          <w:sz w:val="24"/>
          <w:szCs w:val="24"/>
          <w:lang w:val="en-GB"/>
        </w:rPr>
        <w:t xml:space="preserve"> </w:t>
      </w:r>
      <w:r w:rsidR="00911F70" w:rsidRPr="0001617C">
        <w:rPr>
          <w:rFonts w:cs="Times New Roman"/>
          <w:sz w:val="24"/>
          <w:szCs w:val="24"/>
          <w:lang w:val="en-GB"/>
        </w:rPr>
        <w:t>22 October 2013</w:t>
      </w:r>
      <w:r w:rsidR="003F23B0" w:rsidRPr="0001617C">
        <w:rPr>
          <w:rFonts w:cs="Times New Roman"/>
          <w:sz w:val="24"/>
          <w:szCs w:val="24"/>
          <w:lang w:val="en-GB"/>
        </w:rPr>
        <w:t xml:space="preserve">. It </w:t>
      </w:r>
      <w:r w:rsidR="008B659F" w:rsidRPr="0001617C">
        <w:rPr>
          <w:rFonts w:cs="Times New Roman"/>
          <w:sz w:val="24"/>
          <w:szCs w:val="24"/>
          <w:lang w:val="en-GB"/>
        </w:rPr>
        <w:t>wa</w:t>
      </w:r>
      <w:r w:rsidR="003F23B0" w:rsidRPr="0001617C">
        <w:rPr>
          <w:rFonts w:cs="Times New Roman"/>
          <w:sz w:val="24"/>
          <w:szCs w:val="24"/>
          <w:lang w:val="en-GB"/>
        </w:rPr>
        <w:t xml:space="preserve">s also contrary to Article 34(1) of Regulation (EC) 44/2001: </w:t>
      </w:r>
      <w:r w:rsidR="00842677" w:rsidRPr="0001617C">
        <w:rPr>
          <w:rFonts w:cs="Times New Roman"/>
          <w:sz w:val="24"/>
          <w:szCs w:val="24"/>
          <w:lang w:val="en-GB"/>
        </w:rPr>
        <w:t>“</w:t>
      </w:r>
      <w:r w:rsidR="00842677" w:rsidRPr="0001617C">
        <w:rPr>
          <w:rFonts w:cs="Times New Roman"/>
          <w:i/>
          <w:iCs/>
          <w:color w:val="000000" w:themeColor="text1"/>
          <w:sz w:val="24"/>
          <w:szCs w:val="24"/>
          <w:shd w:val="clear" w:color="auto" w:fill="FFFFFF"/>
          <w:lang w:val="en-GB"/>
        </w:rPr>
        <w:t>A judgment shall not be recognised</w:t>
      </w:r>
      <w:r w:rsidR="003F23B0" w:rsidRPr="0001617C">
        <w:rPr>
          <w:rFonts w:cs="Times New Roman"/>
          <w:i/>
          <w:iCs/>
          <w:sz w:val="24"/>
          <w:szCs w:val="24"/>
          <w:lang w:val="en-GB"/>
        </w:rPr>
        <w:t>: (1</w:t>
      </w:r>
      <w:r w:rsidR="003F23B0" w:rsidRPr="0001617C">
        <w:rPr>
          <w:rFonts w:cs="Times New Roman"/>
          <w:i/>
          <w:iCs/>
          <w:color w:val="000000" w:themeColor="text1"/>
          <w:sz w:val="24"/>
          <w:szCs w:val="24"/>
          <w:lang w:val="en-GB"/>
        </w:rPr>
        <w:t xml:space="preserve">) </w:t>
      </w:r>
      <w:r w:rsidR="004504AE" w:rsidRPr="0001617C">
        <w:rPr>
          <w:rFonts w:cs="Times New Roman"/>
          <w:i/>
          <w:iCs/>
          <w:color w:val="000000" w:themeColor="text1"/>
          <w:sz w:val="24"/>
          <w:szCs w:val="24"/>
          <w:shd w:val="clear" w:color="auto" w:fill="FFFFFF"/>
          <w:lang w:val="en-GB"/>
        </w:rPr>
        <w:t>if such recognition is manifestly contrary to public policy in the Member State in which recognition is sought</w:t>
      </w:r>
      <w:r w:rsidR="003F23B0" w:rsidRPr="0001617C">
        <w:rPr>
          <w:rFonts w:cs="Times New Roman"/>
          <w:i/>
          <w:iCs/>
          <w:color w:val="000000" w:themeColor="text1"/>
          <w:sz w:val="24"/>
          <w:szCs w:val="24"/>
          <w:lang w:val="en-GB"/>
        </w:rPr>
        <w:t>.</w:t>
      </w:r>
      <w:r w:rsidR="00C1159A" w:rsidRPr="0001617C">
        <w:rPr>
          <w:rFonts w:cs="Times New Roman"/>
          <w:i/>
          <w:iCs/>
          <w:color w:val="000000" w:themeColor="text1"/>
          <w:sz w:val="24"/>
          <w:szCs w:val="24"/>
          <w:lang w:val="en-GB"/>
        </w:rPr>
        <w:t>”</w:t>
      </w:r>
      <w:r w:rsidR="003F23B0" w:rsidRPr="0001617C">
        <w:rPr>
          <w:rFonts w:cs="Times New Roman"/>
          <w:color w:val="000000" w:themeColor="text1"/>
          <w:sz w:val="24"/>
          <w:szCs w:val="24"/>
          <w:lang w:val="en-GB"/>
        </w:rPr>
        <w:t xml:space="preserve"> </w:t>
      </w:r>
      <w:r w:rsidR="003F23B0" w:rsidRPr="0001617C">
        <w:rPr>
          <w:rFonts w:cs="Times New Roman"/>
          <w:sz w:val="24"/>
          <w:szCs w:val="24"/>
          <w:lang w:val="en-GB"/>
        </w:rPr>
        <w:t xml:space="preserve">In particular, the enforcement of the order of the Provincial Court of A Coruña in the United Kingdom </w:t>
      </w:r>
      <w:r w:rsidR="00911F70" w:rsidRPr="0001617C">
        <w:rPr>
          <w:rFonts w:cs="Times New Roman"/>
          <w:sz w:val="24"/>
          <w:szCs w:val="24"/>
          <w:lang w:val="en-GB"/>
        </w:rPr>
        <w:t>infringe</w:t>
      </w:r>
      <w:r w:rsidR="00ED16FE" w:rsidRPr="0001617C">
        <w:rPr>
          <w:rFonts w:cs="Times New Roman"/>
          <w:sz w:val="24"/>
          <w:szCs w:val="24"/>
          <w:lang w:val="en-GB"/>
        </w:rPr>
        <w:t>d</w:t>
      </w:r>
      <w:r w:rsidR="00911F70" w:rsidRPr="0001617C">
        <w:rPr>
          <w:rFonts w:cs="Times New Roman"/>
          <w:sz w:val="24"/>
          <w:szCs w:val="24"/>
          <w:lang w:val="en-GB"/>
        </w:rPr>
        <w:t xml:space="preserve"> English </w:t>
      </w:r>
      <w:r w:rsidR="00B32FCE" w:rsidRPr="0001617C">
        <w:rPr>
          <w:rFonts w:cs="Times New Roman"/>
          <w:sz w:val="24"/>
          <w:szCs w:val="24"/>
          <w:lang w:val="en-GB"/>
        </w:rPr>
        <w:t>law</w:t>
      </w:r>
      <w:r w:rsidR="00911F70" w:rsidRPr="0001617C">
        <w:rPr>
          <w:rFonts w:cs="Times New Roman"/>
          <w:sz w:val="24"/>
          <w:szCs w:val="24"/>
          <w:lang w:val="en-GB"/>
        </w:rPr>
        <w:t xml:space="preserve">, in particular the rule of </w:t>
      </w:r>
      <w:r w:rsidR="00911F70" w:rsidRPr="0001617C">
        <w:rPr>
          <w:rFonts w:cs="Times New Roman"/>
          <w:i/>
          <w:iCs/>
          <w:sz w:val="24"/>
          <w:szCs w:val="24"/>
          <w:lang w:val="en-GB"/>
        </w:rPr>
        <w:t>res</w:t>
      </w:r>
      <w:r w:rsidR="00911F70" w:rsidRPr="0001617C">
        <w:rPr>
          <w:rFonts w:cs="Times New Roman"/>
          <w:sz w:val="24"/>
          <w:szCs w:val="24"/>
          <w:lang w:val="en-GB"/>
        </w:rPr>
        <w:t xml:space="preserve"> </w:t>
      </w:r>
      <w:r w:rsidR="00911F70" w:rsidRPr="0001617C">
        <w:rPr>
          <w:rFonts w:cs="Times New Roman"/>
          <w:i/>
          <w:sz w:val="24"/>
          <w:szCs w:val="24"/>
          <w:lang w:val="en-GB"/>
        </w:rPr>
        <w:t>judicata</w:t>
      </w:r>
      <w:r w:rsidR="00ED16FE" w:rsidRPr="0001617C">
        <w:rPr>
          <w:rFonts w:cs="Times New Roman"/>
          <w:i/>
          <w:sz w:val="24"/>
          <w:szCs w:val="24"/>
          <w:lang w:val="en-GB"/>
        </w:rPr>
        <w:t>.</w:t>
      </w:r>
      <w:r w:rsidR="00911F70" w:rsidRPr="0001617C">
        <w:rPr>
          <w:rStyle w:val="Refdenotaalpie"/>
          <w:rFonts w:cs="Times New Roman"/>
          <w:sz w:val="24"/>
          <w:szCs w:val="24"/>
          <w:lang w:val="en-GB"/>
        </w:rPr>
        <w:footnoteReference w:id="17"/>
      </w:r>
      <w:r w:rsidR="003F23B0" w:rsidRPr="0001617C">
        <w:rPr>
          <w:rFonts w:cs="Times New Roman"/>
          <w:iCs/>
          <w:sz w:val="24"/>
          <w:szCs w:val="24"/>
          <w:lang w:val="en-GB"/>
        </w:rPr>
        <w:t xml:space="preserve"> </w:t>
      </w:r>
    </w:p>
    <w:p w14:paraId="7F03D15F" w14:textId="4CB590FE" w:rsidR="00E23A92" w:rsidRPr="0001617C" w:rsidRDefault="004A29CB">
      <w:pPr>
        <w:spacing w:before="120" w:after="120" w:line="240" w:lineRule="auto"/>
        <w:jc w:val="both"/>
        <w:rPr>
          <w:rFonts w:cs="Times New Roman"/>
          <w:sz w:val="24"/>
          <w:szCs w:val="24"/>
          <w:lang w:val="en-GB"/>
        </w:rPr>
      </w:pPr>
      <w:r w:rsidRPr="0001617C">
        <w:rPr>
          <w:rFonts w:cs="Times New Roman"/>
          <w:sz w:val="24"/>
          <w:szCs w:val="24"/>
          <w:lang w:val="en-GB"/>
        </w:rPr>
        <w:t xml:space="preserve">The Spanish State </w:t>
      </w:r>
      <w:r w:rsidR="00BB539D" w:rsidRPr="0001617C">
        <w:rPr>
          <w:rFonts w:cs="Times New Roman"/>
          <w:sz w:val="24"/>
          <w:szCs w:val="24"/>
          <w:lang w:val="en-GB"/>
        </w:rPr>
        <w:t xml:space="preserve">responded </w:t>
      </w:r>
      <w:r w:rsidR="003F23B0" w:rsidRPr="0001617C">
        <w:rPr>
          <w:rFonts w:cs="Times New Roman"/>
          <w:sz w:val="24"/>
          <w:szCs w:val="24"/>
          <w:lang w:val="en-GB"/>
        </w:rPr>
        <w:t xml:space="preserve">and asked </w:t>
      </w:r>
      <w:r w:rsidR="00BB539D" w:rsidRPr="0001617C">
        <w:rPr>
          <w:rFonts w:cs="Times New Roman"/>
          <w:sz w:val="24"/>
          <w:szCs w:val="24"/>
          <w:lang w:val="en-GB"/>
        </w:rPr>
        <w:t xml:space="preserve">the </w:t>
      </w:r>
      <w:r w:rsidR="00823532" w:rsidRPr="0001617C">
        <w:rPr>
          <w:rFonts w:cs="Times New Roman"/>
          <w:iCs/>
          <w:sz w:val="24"/>
          <w:szCs w:val="24"/>
          <w:lang w:val="en-GB"/>
        </w:rPr>
        <w:t>High Court</w:t>
      </w:r>
      <w:r w:rsidR="00823532" w:rsidRPr="0001617C">
        <w:rPr>
          <w:rFonts w:cs="Times New Roman"/>
          <w:i/>
          <w:sz w:val="24"/>
          <w:szCs w:val="24"/>
          <w:lang w:val="en-GB"/>
        </w:rPr>
        <w:t xml:space="preserve"> </w:t>
      </w:r>
      <w:r w:rsidR="00BB539D" w:rsidRPr="0001617C">
        <w:rPr>
          <w:rFonts w:cs="Times New Roman"/>
          <w:sz w:val="24"/>
          <w:szCs w:val="24"/>
          <w:lang w:val="en-GB"/>
        </w:rPr>
        <w:t xml:space="preserve">to </w:t>
      </w:r>
      <w:r w:rsidR="007104D3" w:rsidRPr="0001617C">
        <w:rPr>
          <w:rFonts w:cs="Times New Roman"/>
          <w:sz w:val="24"/>
          <w:szCs w:val="24"/>
          <w:lang w:val="en-GB"/>
        </w:rPr>
        <w:t>submit a reference for a preliminary ruling</w:t>
      </w:r>
      <w:r w:rsidR="00823532" w:rsidRPr="0001617C">
        <w:rPr>
          <w:rFonts w:cs="Times New Roman"/>
          <w:sz w:val="24"/>
          <w:szCs w:val="24"/>
          <w:lang w:val="en-GB"/>
        </w:rPr>
        <w:t xml:space="preserve"> </w:t>
      </w:r>
      <w:r w:rsidR="00203F94" w:rsidRPr="0001617C">
        <w:rPr>
          <w:rFonts w:cs="Times New Roman"/>
          <w:sz w:val="24"/>
          <w:szCs w:val="24"/>
          <w:lang w:val="en-GB"/>
        </w:rPr>
        <w:t xml:space="preserve">to </w:t>
      </w:r>
      <w:r w:rsidR="00823532" w:rsidRPr="0001617C">
        <w:rPr>
          <w:rFonts w:cs="Times New Roman"/>
          <w:sz w:val="24"/>
          <w:szCs w:val="24"/>
          <w:lang w:val="en-GB"/>
        </w:rPr>
        <w:t xml:space="preserve">the </w:t>
      </w:r>
      <w:r w:rsidR="002306EE" w:rsidRPr="0001617C">
        <w:rPr>
          <w:rFonts w:cs="Times New Roman"/>
          <w:sz w:val="24"/>
          <w:szCs w:val="24"/>
          <w:lang w:val="en-GB"/>
        </w:rPr>
        <w:t xml:space="preserve">Court of Justice of the European Union </w:t>
      </w:r>
      <w:r w:rsidR="003F23B0" w:rsidRPr="0001617C">
        <w:rPr>
          <w:rFonts w:cs="Times New Roman"/>
          <w:sz w:val="24"/>
          <w:szCs w:val="24"/>
          <w:lang w:val="en-GB"/>
        </w:rPr>
        <w:t xml:space="preserve">so that, as the highest interpreter, it could determine how Regulation (EC) 44/2001 should be interpreted. </w:t>
      </w:r>
      <w:r w:rsidR="00357E20" w:rsidRPr="0001617C">
        <w:rPr>
          <w:rFonts w:cs="Times New Roman"/>
          <w:sz w:val="24"/>
          <w:szCs w:val="24"/>
          <w:lang w:val="en-GB"/>
        </w:rPr>
        <w:t>A</w:t>
      </w:r>
      <w:r w:rsidR="00BB539D" w:rsidRPr="0001617C">
        <w:rPr>
          <w:rFonts w:cs="Times New Roman"/>
          <w:sz w:val="24"/>
          <w:szCs w:val="24"/>
          <w:lang w:val="en-GB"/>
        </w:rPr>
        <w:t xml:space="preserve">fter deliberation with both parties, </w:t>
      </w:r>
      <w:r w:rsidR="00357E20" w:rsidRPr="0001617C">
        <w:rPr>
          <w:rFonts w:cs="Times New Roman"/>
          <w:sz w:val="24"/>
          <w:szCs w:val="24"/>
          <w:lang w:val="en-GB"/>
        </w:rPr>
        <w:t xml:space="preserve">the Judge </w:t>
      </w:r>
      <w:r w:rsidR="003F23B0" w:rsidRPr="0001617C">
        <w:rPr>
          <w:rFonts w:cs="Times New Roman"/>
          <w:sz w:val="24"/>
          <w:szCs w:val="24"/>
          <w:lang w:val="en-GB"/>
        </w:rPr>
        <w:t>agreed and</w:t>
      </w:r>
      <w:r w:rsidR="009C4F37" w:rsidRPr="0001617C">
        <w:rPr>
          <w:rFonts w:cs="Times New Roman"/>
          <w:sz w:val="24"/>
          <w:szCs w:val="24"/>
          <w:lang w:val="en-GB"/>
        </w:rPr>
        <w:t>,</w:t>
      </w:r>
      <w:r w:rsidR="003F23B0" w:rsidRPr="0001617C">
        <w:rPr>
          <w:rFonts w:cs="Times New Roman"/>
          <w:sz w:val="24"/>
          <w:szCs w:val="24"/>
          <w:lang w:val="en-GB"/>
        </w:rPr>
        <w:t xml:space="preserve"> </w:t>
      </w:r>
      <w:r w:rsidR="00823532" w:rsidRPr="0001617C">
        <w:rPr>
          <w:rFonts w:cs="Times New Roman"/>
          <w:sz w:val="24"/>
          <w:szCs w:val="24"/>
          <w:lang w:val="en-GB"/>
        </w:rPr>
        <w:t>on 20 December 2020</w:t>
      </w:r>
      <w:r w:rsidR="009C4F37" w:rsidRPr="0001617C">
        <w:rPr>
          <w:rFonts w:cs="Times New Roman"/>
          <w:sz w:val="24"/>
          <w:szCs w:val="24"/>
          <w:lang w:val="en-GB"/>
        </w:rPr>
        <w:t>,</w:t>
      </w:r>
      <w:r w:rsidR="00823532" w:rsidRPr="0001617C">
        <w:rPr>
          <w:rFonts w:cs="Times New Roman"/>
          <w:sz w:val="24"/>
          <w:szCs w:val="24"/>
          <w:lang w:val="en-GB"/>
        </w:rPr>
        <w:t xml:space="preserve"> </w:t>
      </w:r>
      <w:r w:rsidR="00B661B4" w:rsidRPr="0001617C">
        <w:rPr>
          <w:rFonts w:cs="Times New Roman"/>
          <w:sz w:val="24"/>
          <w:szCs w:val="24"/>
          <w:lang w:val="en-GB"/>
        </w:rPr>
        <w:t xml:space="preserve">referred </w:t>
      </w:r>
      <w:r w:rsidR="00EE7625" w:rsidRPr="0001617C">
        <w:rPr>
          <w:rFonts w:cs="Times New Roman"/>
          <w:sz w:val="24"/>
          <w:szCs w:val="24"/>
          <w:lang w:val="en-GB"/>
        </w:rPr>
        <w:t xml:space="preserve">a question to the </w:t>
      </w:r>
      <w:r w:rsidR="00BB539D" w:rsidRPr="0001617C">
        <w:rPr>
          <w:rFonts w:cs="Times New Roman"/>
          <w:sz w:val="24"/>
          <w:szCs w:val="24"/>
          <w:lang w:val="en-GB"/>
        </w:rPr>
        <w:t xml:space="preserve">Court for a preliminary ruling under </w:t>
      </w:r>
      <w:r w:rsidR="00EE7625" w:rsidRPr="0001617C">
        <w:rPr>
          <w:rFonts w:cs="Times New Roman"/>
          <w:sz w:val="24"/>
          <w:szCs w:val="24"/>
          <w:lang w:val="en-GB"/>
        </w:rPr>
        <w:t xml:space="preserve">Article 267 of the Treaty on the Functioning of the European Union. It </w:t>
      </w:r>
      <w:r w:rsidR="00823532" w:rsidRPr="0001617C">
        <w:rPr>
          <w:rFonts w:cs="Times New Roman"/>
          <w:sz w:val="24"/>
          <w:szCs w:val="24"/>
          <w:lang w:val="en-GB"/>
        </w:rPr>
        <w:t xml:space="preserve">is </w:t>
      </w:r>
      <w:r w:rsidR="00B836DE" w:rsidRPr="0001617C">
        <w:rPr>
          <w:rFonts w:cs="Times New Roman"/>
          <w:sz w:val="24"/>
          <w:szCs w:val="24"/>
          <w:lang w:val="en-GB"/>
        </w:rPr>
        <w:t>important</w:t>
      </w:r>
      <w:r w:rsidR="00B661B4" w:rsidRPr="0001617C">
        <w:rPr>
          <w:rFonts w:cs="Times New Roman"/>
          <w:sz w:val="24"/>
          <w:szCs w:val="24"/>
          <w:lang w:val="en-GB"/>
        </w:rPr>
        <w:t xml:space="preserve"> to </w:t>
      </w:r>
      <w:r w:rsidR="00823532" w:rsidRPr="0001617C">
        <w:rPr>
          <w:rFonts w:cs="Times New Roman"/>
          <w:sz w:val="24"/>
          <w:szCs w:val="24"/>
          <w:lang w:val="en-GB"/>
        </w:rPr>
        <w:t xml:space="preserve">note the date on </w:t>
      </w:r>
      <w:r w:rsidR="00EE7625" w:rsidRPr="0001617C">
        <w:rPr>
          <w:rFonts w:cs="Times New Roman"/>
          <w:sz w:val="24"/>
          <w:szCs w:val="24"/>
          <w:lang w:val="en-GB"/>
        </w:rPr>
        <w:t xml:space="preserve">which the </w:t>
      </w:r>
      <w:r w:rsidR="00823532" w:rsidRPr="0001617C">
        <w:rPr>
          <w:rFonts w:cs="Times New Roman"/>
          <w:sz w:val="24"/>
          <w:szCs w:val="24"/>
          <w:lang w:val="en-GB"/>
        </w:rPr>
        <w:t xml:space="preserve">question was referred for a preliminary ruling: </w:t>
      </w:r>
      <w:r w:rsidR="00823532" w:rsidRPr="0001617C">
        <w:rPr>
          <w:rFonts w:cs="Times New Roman"/>
          <w:i/>
          <w:iCs/>
          <w:sz w:val="24"/>
          <w:szCs w:val="24"/>
          <w:lang w:val="en-GB"/>
        </w:rPr>
        <w:t xml:space="preserve">20 December </w:t>
      </w:r>
      <w:r w:rsidR="00EE7625" w:rsidRPr="0001617C">
        <w:rPr>
          <w:rFonts w:cs="Times New Roman"/>
          <w:i/>
          <w:iCs/>
          <w:sz w:val="24"/>
          <w:szCs w:val="24"/>
          <w:lang w:val="en-GB"/>
        </w:rPr>
        <w:t>2020</w:t>
      </w:r>
      <w:r w:rsidR="00823532" w:rsidRPr="0001617C">
        <w:rPr>
          <w:rFonts w:cs="Times New Roman"/>
          <w:sz w:val="24"/>
          <w:szCs w:val="24"/>
          <w:lang w:val="en-GB"/>
        </w:rPr>
        <w:t xml:space="preserve">, eleven days before the consummation of Brexit </w:t>
      </w:r>
      <w:r w:rsidR="007721E5" w:rsidRPr="0001617C">
        <w:rPr>
          <w:rFonts w:cs="Times New Roman"/>
          <w:sz w:val="24"/>
          <w:szCs w:val="24"/>
          <w:lang w:val="en-GB"/>
        </w:rPr>
        <w:t>and</w:t>
      </w:r>
      <w:r w:rsidR="00EE7625" w:rsidRPr="0001617C">
        <w:rPr>
          <w:rFonts w:cs="Times New Roman"/>
          <w:sz w:val="24"/>
          <w:szCs w:val="24"/>
          <w:lang w:val="en-GB"/>
        </w:rPr>
        <w:t xml:space="preserve"> the withdrawal of the United Kingdom from the European Union</w:t>
      </w:r>
      <w:r w:rsidR="00823532" w:rsidRPr="0001617C">
        <w:rPr>
          <w:rFonts w:cs="Times New Roman"/>
          <w:sz w:val="24"/>
          <w:szCs w:val="24"/>
          <w:lang w:val="en-GB"/>
        </w:rPr>
        <w:t xml:space="preserve">. According to Article 86 of the Brexit </w:t>
      </w:r>
      <w:r w:rsidR="00CB3832" w:rsidRPr="0001617C">
        <w:rPr>
          <w:rFonts w:cs="Times New Roman"/>
          <w:sz w:val="24"/>
          <w:szCs w:val="24"/>
          <w:lang w:val="en-GB"/>
        </w:rPr>
        <w:t xml:space="preserve">Withdrawal Agreement </w:t>
      </w:r>
      <w:r w:rsidR="00823532" w:rsidRPr="0001617C">
        <w:rPr>
          <w:rFonts w:cs="Times New Roman"/>
          <w:sz w:val="24"/>
          <w:szCs w:val="24"/>
          <w:lang w:val="en-GB"/>
        </w:rPr>
        <w:t xml:space="preserve">of 19 October 2019, the </w:t>
      </w:r>
      <w:r w:rsidR="002306EE" w:rsidRPr="0001617C">
        <w:rPr>
          <w:rFonts w:cs="Times New Roman"/>
          <w:sz w:val="24"/>
          <w:szCs w:val="24"/>
          <w:lang w:val="en-GB"/>
        </w:rPr>
        <w:t xml:space="preserve">Court of Justice of the European Union </w:t>
      </w:r>
      <w:r w:rsidR="00823532" w:rsidRPr="0001617C">
        <w:rPr>
          <w:rFonts w:cs="Times New Roman"/>
          <w:sz w:val="24"/>
          <w:szCs w:val="24"/>
          <w:lang w:val="en-GB"/>
        </w:rPr>
        <w:t>would retain jurisdiction on a transitional basis for cases arising</w:t>
      </w:r>
      <w:r w:rsidR="00823532" w:rsidRPr="0001617C">
        <w:rPr>
          <w:rFonts w:cs="Times New Roman"/>
          <w:i/>
          <w:iCs/>
          <w:sz w:val="24"/>
          <w:szCs w:val="24"/>
          <w:lang w:val="en-GB"/>
        </w:rPr>
        <w:t xml:space="preserve"> until 1 January 2021</w:t>
      </w:r>
      <w:r w:rsidR="00823532" w:rsidRPr="0001617C">
        <w:rPr>
          <w:rFonts w:cs="Times New Roman"/>
          <w:sz w:val="24"/>
          <w:szCs w:val="24"/>
          <w:lang w:val="en-GB"/>
        </w:rPr>
        <w:t xml:space="preserve">. </w:t>
      </w:r>
      <w:r w:rsidR="00835E6B" w:rsidRPr="0001617C">
        <w:rPr>
          <w:rFonts w:cs="Times New Roman"/>
          <w:sz w:val="24"/>
          <w:szCs w:val="24"/>
          <w:lang w:val="en-GB"/>
        </w:rPr>
        <w:t>Accordingly, the question was referred for a preliminary ruling in due time and, Brexit</w:t>
      </w:r>
      <w:r w:rsidR="00267C34" w:rsidRPr="0001617C">
        <w:rPr>
          <w:rFonts w:cs="Times New Roman"/>
          <w:sz w:val="24"/>
          <w:szCs w:val="24"/>
          <w:lang w:val="en-GB"/>
        </w:rPr>
        <w:t xml:space="preserve"> notwithstanding</w:t>
      </w:r>
      <w:r w:rsidR="00835E6B" w:rsidRPr="0001617C">
        <w:rPr>
          <w:rFonts w:cs="Times New Roman"/>
          <w:sz w:val="24"/>
          <w:szCs w:val="24"/>
          <w:lang w:val="en-GB"/>
        </w:rPr>
        <w:t xml:space="preserve">, the United Kingdom </w:t>
      </w:r>
      <w:r w:rsidR="002B73A4" w:rsidRPr="0001617C">
        <w:rPr>
          <w:rFonts w:cs="Times New Roman"/>
          <w:sz w:val="24"/>
          <w:szCs w:val="24"/>
          <w:lang w:val="en-GB"/>
        </w:rPr>
        <w:t>i</w:t>
      </w:r>
      <w:r w:rsidR="00835E6B" w:rsidRPr="0001617C">
        <w:rPr>
          <w:rFonts w:cs="Times New Roman"/>
          <w:sz w:val="24"/>
          <w:szCs w:val="24"/>
          <w:lang w:val="en-GB"/>
        </w:rPr>
        <w:t xml:space="preserve">s bound by the decision of the Court of Justice of the European Union. </w:t>
      </w:r>
    </w:p>
    <w:p w14:paraId="50842657" w14:textId="1B54A2F0" w:rsidR="00E23A92" w:rsidRPr="0001617C" w:rsidRDefault="00BB539D">
      <w:pPr>
        <w:spacing w:before="120" w:after="120" w:line="240" w:lineRule="auto"/>
        <w:jc w:val="both"/>
        <w:rPr>
          <w:rFonts w:cs="Times New Roman"/>
          <w:sz w:val="24"/>
          <w:szCs w:val="24"/>
          <w:lang w:val="en-GB"/>
        </w:rPr>
      </w:pPr>
      <w:r w:rsidRPr="0001617C">
        <w:rPr>
          <w:rFonts w:cs="Times New Roman"/>
          <w:sz w:val="24"/>
          <w:szCs w:val="24"/>
          <w:lang w:val="en-GB"/>
        </w:rPr>
        <w:t xml:space="preserve">In essence, the Judge </w:t>
      </w:r>
      <w:r w:rsidR="002B73A4" w:rsidRPr="0001617C">
        <w:rPr>
          <w:rFonts w:cs="Times New Roman"/>
          <w:sz w:val="24"/>
          <w:szCs w:val="24"/>
          <w:lang w:val="en-GB"/>
        </w:rPr>
        <w:t>wa</w:t>
      </w:r>
      <w:r w:rsidRPr="0001617C">
        <w:rPr>
          <w:rFonts w:cs="Times New Roman"/>
          <w:sz w:val="24"/>
          <w:szCs w:val="24"/>
          <w:lang w:val="en-GB"/>
        </w:rPr>
        <w:t xml:space="preserve">s asking the Court of Justice of the European Union whether a judicial decision for the enforcement of an award under section 66 of the English Arbitration Act is a </w:t>
      </w:r>
      <w:r w:rsidR="0029009F" w:rsidRPr="0001617C">
        <w:rPr>
          <w:rFonts w:cs="Times New Roman"/>
          <w:sz w:val="24"/>
          <w:szCs w:val="24"/>
          <w:lang w:val="en-GB"/>
        </w:rPr>
        <w:t>“</w:t>
      </w:r>
      <w:r w:rsidRPr="0001617C">
        <w:rPr>
          <w:rFonts w:cs="Times New Roman"/>
          <w:sz w:val="24"/>
          <w:szCs w:val="24"/>
          <w:lang w:val="en-GB"/>
        </w:rPr>
        <w:t>decision</w:t>
      </w:r>
      <w:r w:rsidR="0029009F" w:rsidRPr="0001617C">
        <w:rPr>
          <w:rFonts w:cs="Times New Roman"/>
          <w:sz w:val="24"/>
          <w:szCs w:val="24"/>
          <w:lang w:val="en-GB"/>
        </w:rPr>
        <w:t>”</w:t>
      </w:r>
      <w:r w:rsidRPr="0001617C">
        <w:rPr>
          <w:rFonts w:cs="Times New Roman"/>
          <w:sz w:val="24"/>
          <w:szCs w:val="24"/>
          <w:lang w:val="en-GB"/>
        </w:rPr>
        <w:t xml:space="preserve"> for the purposes of Article 34</w:t>
      </w:r>
      <w:r w:rsidR="005C4B61" w:rsidRPr="0001617C">
        <w:rPr>
          <w:rFonts w:cs="Times New Roman"/>
          <w:sz w:val="24"/>
          <w:szCs w:val="24"/>
          <w:lang w:val="en-GB"/>
        </w:rPr>
        <w:t xml:space="preserve">(3) of </w:t>
      </w:r>
      <w:r w:rsidRPr="0001617C">
        <w:rPr>
          <w:rFonts w:cs="Times New Roman"/>
          <w:sz w:val="24"/>
          <w:szCs w:val="24"/>
          <w:lang w:val="en-GB"/>
        </w:rPr>
        <w:t xml:space="preserve">Regulation (EC) 44/2001 </w:t>
      </w:r>
      <w:r w:rsidR="003F23B0" w:rsidRPr="0001617C">
        <w:rPr>
          <w:rFonts w:cs="Times New Roman"/>
          <w:sz w:val="24"/>
          <w:szCs w:val="24"/>
          <w:lang w:val="en-GB"/>
        </w:rPr>
        <w:t xml:space="preserve">and whether it can prevent the enforcement of the decision of another EU State in the State in which enforcement is sought </w:t>
      </w:r>
      <w:r w:rsidR="005C4B61" w:rsidRPr="0001617C">
        <w:rPr>
          <w:rFonts w:cs="Times New Roman"/>
          <w:sz w:val="24"/>
          <w:szCs w:val="24"/>
          <w:lang w:val="en-GB"/>
        </w:rPr>
        <w:t xml:space="preserve">(first and second questions). And whether the public policy of the State </w:t>
      </w:r>
      <w:r w:rsidR="00013047" w:rsidRPr="0001617C">
        <w:rPr>
          <w:rFonts w:cs="Times New Roman"/>
          <w:sz w:val="24"/>
          <w:szCs w:val="24"/>
          <w:lang w:val="en-GB"/>
        </w:rPr>
        <w:t xml:space="preserve">in which recognition is sought </w:t>
      </w:r>
      <w:r w:rsidR="005C4B61" w:rsidRPr="0001617C">
        <w:rPr>
          <w:rFonts w:cs="Times New Roman"/>
          <w:sz w:val="24"/>
          <w:szCs w:val="24"/>
          <w:lang w:val="en-GB"/>
        </w:rPr>
        <w:t>can be invoked for the recognition and enforcement of a judgment of another EU country</w:t>
      </w:r>
      <w:r w:rsidR="00E60924" w:rsidRPr="0001617C">
        <w:rPr>
          <w:rFonts w:cs="Times New Roman"/>
          <w:sz w:val="24"/>
          <w:szCs w:val="24"/>
          <w:lang w:val="en-GB"/>
        </w:rPr>
        <w:t xml:space="preserve">, pursuant to Art. 34.1 Regulation (EC) 44/2001, on the </w:t>
      </w:r>
      <w:r w:rsidR="00143B65" w:rsidRPr="0001617C">
        <w:rPr>
          <w:rFonts w:cs="Times New Roman"/>
          <w:sz w:val="24"/>
          <w:szCs w:val="24"/>
          <w:lang w:val="en-GB"/>
        </w:rPr>
        <w:t xml:space="preserve">grounds of </w:t>
      </w:r>
      <w:r w:rsidR="00143B65" w:rsidRPr="0001617C">
        <w:rPr>
          <w:rFonts w:cs="Times New Roman"/>
          <w:i/>
          <w:iCs/>
          <w:sz w:val="24"/>
          <w:szCs w:val="24"/>
          <w:lang w:val="en-GB"/>
        </w:rPr>
        <w:t xml:space="preserve">res judicata </w:t>
      </w:r>
      <w:r w:rsidR="00143B65" w:rsidRPr="0001617C">
        <w:rPr>
          <w:rFonts w:cs="Times New Roman"/>
          <w:sz w:val="24"/>
          <w:szCs w:val="24"/>
          <w:lang w:val="en-GB"/>
        </w:rPr>
        <w:t>and/or irreconcilability of judgments (third question)</w:t>
      </w:r>
      <w:r w:rsidR="002D7DC0" w:rsidRPr="0001617C">
        <w:rPr>
          <w:rFonts w:cs="Times New Roman"/>
          <w:sz w:val="24"/>
          <w:szCs w:val="24"/>
          <w:lang w:val="en-GB"/>
        </w:rPr>
        <w:t xml:space="preserve">. </w:t>
      </w:r>
    </w:p>
    <w:p w14:paraId="78BFC91E" w14:textId="625CC285" w:rsidR="00E23A92" w:rsidRPr="0001617C" w:rsidRDefault="00BB539D">
      <w:pPr>
        <w:spacing w:before="120" w:after="120" w:line="240" w:lineRule="auto"/>
        <w:jc w:val="both"/>
        <w:rPr>
          <w:rFonts w:cs="Times New Roman"/>
          <w:sz w:val="24"/>
          <w:szCs w:val="24"/>
          <w:lang w:val="en-GB"/>
        </w:rPr>
      </w:pPr>
      <w:r w:rsidRPr="0001617C">
        <w:rPr>
          <w:rFonts w:cs="Times New Roman"/>
          <w:sz w:val="24"/>
          <w:szCs w:val="24"/>
          <w:lang w:val="en-GB"/>
        </w:rPr>
        <w:lastRenderedPageBreak/>
        <w:t>On 5 May 2022, the Advocate General submitted his Opinion on the Re</w:t>
      </w:r>
      <w:r w:rsidR="00385204" w:rsidRPr="0001617C">
        <w:rPr>
          <w:rFonts w:cs="Times New Roman"/>
          <w:sz w:val="24"/>
          <w:szCs w:val="24"/>
          <w:lang w:val="en-GB"/>
        </w:rPr>
        <w:t>quest</w:t>
      </w:r>
      <w:r w:rsidRPr="0001617C">
        <w:rPr>
          <w:rFonts w:cs="Times New Roman"/>
          <w:sz w:val="24"/>
          <w:szCs w:val="24"/>
          <w:lang w:val="en-GB"/>
        </w:rPr>
        <w:t xml:space="preserve"> for a preliminary ruling from the </w:t>
      </w:r>
      <w:r w:rsidRPr="0001617C">
        <w:rPr>
          <w:rFonts w:cs="Times New Roman"/>
          <w:iCs/>
          <w:sz w:val="24"/>
          <w:szCs w:val="24"/>
          <w:lang w:val="en-GB"/>
        </w:rPr>
        <w:t>High Cour</w:t>
      </w:r>
      <w:r w:rsidR="00E00779" w:rsidRPr="0001617C">
        <w:rPr>
          <w:rFonts w:cs="Times New Roman"/>
          <w:iCs/>
          <w:sz w:val="24"/>
          <w:szCs w:val="24"/>
          <w:lang w:val="en-GB"/>
        </w:rPr>
        <w:t>t</w:t>
      </w:r>
      <w:r w:rsidR="00E76C21" w:rsidRPr="0001617C">
        <w:rPr>
          <w:rFonts w:cs="Times New Roman"/>
          <w:iCs/>
          <w:sz w:val="24"/>
          <w:szCs w:val="24"/>
          <w:lang w:val="en-GB"/>
        </w:rPr>
        <w:t xml:space="preserve"> of Justice</w:t>
      </w:r>
      <w:r w:rsidR="00E00779" w:rsidRPr="0001617C">
        <w:rPr>
          <w:rFonts w:cs="Times New Roman"/>
          <w:iCs/>
          <w:sz w:val="24"/>
          <w:szCs w:val="24"/>
          <w:lang w:val="en-GB"/>
        </w:rPr>
        <w:t>.</w:t>
      </w:r>
      <w:r w:rsidRPr="0001617C">
        <w:rPr>
          <w:rStyle w:val="Refdenotaalpie"/>
          <w:rFonts w:cs="Times New Roman"/>
          <w:iCs/>
          <w:sz w:val="24"/>
          <w:szCs w:val="24"/>
          <w:lang w:val="en-GB"/>
        </w:rPr>
        <w:footnoteReference w:id="18"/>
      </w:r>
      <w:r w:rsidRPr="0001617C">
        <w:rPr>
          <w:rFonts w:cs="Times New Roman"/>
          <w:iCs/>
          <w:sz w:val="24"/>
          <w:szCs w:val="24"/>
          <w:lang w:val="en-GB"/>
        </w:rPr>
        <w:t xml:space="preserve"> </w:t>
      </w:r>
      <w:r w:rsidRPr="0001617C">
        <w:rPr>
          <w:rFonts w:cs="Times New Roman"/>
          <w:sz w:val="24"/>
          <w:szCs w:val="24"/>
          <w:lang w:val="en-GB"/>
        </w:rPr>
        <w:t>He propose</w:t>
      </w:r>
      <w:r w:rsidR="00C616CF" w:rsidRPr="0001617C">
        <w:rPr>
          <w:rFonts w:cs="Times New Roman"/>
          <w:sz w:val="24"/>
          <w:szCs w:val="24"/>
          <w:lang w:val="en-GB"/>
        </w:rPr>
        <w:t>d</w:t>
      </w:r>
      <w:r w:rsidRPr="0001617C">
        <w:rPr>
          <w:rFonts w:cs="Times New Roman"/>
          <w:sz w:val="24"/>
          <w:szCs w:val="24"/>
          <w:lang w:val="en-GB"/>
        </w:rPr>
        <w:t xml:space="preserve"> consider</w:t>
      </w:r>
      <w:r w:rsidR="003B6796" w:rsidRPr="0001617C">
        <w:rPr>
          <w:rFonts w:cs="Times New Roman"/>
          <w:sz w:val="24"/>
          <w:szCs w:val="24"/>
          <w:lang w:val="en-GB"/>
        </w:rPr>
        <w:t>ing</w:t>
      </w:r>
      <w:r w:rsidRPr="0001617C">
        <w:rPr>
          <w:rFonts w:cs="Times New Roman"/>
          <w:sz w:val="24"/>
          <w:szCs w:val="24"/>
          <w:lang w:val="en-GB"/>
        </w:rPr>
        <w:t xml:space="preserve"> that a </w:t>
      </w:r>
      <w:r w:rsidR="00760178" w:rsidRPr="0001617C">
        <w:rPr>
          <w:rFonts w:cs="Times New Roman"/>
          <w:sz w:val="24"/>
          <w:szCs w:val="24"/>
          <w:lang w:val="en-GB"/>
        </w:rPr>
        <w:t>judgement</w:t>
      </w:r>
      <w:r w:rsidRPr="0001617C">
        <w:rPr>
          <w:rFonts w:cs="Times New Roman"/>
          <w:sz w:val="24"/>
          <w:szCs w:val="24"/>
          <w:lang w:val="en-GB"/>
        </w:rPr>
        <w:t xml:space="preserve"> </w:t>
      </w:r>
      <w:r w:rsidR="002C2167" w:rsidRPr="0001617C">
        <w:rPr>
          <w:rFonts w:cs="Times New Roman"/>
          <w:sz w:val="24"/>
          <w:szCs w:val="24"/>
          <w:lang w:val="en-GB"/>
        </w:rPr>
        <w:t>entered in the terms of an</w:t>
      </w:r>
      <w:r w:rsidRPr="0001617C">
        <w:rPr>
          <w:rFonts w:cs="Times New Roman"/>
          <w:sz w:val="24"/>
          <w:szCs w:val="24"/>
          <w:lang w:val="en-GB"/>
        </w:rPr>
        <w:t xml:space="preserve"> award under section 66 of the English Arbitration Act 1996 </w:t>
      </w:r>
      <w:r w:rsidR="00586446" w:rsidRPr="0001617C">
        <w:rPr>
          <w:rFonts w:cs="Times New Roman"/>
          <w:i/>
          <w:iCs/>
          <w:sz w:val="24"/>
          <w:szCs w:val="24"/>
          <w:lang w:val="en-GB"/>
        </w:rPr>
        <w:t>can</w:t>
      </w:r>
      <w:r w:rsidRPr="0001617C">
        <w:rPr>
          <w:rFonts w:cs="Times New Roman"/>
          <w:i/>
          <w:iCs/>
          <w:sz w:val="24"/>
          <w:szCs w:val="24"/>
          <w:lang w:val="en-GB"/>
        </w:rPr>
        <w:t xml:space="preserve"> </w:t>
      </w:r>
      <w:r w:rsidRPr="0001617C">
        <w:rPr>
          <w:rFonts w:cs="Times New Roman"/>
          <w:sz w:val="24"/>
          <w:szCs w:val="24"/>
          <w:lang w:val="en-GB"/>
        </w:rPr>
        <w:t xml:space="preserve">constitute a relevant </w:t>
      </w:r>
      <w:r w:rsidR="0029009F" w:rsidRPr="0001617C">
        <w:rPr>
          <w:rFonts w:cs="Times New Roman"/>
          <w:sz w:val="24"/>
          <w:szCs w:val="24"/>
          <w:lang w:val="en-GB"/>
        </w:rPr>
        <w:t>“</w:t>
      </w:r>
      <w:r w:rsidR="00EE2F97" w:rsidRPr="0001617C">
        <w:rPr>
          <w:rFonts w:cs="Times New Roman"/>
          <w:sz w:val="24"/>
          <w:szCs w:val="24"/>
          <w:lang w:val="en-GB"/>
        </w:rPr>
        <w:t>judgement</w:t>
      </w:r>
      <w:r w:rsidR="0029009F" w:rsidRPr="0001617C">
        <w:rPr>
          <w:rFonts w:cs="Times New Roman"/>
          <w:sz w:val="24"/>
          <w:szCs w:val="24"/>
          <w:lang w:val="en-GB"/>
        </w:rPr>
        <w:t>”</w:t>
      </w:r>
      <w:r w:rsidRPr="0001617C">
        <w:rPr>
          <w:rFonts w:cs="Times New Roman"/>
          <w:sz w:val="24"/>
          <w:szCs w:val="24"/>
          <w:lang w:val="en-GB"/>
        </w:rPr>
        <w:t xml:space="preserve"> of the Member State </w:t>
      </w:r>
      <w:r w:rsidR="00107EDF" w:rsidRPr="0001617C">
        <w:rPr>
          <w:rFonts w:cs="Times New Roman"/>
          <w:sz w:val="24"/>
          <w:szCs w:val="24"/>
          <w:lang w:val="en-GB"/>
        </w:rPr>
        <w:t xml:space="preserve">in which recognition is sought </w:t>
      </w:r>
      <w:r w:rsidRPr="0001617C">
        <w:rPr>
          <w:rFonts w:cs="Times New Roman"/>
          <w:sz w:val="24"/>
          <w:szCs w:val="24"/>
          <w:lang w:val="en-GB"/>
        </w:rPr>
        <w:t xml:space="preserve">for the purposes of Article 34(3) of Regulation (EC) 44/2001, even though it does not fall within the scope of that Regulation under Article 1(2)(d) of Regulation (EC) 44/2001. </w:t>
      </w:r>
      <w:r w:rsidR="006B20DF" w:rsidRPr="0001617C">
        <w:rPr>
          <w:rFonts w:cs="Times New Roman"/>
          <w:sz w:val="24"/>
          <w:szCs w:val="24"/>
          <w:lang w:val="en-GB"/>
        </w:rPr>
        <w:t xml:space="preserve">The fact that the judgment is for the enforcement of an award and that arbitration is excluded from its scope </w:t>
      </w:r>
      <w:r w:rsidRPr="0001617C">
        <w:rPr>
          <w:rFonts w:cs="Times New Roman"/>
          <w:sz w:val="24"/>
          <w:szCs w:val="24"/>
          <w:lang w:val="en-GB"/>
        </w:rPr>
        <w:t xml:space="preserve">does not preclude it from being considered a judgment for the purposes of Regulation (EC) 44/2001. </w:t>
      </w:r>
    </w:p>
    <w:p w14:paraId="6750BEFB" w14:textId="29B198C6" w:rsidR="00E23A92" w:rsidRPr="0001617C" w:rsidRDefault="00BB539D">
      <w:pPr>
        <w:spacing w:before="120" w:after="120" w:line="240" w:lineRule="auto"/>
        <w:jc w:val="both"/>
        <w:rPr>
          <w:rFonts w:eastAsia="Times New Roman" w:cs="Times New Roman"/>
          <w:color w:val="000000"/>
          <w:sz w:val="24"/>
          <w:szCs w:val="24"/>
          <w:lang w:val="en-GB" w:eastAsia="es-ES"/>
        </w:rPr>
      </w:pPr>
      <w:r w:rsidRPr="0001617C">
        <w:rPr>
          <w:rFonts w:eastAsia="Times New Roman" w:cs="Times New Roman"/>
          <w:color w:val="000000"/>
          <w:sz w:val="24"/>
          <w:szCs w:val="24"/>
          <w:lang w:val="en-GB" w:eastAsia="es-ES"/>
        </w:rPr>
        <w:t xml:space="preserve">The judgment of 20 June 2022 </w:t>
      </w:r>
      <w:r w:rsidR="003F16B6" w:rsidRPr="0001617C">
        <w:rPr>
          <w:rFonts w:eastAsia="Times New Roman" w:cs="Times New Roman"/>
          <w:color w:val="000000"/>
          <w:sz w:val="24"/>
          <w:szCs w:val="24"/>
          <w:lang w:val="en-GB" w:eastAsia="es-ES"/>
        </w:rPr>
        <w:t>of the</w:t>
      </w:r>
      <w:bookmarkStart w:id="7" w:name="_Hlk138160659"/>
      <w:r w:rsidR="003F16B6" w:rsidRPr="0001617C">
        <w:rPr>
          <w:rFonts w:eastAsia="Times New Roman" w:cs="Times New Roman"/>
          <w:color w:val="000000"/>
          <w:sz w:val="24"/>
          <w:szCs w:val="24"/>
          <w:lang w:val="en-GB" w:eastAsia="es-ES"/>
        </w:rPr>
        <w:t xml:space="preserve"> Court of Justice of the European Union</w:t>
      </w:r>
      <w:bookmarkEnd w:id="7"/>
      <w:r w:rsidR="00E60924" w:rsidRPr="0001617C">
        <w:rPr>
          <w:rFonts w:eastAsia="Times New Roman" w:cs="Times New Roman"/>
          <w:color w:val="000000"/>
          <w:sz w:val="24"/>
          <w:szCs w:val="24"/>
          <w:lang w:val="en-GB" w:eastAsia="es-ES"/>
        </w:rPr>
        <w:t xml:space="preserve"> does not share the view of the Advocate General</w:t>
      </w:r>
      <w:r w:rsidR="00F12C42" w:rsidRPr="0001617C">
        <w:rPr>
          <w:rFonts w:eastAsia="Times New Roman" w:cs="Times New Roman"/>
          <w:color w:val="000000"/>
          <w:sz w:val="24"/>
          <w:szCs w:val="24"/>
          <w:lang w:val="en-GB" w:eastAsia="es-ES"/>
        </w:rPr>
        <w:t>.</w:t>
      </w:r>
      <w:r w:rsidR="003F16B6" w:rsidRPr="0001617C">
        <w:rPr>
          <w:rStyle w:val="Refdenotaalpie"/>
          <w:rFonts w:eastAsia="Times New Roman" w:cs="Times New Roman"/>
          <w:color w:val="000000"/>
          <w:sz w:val="24"/>
          <w:szCs w:val="24"/>
          <w:lang w:val="en-GB" w:eastAsia="es-ES"/>
        </w:rPr>
        <w:footnoteReference w:id="19"/>
      </w:r>
      <w:r w:rsidRPr="0001617C">
        <w:rPr>
          <w:rFonts w:eastAsia="Times New Roman" w:cs="Times New Roman"/>
          <w:color w:val="000000"/>
          <w:sz w:val="24"/>
          <w:szCs w:val="24"/>
          <w:lang w:val="en-GB" w:eastAsia="es-ES"/>
        </w:rPr>
        <w:t xml:space="preserve"> It accepts </w:t>
      </w:r>
      <w:r w:rsidR="003F16B6" w:rsidRPr="0001617C">
        <w:rPr>
          <w:rFonts w:eastAsia="Times New Roman" w:cs="Times New Roman"/>
          <w:color w:val="000000"/>
          <w:sz w:val="24"/>
          <w:szCs w:val="24"/>
          <w:lang w:val="en-GB" w:eastAsia="es-ES"/>
        </w:rPr>
        <w:t xml:space="preserve">that a judgment given in a Member State of enforcement of an arbitral award </w:t>
      </w:r>
      <w:r w:rsidR="009D46BA" w:rsidRPr="0001617C">
        <w:rPr>
          <w:rFonts w:eastAsia="Times New Roman" w:cs="Times New Roman"/>
          <w:i/>
          <w:iCs/>
          <w:color w:val="000000"/>
          <w:sz w:val="24"/>
          <w:szCs w:val="24"/>
          <w:lang w:val="en-GB" w:eastAsia="es-ES"/>
        </w:rPr>
        <w:t>can</w:t>
      </w:r>
      <w:r w:rsidR="003F16B6" w:rsidRPr="0001617C">
        <w:rPr>
          <w:rFonts w:eastAsia="Times New Roman" w:cs="Times New Roman"/>
          <w:i/>
          <w:iCs/>
          <w:color w:val="000000"/>
          <w:sz w:val="24"/>
          <w:szCs w:val="24"/>
          <w:lang w:val="en-GB" w:eastAsia="es-ES"/>
        </w:rPr>
        <w:t xml:space="preserve"> </w:t>
      </w:r>
      <w:r w:rsidR="003F16B6" w:rsidRPr="0001617C">
        <w:rPr>
          <w:rFonts w:eastAsia="Times New Roman" w:cs="Times New Roman"/>
          <w:color w:val="000000"/>
          <w:sz w:val="24"/>
          <w:szCs w:val="24"/>
          <w:lang w:val="en-GB" w:eastAsia="es-ES"/>
        </w:rPr>
        <w:t xml:space="preserve">be </w:t>
      </w:r>
      <w:r w:rsidR="00E8225D" w:rsidRPr="0001617C">
        <w:rPr>
          <w:rFonts w:eastAsia="Times New Roman" w:cs="Times New Roman"/>
          <w:color w:val="000000"/>
          <w:sz w:val="24"/>
          <w:szCs w:val="24"/>
          <w:lang w:val="en-GB" w:eastAsia="es-ES"/>
        </w:rPr>
        <w:t xml:space="preserve">considered </w:t>
      </w:r>
      <w:r w:rsidR="003F16B6" w:rsidRPr="0001617C">
        <w:rPr>
          <w:rFonts w:eastAsia="Times New Roman" w:cs="Times New Roman"/>
          <w:color w:val="000000"/>
          <w:sz w:val="24"/>
          <w:szCs w:val="24"/>
          <w:lang w:val="en-GB" w:eastAsia="es-ES"/>
        </w:rPr>
        <w:t xml:space="preserve">a judgment for the purposes of Regulation (EC) 44/2001 because of the broad definition of the concept of </w:t>
      </w:r>
      <w:r w:rsidR="0029009F" w:rsidRPr="0001617C">
        <w:rPr>
          <w:rFonts w:eastAsia="Times New Roman" w:cs="Times New Roman"/>
          <w:color w:val="000000"/>
          <w:sz w:val="24"/>
          <w:szCs w:val="24"/>
          <w:lang w:val="en-GB" w:eastAsia="es-ES"/>
        </w:rPr>
        <w:t>“</w:t>
      </w:r>
      <w:r w:rsidR="003F16B6" w:rsidRPr="0001617C">
        <w:rPr>
          <w:rFonts w:eastAsia="Times New Roman" w:cs="Times New Roman"/>
          <w:color w:val="000000"/>
          <w:sz w:val="24"/>
          <w:szCs w:val="24"/>
          <w:lang w:val="en-GB" w:eastAsia="es-ES"/>
        </w:rPr>
        <w:t>judgment</w:t>
      </w:r>
      <w:r w:rsidR="0029009F" w:rsidRPr="0001617C">
        <w:rPr>
          <w:rFonts w:eastAsia="Times New Roman" w:cs="Times New Roman"/>
          <w:color w:val="000000"/>
          <w:sz w:val="24"/>
          <w:szCs w:val="24"/>
          <w:lang w:val="en-GB" w:eastAsia="es-ES"/>
        </w:rPr>
        <w:t>”</w:t>
      </w:r>
      <w:r w:rsidR="003F16B6" w:rsidRPr="0001617C">
        <w:rPr>
          <w:rFonts w:eastAsia="Times New Roman" w:cs="Times New Roman"/>
          <w:color w:val="000000"/>
          <w:sz w:val="24"/>
          <w:szCs w:val="24"/>
          <w:lang w:val="en-GB" w:eastAsia="es-ES"/>
        </w:rPr>
        <w:t xml:space="preserve"> given in Article 32 of Regulation (EC) 44/2001 (paragraphs 48 and 49). The exclusion of a matter from the scope of Regulation (EC) 44/2001 does not prevent a judgment relating to such a matter from being covered by Art. 34(3) Regulation (EC) 44/2001. Moreover, a judicial decision enforcing an award may preclude the recognition of a decision given in another Member State </w:t>
      </w:r>
      <w:r w:rsidR="0082315B" w:rsidRPr="0001617C">
        <w:rPr>
          <w:rFonts w:eastAsia="Times New Roman" w:cs="Times New Roman"/>
          <w:color w:val="000000"/>
          <w:sz w:val="24"/>
          <w:szCs w:val="24"/>
          <w:lang w:val="en-GB" w:eastAsia="es-ES"/>
        </w:rPr>
        <w:t xml:space="preserve">with </w:t>
      </w:r>
      <w:r w:rsidR="003F16B6" w:rsidRPr="0001617C">
        <w:rPr>
          <w:rFonts w:eastAsia="Times New Roman" w:cs="Times New Roman"/>
          <w:color w:val="000000"/>
          <w:sz w:val="24"/>
          <w:szCs w:val="24"/>
          <w:lang w:val="en-GB" w:eastAsia="es-ES"/>
        </w:rPr>
        <w:t>which</w:t>
      </w:r>
      <w:r w:rsidR="0082315B" w:rsidRPr="0001617C">
        <w:rPr>
          <w:rFonts w:eastAsia="Times New Roman" w:cs="Times New Roman"/>
          <w:color w:val="000000"/>
          <w:sz w:val="24"/>
          <w:szCs w:val="24"/>
          <w:lang w:val="en-GB" w:eastAsia="es-ES"/>
        </w:rPr>
        <w:t xml:space="preserve"> it</w:t>
      </w:r>
      <w:r w:rsidR="003F16B6" w:rsidRPr="0001617C">
        <w:rPr>
          <w:rFonts w:eastAsia="Times New Roman" w:cs="Times New Roman"/>
          <w:color w:val="000000"/>
          <w:sz w:val="24"/>
          <w:szCs w:val="24"/>
          <w:lang w:val="en-GB" w:eastAsia="es-ES"/>
        </w:rPr>
        <w:t xml:space="preserve"> is irreconcilable (paragraphs 51 to 53)</w:t>
      </w:r>
      <w:r w:rsidR="005F278A" w:rsidRPr="0001617C">
        <w:rPr>
          <w:rFonts w:eastAsia="Times New Roman" w:cs="Times New Roman"/>
          <w:color w:val="000000"/>
          <w:sz w:val="24"/>
          <w:szCs w:val="24"/>
          <w:lang w:val="en-GB" w:eastAsia="es-ES"/>
        </w:rPr>
        <w:t xml:space="preserve">. </w:t>
      </w:r>
    </w:p>
    <w:p w14:paraId="77929705" w14:textId="340EB6EE" w:rsidR="00E23A92" w:rsidRPr="0001617C" w:rsidRDefault="00BB539D">
      <w:pPr>
        <w:spacing w:before="120" w:after="120" w:line="240" w:lineRule="auto"/>
        <w:jc w:val="both"/>
        <w:rPr>
          <w:rFonts w:eastAsia="Times New Roman" w:cs="Times New Roman"/>
          <w:color w:val="000000"/>
          <w:sz w:val="24"/>
          <w:szCs w:val="24"/>
          <w:lang w:val="en-GB" w:eastAsia="es-ES"/>
        </w:rPr>
      </w:pPr>
      <w:r w:rsidRPr="0001617C">
        <w:rPr>
          <w:rFonts w:eastAsia="Times New Roman" w:cs="Times New Roman"/>
          <w:color w:val="000000"/>
          <w:sz w:val="24"/>
          <w:szCs w:val="24"/>
          <w:lang w:val="en-GB" w:eastAsia="es-ES"/>
        </w:rPr>
        <w:t xml:space="preserve">However, </w:t>
      </w:r>
      <w:r w:rsidR="00E60924" w:rsidRPr="0001617C">
        <w:rPr>
          <w:rFonts w:eastAsia="Times New Roman" w:cs="Times New Roman"/>
          <w:color w:val="000000"/>
          <w:sz w:val="24"/>
          <w:szCs w:val="24"/>
          <w:lang w:val="en-GB" w:eastAsia="es-ES"/>
        </w:rPr>
        <w:t xml:space="preserve">paragraphs 54 to 73 </w:t>
      </w:r>
      <w:r w:rsidR="00143B65" w:rsidRPr="0001617C">
        <w:rPr>
          <w:rFonts w:eastAsia="Times New Roman" w:cs="Times New Roman"/>
          <w:color w:val="000000"/>
          <w:sz w:val="24"/>
          <w:szCs w:val="24"/>
          <w:lang w:val="en-GB" w:eastAsia="es-ES"/>
        </w:rPr>
        <w:t xml:space="preserve">of the judgment of the Court of Justice of the European Union </w:t>
      </w:r>
      <w:r w:rsidR="00E60924" w:rsidRPr="0001617C">
        <w:rPr>
          <w:rFonts w:eastAsia="Times New Roman" w:cs="Times New Roman"/>
          <w:color w:val="000000"/>
          <w:sz w:val="24"/>
          <w:szCs w:val="24"/>
          <w:lang w:val="en-GB" w:eastAsia="es-ES"/>
        </w:rPr>
        <w:t>complete</w:t>
      </w:r>
      <w:r w:rsidR="00F82F73" w:rsidRPr="0001617C">
        <w:rPr>
          <w:rFonts w:eastAsia="Times New Roman" w:cs="Times New Roman"/>
          <w:color w:val="000000"/>
          <w:sz w:val="24"/>
          <w:szCs w:val="24"/>
          <w:lang w:val="en-GB" w:eastAsia="es-ES"/>
        </w:rPr>
        <w:t>ly disagree with</w:t>
      </w:r>
      <w:r w:rsidR="00E60924" w:rsidRPr="0001617C">
        <w:rPr>
          <w:rFonts w:eastAsia="Times New Roman" w:cs="Times New Roman"/>
          <w:color w:val="000000"/>
          <w:sz w:val="24"/>
          <w:szCs w:val="24"/>
          <w:lang w:val="en-GB" w:eastAsia="es-ES"/>
        </w:rPr>
        <w:t xml:space="preserve"> the </w:t>
      </w:r>
      <w:r w:rsidR="003F23B0" w:rsidRPr="0001617C">
        <w:rPr>
          <w:rFonts w:eastAsia="Times New Roman" w:cs="Times New Roman"/>
          <w:color w:val="000000"/>
          <w:sz w:val="24"/>
          <w:szCs w:val="24"/>
          <w:lang w:val="en-GB" w:eastAsia="es-ES"/>
        </w:rPr>
        <w:t xml:space="preserve">High Court </w:t>
      </w:r>
      <w:r w:rsidR="006350B6" w:rsidRPr="0001617C">
        <w:rPr>
          <w:rFonts w:eastAsia="Times New Roman" w:cs="Times New Roman"/>
          <w:color w:val="000000"/>
          <w:sz w:val="24"/>
          <w:szCs w:val="24"/>
          <w:lang w:val="en-GB" w:eastAsia="es-ES"/>
        </w:rPr>
        <w:t xml:space="preserve">judgment </w:t>
      </w:r>
      <w:r w:rsidR="003F23B0" w:rsidRPr="0001617C">
        <w:rPr>
          <w:rFonts w:eastAsia="Times New Roman" w:cs="Times New Roman"/>
          <w:color w:val="000000"/>
          <w:sz w:val="24"/>
          <w:szCs w:val="24"/>
          <w:lang w:val="en-GB" w:eastAsia="es-ES"/>
        </w:rPr>
        <w:t>of</w:t>
      </w:r>
      <w:r w:rsidR="003F23B0" w:rsidRPr="0001617C">
        <w:rPr>
          <w:rFonts w:eastAsia="Times New Roman" w:cs="Times New Roman"/>
          <w:i/>
          <w:iCs/>
          <w:color w:val="000000"/>
          <w:sz w:val="24"/>
          <w:szCs w:val="24"/>
          <w:lang w:val="en-GB" w:eastAsia="es-ES"/>
        </w:rPr>
        <w:t xml:space="preserve"> </w:t>
      </w:r>
      <w:r w:rsidR="003F23B0" w:rsidRPr="0001617C">
        <w:rPr>
          <w:rFonts w:eastAsia="Times New Roman" w:cs="Times New Roman"/>
          <w:color w:val="000000"/>
          <w:sz w:val="24"/>
          <w:szCs w:val="24"/>
          <w:lang w:val="en-GB" w:eastAsia="es-ES"/>
        </w:rPr>
        <w:t>22 October 2013, on the following grounds</w:t>
      </w:r>
      <w:r w:rsidR="00E60924" w:rsidRPr="0001617C">
        <w:rPr>
          <w:rFonts w:eastAsia="Times New Roman" w:cs="Times New Roman"/>
          <w:color w:val="000000"/>
          <w:sz w:val="24"/>
          <w:szCs w:val="24"/>
          <w:lang w:val="en-GB" w:eastAsia="es-ES"/>
        </w:rPr>
        <w:t xml:space="preserve">: </w:t>
      </w:r>
    </w:p>
    <w:p w14:paraId="4DB89446" w14:textId="0A3A0FF6" w:rsidR="00E23A92" w:rsidRPr="0001617C" w:rsidRDefault="00BB539D">
      <w:pPr>
        <w:pStyle w:val="Prrafodelista"/>
        <w:numPr>
          <w:ilvl w:val="0"/>
          <w:numId w:val="45"/>
        </w:numPr>
        <w:spacing w:before="120" w:after="120" w:line="240" w:lineRule="auto"/>
        <w:jc w:val="both"/>
        <w:rPr>
          <w:rFonts w:cs="Times New Roman"/>
          <w:color w:val="000000" w:themeColor="text1"/>
          <w:sz w:val="24"/>
          <w:szCs w:val="24"/>
          <w:lang w:val="en-GB"/>
        </w:rPr>
      </w:pPr>
      <w:r w:rsidRPr="0001617C">
        <w:rPr>
          <w:rFonts w:eastAsia="Times New Roman" w:cs="Times New Roman"/>
          <w:color w:val="000000" w:themeColor="text1"/>
          <w:sz w:val="24"/>
          <w:szCs w:val="24"/>
          <w:lang w:val="en-GB" w:eastAsia="es-ES"/>
        </w:rPr>
        <w:t xml:space="preserve">A judgment </w:t>
      </w:r>
      <w:r w:rsidR="00297879" w:rsidRPr="0001617C">
        <w:rPr>
          <w:rFonts w:eastAsia="Times New Roman" w:cs="Times New Roman"/>
          <w:color w:val="000000" w:themeColor="text1"/>
          <w:sz w:val="24"/>
          <w:szCs w:val="24"/>
          <w:lang w:val="en-GB" w:eastAsia="es-ES"/>
        </w:rPr>
        <w:t xml:space="preserve">enforcing an award may </w:t>
      </w:r>
      <w:r w:rsidR="0011753D" w:rsidRPr="0001617C">
        <w:rPr>
          <w:rFonts w:eastAsia="Times New Roman" w:cs="Times New Roman"/>
          <w:color w:val="000000" w:themeColor="text1"/>
          <w:sz w:val="24"/>
          <w:szCs w:val="24"/>
          <w:lang w:val="en-GB" w:eastAsia="es-ES"/>
        </w:rPr>
        <w:t>constitute</w:t>
      </w:r>
      <w:r w:rsidR="00297879" w:rsidRPr="0001617C">
        <w:rPr>
          <w:rFonts w:eastAsia="Times New Roman" w:cs="Times New Roman"/>
          <w:color w:val="000000" w:themeColor="text1"/>
          <w:sz w:val="24"/>
          <w:szCs w:val="24"/>
          <w:lang w:val="en-GB" w:eastAsia="es-ES"/>
        </w:rPr>
        <w:t xml:space="preserve"> a judgment </w:t>
      </w:r>
      <w:r w:rsidR="0011753D" w:rsidRPr="0001617C">
        <w:rPr>
          <w:rFonts w:eastAsia="Times New Roman" w:cs="Times New Roman"/>
          <w:color w:val="000000" w:themeColor="text1"/>
          <w:sz w:val="24"/>
          <w:szCs w:val="24"/>
          <w:lang w:val="en-GB" w:eastAsia="es-ES"/>
        </w:rPr>
        <w:t>within the meaning</w:t>
      </w:r>
      <w:r w:rsidR="00297879" w:rsidRPr="0001617C">
        <w:rPr>
          <w:rFonts w:eastAsia="Times New Roman" w:cs="Times New Roman"/>
          <w:color w:val="000000" w:themeColor="text1"/>
          <w:sz w:val="24"/>
          <w:szCs w:val="24"/>
          <w:lang w:val="en-GB" w:eastAsia="es-ES"/>
        </w:rPr>
        <w:t xml:space="preserve"> of Regulation (EC) 44/2001, but </w:t>
      </w:r>
      <w:r w:rsidR="0029009F" w:rsidRPr="0001617C">
        <w:rPr>
          <w:rFonts w:eastAsia="Times New Roman" w:cs="Times New Roman"/>
          <w:color w:val="000000" w:themeColor="text1"/>
          <w:sz w:val="24"/>
          <w:szCs w:val="24"/>
          <w:lang w:val="en-GB" w:eastAsia="es-ES"/>
        </w:rPr>
        <w:t>“</w:t>
      </w:r>
      <w:r w:rsidR="000A2E36" w:rsidRPr="0001617C">
        <w:rPr>
          <w:i/>
          <w:iCs/>
          <w:color w:val="000000" w:themeColor="text1"/>
          <w:sz w:val="24"/>
          <w:szCs w:val="24"/>
          <w:shd w:val="clear" w:color="auto" w:fill="FFFFFF"/>
          <w:lang w:val="en-GB"/>
        </w:rPr>
        <w:t>the position is different where the award in the terms of which that judgment was entered was made in circumstances which would not have permitted the adoption, in compliance with the provisions and fundamental objectives of that regulation, of a judicial decision falling within the scope of that regulation</w:t>
      </w:r>
      <w:r w:rsidR="0029009F" w:rsidRPr="0001617C">
        <w:rPr>
          <w:color w:val="000000" w:themeColor="text1"/>
          <w:sz w:val="24"/>
          <w:szCs w:val="24"/>
          <w:shd w:val="clear" w:color="auto" w:fill="FFFFFF"/>
          <w:lang w:val="en-GB"/>
        </w:rPr>
        <w:t>”</w:t>
      </w:r>
      <w:r w:rsidR="00E60924" w:rsidRPr="0001617C">
        <w:rPr>
          <w:color w:val="000000" w:themeColor="text1"/>
          <w:sz w:val="24"/>
          <w:szCs w:val="24"/>
          <w:shd w:val="clear" w:color="auto" w:fill="FFFFFF"/>
          <w:lang w:val="en-GB"/>
        </w:rPr>
        <w:t xml:space="preserve"> (paragraph 54). </w:t>
      </w:r>
    </w:p>
    <w:p w14:paraId="3D1D2C34" w14:textId="755B9C68" w:rsidR="00E23A92" w:rsidRPr="0001617C" w:rsidRDefault="00BB539D">
      <w:pPr>
        <w:pStyle w:val="Prrafodelista"/>
        <w:numPr>
          <w:ilvl w:val="0"/>
          <w:numId w:val="45"/>
        </w:numPr>
        <w:spacing w:before="120" w:after="120" w:line="240" w:lineRule="auto"/>
        <w:jc w:val="both"/>
        <w:rPr>
          <w:rFonts w:cs="Times New Roman"/>
          <w:color w:val="000000" w:themeColor="text1"/>
          <w:sz w:val="24"/>
          <w:szCs w:val="24"/>
          <w:lang w:val="en-GB"/>
        </w:rPr>
      </w:pPr>
      <w:r w:rsidRPr="0001617C">
        <w:rPr>
          <w:rFonts w:cs="Times New Roman"/>
          <w:color w:val="000000" w:themeColor="text1"/>
          <w:sz w:val="24"/>
          <w:szCs w:val="24"/>
          <w:lang w:val="en-GB"/>
        </w:rPr>
        <w:t xml:space="preserve">It warns of </w:t>
      </w:r>
      <w:r w:rsidR="00CB7610" w:rsidRPr="0001617C">
        <w:rPr>
          <w:rFonts w:cs="Times New Roman"/>
          <w:color w:val="000000" w:themeColor="text1"/>
          <w:sz w:val="24"/>
          <w:szCs w:val="24"/>
          <w:lang w:val="en-GB"/>
        </w:rPr>
        <w:t xml:space="preserve">infringement of the </w:t>
      </w:r>
      <w:r w:rsidR="003F16B6" w:rsidRPr="0001617C">
        <w:rPr>
          <w:rFonts w:cs="Times New Roman"/>
          <w:color w:val="000000" w:themeColor="text1"/>
          <w:sz w:val="24"/>
          <w:szCs w:val="24"/>
          <w:lang w:val="en-GB"/>
        </w:rPr>
        <w:t xml:space="preserve">principles of </w:t>
      </w:r>
      <w:r w:rsidR="005E3F4A" w:rsidRPr="0001617C">
        <w:rPr>
          <w:rFonts w:cs="Times New Roman"/>
          <w:color w:val="000000" w:themeColor="text1"/>
          <w:sz w:val="24"/>
          <w:szCs w:val="24"/>
          <w:lang w:val="en-GB"/>
        </w:rPr>
        <w:t>“</w:t>
      </w:r>
      <w:r w:rsidR="003F16B6" w:rsidRPr="0001617C">
        <w:rPr>
          <w:rFonts w:cs="Times New Roman"/>
          <w:i/>
          <w:iCs/>
          <w:color w:val="000000" w:themeColor="text1"/>
          <w:sz w:val="24"/>
          <w:szCs w:val="24"/>
          <w:lang w:val="en-GB"/>
        </w:rPr>
        <w:t>free movement of judgments</w:t>
      </w:r>
      <w:r w:rsidR="005E3F4A" w:rsidRPr="0001617C">
        <w:rPr>
          <w:rFonts w:cs="Times New Roman"/>
          <w:color w:val="000000" w:themeColor="text1"/>
          <w:sz w:val="24"/>
          <w:szCs w:val="24"/>
          <w:lang w:val="en-GB"/>
        </w:rPr>
        <w:t>,”</w:t>
      </w:r>
      <w:r w:rsidR="003F16B6" w:rsidRPr="0001617C">
        <w:rPr>
          <w:rFonts w:cs="Times New Roman"/>
          <w:color w:val="000000" w:themeColor="text1"/>
          <w:sz w:val="24"/>
          <w:szCs w:val="24"/>
          <w:lang w:val="en-GB"/>
        </w:rPr>
        <w:t xml:space="preserve"> </w:t>
      </w:r>
      <w:r w:rsidR="005E3F4A" w:rsidRPr="0001617C">
        <w:rPr>
          <w:rFonts w:cs="Times New Roman"/>
          <w:color w:val="000000" w:themeColor="text1"/>
          <w:sz w:val="24"/>
          <w:szCs w:val="24"/>
          <w:lang w:val="en-GB"/>
        </w:rPr>
        <w:t>“</w:t>
      </w:r>
      <w:r w:rsidR="003F16B6" w:rsidRPr="0001617C">
        <w:rPr>
          <w:rFonts w:cs="Times New Roman"/>
          <w:i/>
          <w:iCs/>
          <w:color w:val="000000" w:themeColor="text1"/>
          <w:sz w:val="24"/>
          <w:szCs w:val="24"/>
          <w:lang w:val="en-GB"/>
        </w:rPr>
        <w:t xml:space="preserve">predictability </w:t>
      </w:r>
      <w:r w:rsidR="00910F5F" w:rsidRPr="0001617C">
        <w:rPr>
          <w:rFonts w:cs="Times New Roman"/>
          <w:i/>
          <w:iCs/>
          <w:color w:val="000000" w:themeColor="text1"/>
          <w:sz w:val="24"/>
          <w:szCs w:val="24"/>
          <w:lang w:val="en-GB"/>
        </w:rPr>
        <w:t>as to</w:t>
      </w:r>
      <w:r w:rsidR="003F16B6" w:rsidRPr="0001617C">
        <w:rPr>
          <w:rFonts w:cs="Times New Roman"/>
          <w:i/>
          <w:iCs/>
          <w:color w:val="000000" w:themeColor="text1"/>
          <w:sz w:val="24"/>
          <w:szCs w:val="24"/>
          <w:lang w:val="en-GB"/>
        </w:rPr>
        <w:t xml:space="preserve"> the courts having jurisdiction</w:t>
      </w:r>
      <w:r w:rsidR="00A56F59" w:rsidRPr="0001617C">
        <w:rPr>
          <w:rFonts w:cs="Times New Roman"/>
          <w:i/>
          <w:iCs/>
          <w:color w:val="000000" w:themeColor="text1"/>
          <w:sz w:val="24"/>
          <w:szCs w:val="24"/>
          <w:lang w:val="en-GB"/>
        </w:rPr>
        <w:t>,</w:t>
      </w:r>
      <w:r w:rsidR="005E3F4A" w:rsidRPr="0001617C">
        <w:rPr>
          <w:rFonts w:cs="Times New Roman"/>
          <w:color w:val="000000" w:themeColor="text1"/>
          <w:sz w:val="24"/>
          <w:szCs w:val="24"/>
          <w:lang w:val="en-GB"/>
        </w:rPr>
        <w:t>”</w:t>
      </w:r>
      <w:r w:rsidR="003F16B6" w:rsidRPr="0001617C">
        <w:rPr>
          <w:rFonts w:cs="Times New Roman"/>
          <w:color w:val="000000" w:themeColor="text1"/>
          <w:sz w:val="24"/>
          <w:szCs w:val="24"/>
          <w:lang w:val="en-GB"/>
        </w:rPr>
        <w:t xml:space="preserve"> </w:t>
      </w:r>
      <w:r w:rsidR="00A56F59" w:rsidRPr="0001617C">
        <w:rPr>
          <w:rFonts w:cs="Times New Roman"/>
          <w:color w:val="000000" w:themeColor="text1"/>
          <w:sz w:val="24"/>
          <w:szCs w:val="24"/>
          <w:lang w:val="en-GB"/>
        </w:rPr>
        <w:t>“</w:t>
      </w:r>
      <w:r w:rsidR="003F16B6" w:rsidRPr="0001617C">
        <w:rPr>
          <w:rFonts w:cs="Times New Roman"/>
          <w:i/>
          <w:iCs/>
          <w:color w:val="000000" w:themeColor="text1"/>
          <w:sz w:val="24"/>
          <w:szCs w:val="24"/>
          <w:lang w:val="en-GB"/>
        </w:rPr>
        <w:t xml:space="preserve">legal certainty for </w:t>
      </w:r>
      <w:r w:rsidR="00910F5F" w:rsidRPr="0001617C">
        <w:rPr>
          <w:rFonts w:cs="Times New Roman"/>
          <w:i/>
          <w:iCs/>
          <w:color w:val="000000" w:themeColor="text1"/>
          <w:sz w:val="24"/>
          <w:szCs w:val="24"/>
          <w:lang w:val="en-GB"/>
        </w:rPr>
        <w:t>litigants</w:t>
      </w:r>
      <w:r w:rsidR="00A56F59" w:rsidRPr="0001617C">
        <w:rPr>
          <w:rFonts w:cs="Times New Roman"/>
          <w:i/>
          <w:iCs/>
          <w:color w:val="000000" w:themeColor="text1"/>
          <w:sz w:val="24"/>
          <w:szCs w:val="24"/>
          <w:lang w:val="en-GB"/>
        </w:rPr>
        <w:t>,</w:t>
      </w:r>
      <w:r w:rsidR="00A56F59" w:rsidRPr="0001617C">
        <w:rPr>
          <w:rFonts w:cs="Times New Roman"/>
          <w:color w:val="000000" w:themeColor="text1"/>
          <w:sz w:val="24"/>
          <w:szCs w:val="24"/>
          <w:lang w:val="en-GB"/>
        </w:rPr>
        <w:t>”</w:t>
      </w:r>
      <w:r w:rsidR="003F16B6" w:rsidRPr="0001617C">
        <w:rPr>
          <w:rFonts w:cs="Times New Roman"/>
          <w:color w:val="000000" w:themeColor="text1"/>
          <w:sz w:val="24"/>
          <w:szCs w:val="24"/>
          <w:lang w:val="en-GB"/>
        </w:rPr>
        <w:t xml:space="preserve"> </w:t>
      </w:r>
      <w:r w:rsidR="00A56F59" w:rsidRPr="0001617C">
        <w:rPr>
          <w:rFonts w:cs="Times New Roman"/>
          <w:color w:val="000000" w:themeColor="text1"/>
          <w:sz w:val="24"/>
          <w:szCs w:val="24"/>
          <w:lang w:val="en-GB"/>
        </w:rPr>
        <w:t>“</w:t>
      </w:r>
      <w:r w:rsidR="003F16B6" w:rsidRPr="0001617C">
        <w:rPr>
          <w:rFonts w:cs="Times New Roman"/>
          <w:i/>
          <w:iCs/>
          <w:color w:val="000000" w:themeColor="text1"/>
          <w:sz w:val="24"/>
          <w:szCs w:val="24"/>
          <w:lang w:val="en-GB"/>
        </w:rPr>
        <w:t>sound administration of justice</w:t>
      </w:r>
      <w:r w:rsidR="00A56F59" w:rsidRPr="0001617C">
        <w:rPr>
          <w:rFonts w:cs="Times New Roman"/>
          <w:color w:val="000000" w:themeColor="text1"/>
          <w:sz w:val="24"/>
          <w:szCs w:val="24"/>
          <w:lang w:val="en-GB"/>
        </w:rPr>
        <w:t>,”</w:t>
      </w:r>
      <w:r w:rsidR="003F16B6" w:rsidRPr="0001617C">
        <w:rPr>
          <w:rFonts w:cs="Times New Roman"/>
          <w:color w:val="000000" w:themeColor="text1"/>
          <w:sz w:val="24"/>
          <w:szCs w:val="24"/>
          <w:lang w:val="en-GB"/>
        </w:rPr>
        <w:t xml:space="preserve"> </w:t>
      </w:r>
      <w:r w:rsidR="00A56F59" w:rsidRPr="0001617C">
        <w:rPr>
          <w:rFonts w:cs="Times New Roman"/>
          <w:color w:val="000000" w:themeColor="text1"/>
          <w:sz w:val="24"/>
          <w:szCs w:val="24"/>
          <w:lang w:val="en-GB"/>
        </w:rPr>
        <w:t>“</w:t>
      </w:r>
      <w:r w:rsidR="003F16B6" w:rsidRPr="0001617C">
        <w:rPr>
          <w:rFonts w:cs="Times New Roman"/>
          <w:i/>
          <w:iCs/>
          <w:color w:val="000000" w:themeColor="text1"/>
          <w:sz w:val="24"/>
          <w:szCs w:val="24"/>
          <w:lang w:val="en-GB"/>
        </w:rPr>
        <w:t>minimisation of</w:t>
      </w:r>
      <w:r w:rsidR="003F16B6" w:rsidRPr="0001617C">
        <w:rPr>
          <w:rFonts w:cs="Times New Roman"/>
          <w:color w:val="000000" w:themeColor="text1"/>
          <w:sz w:val="24"/>
          <w:szCs w:val="24"/>
          <w:lang w:val="en-GB"/>
        </w:rPr>
        <w:t xml:space="preserve"> </w:t>
      </w:r>
      <w:r w:rsidR="003F16B6" w:rsidRPr="0001617C">
        <w:rPr>
          <w:rFonts w:cs="Times New Roman"/>
          <w:i/>
          <w:iCs/>
          <w:color w:val="000000" w:themeColor="text1"/>
          <w:sz w:val="24"/>
          <w:szCs w:val="24"/>
          <w:lang w:val="en-GB"/>
        </w:rPr>
        <w:t xml:space="preserve">the risk of </w:t>
      </w:r>
      <w:r w:rsidR="00F8623B" w:rsidRPr="0001617C">
        <w:rPr>
          <w:rFonts w:cs="Times New Roman"/>
          <w:i/>
          <w:iCs/>
          <w:color w:val="000000" w:themeColor="text1"/>
          <w:sz w:val="24"/>
          <w:szCs w:val="24"/>
          <w:lang w:val="en-GB"/>
        </w:rPr>
        <w:t>concurrent</w:t>
      </w:r>
      <w:r w:rsidR="003F16B6" w:rsidRPr="0001617C">
        <w:rPr>
          <w:rFonts w:cs="Times New Roman"/>
          <w:i/>
          <w:iCs/>
          <w:color w:val="000000" w:themeColor="text1"/>
          <w:sz w:val="24"/>
          <w:szCs w:val="24"/>
          <w:lang w:val="en-GB"/>
        </w:rPr>
        <w:t xml:space="preserve"> proceedings</w:t>
      </w:r>
      <w:r w:rsidR="00A56F59" w:rsidRPr="0001617C">
        <w:rPr>
          <w:rFonts w:cs="Times New Roman"/>
          <w:color w:val="000000" w:themeColor="text1"/>
          <w:sz w:val="24"/>
          <w:szCs w:val="24"/>
          <w:lang w:val="en-GB"/>
        </w:rPr>
        <w:t>”</w:t>
      </w:r>
      <w:r w:rsidR="003F16B6" w:rsidRPr="0001617C">
        <w:rPr>
          <w:rFonts w:cs="Times New Roman"/>
          <w:color w:val="000000" w:themeColor="text1"/>
          <w:sz w:val="24"/>
          <w:szCs w:val="24"/>
          <w:lang w:val="en-GB"/>
        </w:rPr>
        <w:t xml:space="preserve"> and </w:t>
      </w:r>
      <w:r w:rsidR="00A56F59" w:rsidRPr="0001617C">
        <w:rPr>
          <w:rFonts w:cs="Times New Roman"/>
          <w:color w:val="000000" w:themeColor="text1"/>
          <w:sz w:val="24"/>
          <w:szCs w:val="24"/>
          <w:lang w:val="en-GB"/>
        </w:rPr>
        <w:t>“</w:t>
      </w:r>
      <w:r w:rsidR="003F16B6" w:rsidRPr="0001617C">
        <w:rPr>
          <w:rFonts w:cs="Times New Roman"/>
          <w:i/>
          <w:iCs/>
          <w:color w:val="000000" w:themeColor="text1"/>
          <w:sz w:val="24"/>
          <w:szCs w:val="24"/>
          <w:lang w:val="en-GB"/>
        </w:rPr>
        <w:t xml:space="preserve">mutual trust in </w:t>
      </w:r>
      <w:r w:rsidR="00F8623B" w:rsidRPr="0001617C">
        <w:rPr>
          <w:rFonts w:cs="Times New Roman"/>
          <w:i/>
          <w:iCs/>
          <w:color w:val="000000" w:themeColor="text1"/>
          <w:sz w:val="24"/>
          <w:szCs w:val="24"/>
          <w:lang w:val="en-GB"/>
        </w:rPr>
        <w:t xml:space="preserve">the administration of </w:t>
      </w:r>
      <w:r w:rsidR="003F16B6" w:rsidRPr="0001617C">
        <w:rPr>
          <w:rFonts w:cs="Times New Roman"/>
          <w:i/>
          <w:iCs/>
          <w:color w:val="000000" w:themeColor="text1"/>
          <w:sz w:val="24"/>
          <w:szCs w:val="24"/>
          <w:lang w:val="en-GB"/>
        </w:rPr>
        <w:t>justice</w:t>
      </w:r>
      <w:r w:rsidR="00A56F59" w:rsidRPr="0001617C">
        <w:rPr>
          <w:rFonts w:cs="Times New Roman"/>
          <w:color w:val="000000" w:themeColor="text1"/>
          <w:sz w:val="24"/>
          <w:szCs w:val="24"/>
          <w:lang w:val="en-GB"/>
        </w:rPr>
        <w:t>”</w:t>
      </w:r>
      <w:r w:rsidR="003F16B6" w:rsidRPr="0001617C">
        <w:rPr>
          <w:rFonts w:cs="Times New Roman"/>
          <w:color w:val="000000" w:themeColor="text1"/>
          <w:sz w:val="24"/>
          <w:szCs w:val="24"/>
          <w:lang w:val="en-GB"/>
        </w:rPr>
        <w:t xml:space="preserve"> (paragraph 56). It also refers to the </w:t>
      </w:r>
      <w:r w:rsidR="0029009F" w:rsidRPr="0001617C">
        <w:rPr>
          <w:rFonts w:cs="Times New Roman"/>
          <w:color w:val="000000" w:themeColor="text1"/>
          <w:sz w:val="24"/>
          <w:szCs w:val="24"/>
          <w:lang w:val="en-GB"/>
        </w:rPr>
        <w:t>“</w:t>
      </w:r>
      <w:r w:rsidR="003F16B6" w:rsidRPr="0001617C">
        <w:rPr>
          <w:rFonts w:cs="Times New Roman"/>
          <w:i/>
          <w:iCs/>
          <w:color w:val="000000" w:themeColor="text1"/>
          <w:sz w:val="24"/>
          <w:szCs w:val="24"/>
          <w:lang w:val="en-GB"/>
        </w:rPr>
        <w:t>right to an effective remedy</w:t>
      </w:r>
      <w:r w:rsidR="0029009F" w:rsidRPr="0001617C">
        <w:rPr>
          <w:rFonts w:cs="Times New Roman"/>
          <w:color w:val="000000" w:themeColor="text1"/>
          <w:sz w:val="24"/>
          <w:szCs w:val="24"/>
          <w:lang w:val="en-GB"/>
        </w:rPr>
        <w:t>”</w:t>
      </w:r>
      <w:r w:rsidR="003F16B6" w:rsidRPr="0001617C">
        <w:rPr>
          <w:rFonts w:cs="Times New Roman"/>
          <w:color w:val="000000" w:themeColor="text1"/>
          <w:sz w:val="24"/>
          <w:szCs w:val="24"/>
          <w:lang w:val="en-GB"/>
        </w:rPr>
        <w:t xml:space="preserve"> recognised in Article 47 of the Charter of Fundamental Rights of the European Union (paragraph 58).</w:t>
      </w:r>
    </w:p>
    <w:p w14:paraId="23359A83" w14:textId="3D9A05C7" w:rsidR="00E23A92" w:rsidRPr="0001617C" w:rsidRDefault="00CB7610">
      <w:pPr>
        <w:pStyle w:val="Prrafodelista"/>
        <w:numPr>
          <w:ilvl w:val="0"/>
          <w:numId w:val="45"/>
        </w:numPr>
        <w:spacing w:before="120" w:after="120" w:line="240" w:lineRule="auto"/>
        <w:jc w:val="both"/>
        <w:rPr>
          <w:rFonts w:eastAsia="Times New Roman" w:cs="Times New Roman"/>
          <w:color w:val="000000" w:themeColor="text1"/>
          <w:sz w:val="24"/>
          <w:szCs w:val="24"/>
          <w:lang w:val="en-GB" w:eastAsia="es-ES"/>
        </w:rPr>
      </w:pPr>
      <w:r w:rsidRPr="0001617C">
        <w:rPr>
          <w:rFonts w:eastAsia="Times New Roman" w:cs="Times New Roman"/>
          <w:color w:val="000000" w:themeColor="text1"/>
          <w:sz w:val="24"/>
          <w:szCs w:val="24"/>
          <w:lang w:val="en-GB" w:eastAsia="es-ES"/>
        </w:rPr>
        <w:t xml:space="preserve">The enforcement of an award </w:t>
      </w:r>
      <w:r w:rsidR="003F16B6" w:rsidRPr="0001617C">
        <w:rPr>
          <w:rFonts w:eastAsia="Times New Roman" w:cs="Times New Roman"/>
          <w:color w:val="000000" w:themeColor="text1"/>
          <w:sz w:val="24"/>
          <w:szCs w:val="24"/>
          <w:lang w:val="en-GB" w:eastAsia="es-ES"/>
        </w:rPr>
        <w:t xml:space="preserve">could not have been the subject of a judicial decision falling within the scope of Regulation (EC) 44/2001 </w:t>
      </w:r>
      <w:r w:rsidR="00A56F59" w:rsidRPr="0001617C">
        <w:rPr>
          <w:rFonts w:eastAsia="Times New Roman" w:cs="Times New Roman"/>
          <w:color w:val="000000" w:themeColor="text1"/>
          <w:sz w:val="24"/>
          <w:szCs w:val="24"/>
          <w:lang w:val="en-GB" w:eastAsia="es-ES"/>
        </w:rPr>
        <w:t>“</w:t>
      </w:r>
      <w:r w:rsidR="003F16B6" w:rsidRPr="0001617C">
        <w:rPr>
          <w:rFonts w:eastAsia="Times New Roman" w:cs="Times New Roman"/>
          <w:i/>
          <w:iCs/>
          <w:color w:val="000000" w:themeColor="text1"/>
          <w:sz w:val="24"/>
          <w:szCs w:val="24"/>
          <w:lang w:val="en-GB" w:eastAsia="es-ES"/>
        </w:rPr>
        <w:t xml:space="preserve">without infringing two fundamental rules of that regulation concerning, </w:t>
      </w:r>
      <w:r w:rsidR="00F7672D" w:rsidRPr="0001617C">
        <w:rPr>
          <w:rFonts w:eastAsia="Times New Roman" w:cs="Times New Roman"/>
          <w:i/>
          <w:iCs/>
          <w:color w:val="000000" w:themeColor="text1"/>
          <w:sz w:val="24"/>
          <w:szCs w:val="24"/>
          <w:lang w:val="en-GB" w:eastAsia="es-ES"/>
        </w:rPr>
        <w:t>first</w:t>
      </w:r>
      <w:r w:rsidR="003F16B6" w:rsidRPr="0001617C">
        <w:rPr>
          <w:rFonts w:eastAsia="Times New Roman" w:cs="Times New Roman"/>
          <w:i/>
          <w:iCs/>
          <w:color w:val="000000" w:themeColor="text1"/>
          <w:sz w:val="24"/>
          <w:szCs w:val="24"/>
          <w:lang w:val="en-GB" w:eastAsia="es-ES"/>
        </w:rPr>
        <w:t xml:space="preserve">, the relative effect of an arbitration clause </w:t>
      </w:r>
      <w:r w:rsidR="001D4A0C" w:rsidRPr="0001617C">
        <w:rPr>
          <w:rFonts w:eastAsia="Times New Roman" w:cs="Times New Roman"/>
          <w:i/>
          <w:iCs/>
          <w:color w:val="000000" w:themeColor="text1"/>
          <w:sz w:val="24"/>
          <w:szCs w:val="24"/>
          <w:lang w:val="en-GB" w:eastAsia="es-ES"/>
        </w:rPr>
        <w:t>included</w:t>
      </w:r>
      <w:r w:rsidR="003F16B6" w:rsidRPr="0001617C">
        <w:rPr>
          <w:rFonts w:eastAsia="Times New Roman" w:cs="Times New Roman"/>
          <w:i/>
          <w:iCs/>
          <w:color w:val="000000" w:themeColor="text1"/>
          <w:sz w:val="24"/>
          <w:szCs w:val="24"/>
          <w:lang w:val="en-GB" w:eastAsia="es-ES"/>
        </w:rPr>
        <w:t xml:space="preserve"> in an insurance contract and, </w:t>
      </w:r>
      <w:r w:rsidR="001D4A0C" w:rsidRPr="0001617C">
        <w:rPr>
          <w:rFonts w:eastAsia="Times New Roman" w:cs="Times New Roman"/>
          <w:i/>
          <w:iCs/>
          <w:color w:val="000000" w:themeColor="text1"/>
          <w:sz w:val="24"/>
          <w:szCs w:val="24"/>
          <w:lang w:val="en-GB" w:eastAsia="es-ES"/>
        </w:rPr>
        <w:t>secondly</w:t>
      </w:r>
      <w:r w:rsidR="003F16B6" w:rsidRPr="0001617C">
        <w:rPr>
          <w:rFonts w:eastAsia="Times New Roman" w:cs="Times New Roman"/>
          <w:i/>
          <w:iCs/>
          <w:color w:val="000000" w:themeColor="text1"/>
          <w:sz w:val="24"/>
          <w:szCs w:val="24"/>
          <w:lang w:val="en-GB" w:eastAsia="es-ES"/>
        </w:rPr>
        <w:t xml:space="preserve">, </w:t>
      </w:r>
      <w:r w:rsidR="003F16B6" w:rsidRPr="0001617C">
        <w:rPr>
          <w:rFonts w:eastAsia="Times New Roman" w:cs="Times New Roman"/>
          <w:color w:val="000000" w:themeColor="text1"/>
          <w:sz w:val="24"/>
          <w:szCs w:val="24"/>
          <w:lang w:val="en-GB" w:eastAsia="es-ES"/>
        </w:rPr>
        <w:t>lis pendens</w:t>
      </w:r>
      <w:r w:rsidR="00A56F59" w:rsidRPr="0001617C">
        <w:rPr>
          <w:rFonts w:eastAsia="Times New Roman" w:cs="Times New Roman"/>
          <w:color w:val="000000" w:themeColor="text1"/>
          <w:sz w:val="24"/>
          <w:szCs w:val="24"/>
          <w:lang w:val="en-GB" w:eastAsia="es-ES"/>
        </w:rPr>
        <w:t>”</w:t>
      </w:r>
      <w:r w:rsidR="003F16B6" w:rsidRPr="0001617C">
        <w:rPr>
          <w:rFonts w:eastAsia="Times New Roman" w:cs="Times New Roman"/>
          <w:color w:val="000000" w:themeColor="text1"/>
          <w:sz w:val="24"/>
          <w:szCs w:val="24"/>
          <w:lang w:val="en-GB" w:eastAsia="es-ES"/>
        </w:rPr>
        <w:t xml:space="preserve"> (paragraph 59).</w:t>
      </w:r>
      <w:bookmarkStart w:id="8" w:name="point60"/>
      <w:r w:rsidR="003F16B6" w:rsidRPr="0001617C">
        <w:rPr>
          <w:rFonts w:eastAsia="Times New Roman" w:cs="Times New Roman"/>
          <w:color w:val="000000" w:themeColor="text1"/>
          <w:sz w:val="24"/>
          <w:szCs w:val="24"/>
          <w:lang w:val="en-GB" w:eastAsia="es-ES"/>
        </w:rPr>
        <w:t xml:space="preserve"> As regards </w:t>
      </w:r>
      <w:r w:rsidR="003F16B6" w:rsidRPr="0001617C">
        <w:rPr>
          <w:rFonts w:eastAsia="Times New Roman" w:cs="Times New Roman"/>
          <w:i/>
          <w:iCs/>
          <w:color w:val="000000" w:themeColor="text1"/>
          <w:sz w:val="24"/>
          <w:szCs w:val="24"/>
          <w:lang w:val="en-GB" w:eastAsia="es-ES"/>
        </w:rPr>
        <w:t>lis pendens</w:t>
      </w:r>
      <w:r w:rsidR="003F16B6" w:rsidRPr="0001617C">
        <w:rPr>
          <w:rFonts w:eastAsia="Times New Roman" w:cs="Times New Roman"/>
          <w:color w:val="000000" w:themeColor="text1"/>
          <w:sz w:val="24"/>
          <w:szCs w:val="24"/>
          <w:lang w:val="en-GB" w:eastAsia="es-ES"/>
        </w:rPr>
        <w:t xml:space="preserve">, the Court of Justice of the European Union states that, when the arbitration proceedings were </w:t>
      </w:r>
      <w:r w:rsidR="00162917" w:rsidRPr="0001617C">
        <w:rPr>
          <w:rFonts w:eastAsia="Times New Roman" w:cs="Times New Roman"/>
          <w:color w:val="000000" w:themeColor="text1"/>
          <w:sz w:val="24"/>
          <w:szCs w:val="24"/>
          <w:lang w:val="en-GB" w:eastAsia="es-ES"/>
        </w:rPr>
        <w:t>commenced</w:t>
      </w:r>
      <w:r w:rsidR="003F16B6" w:rsidRPr="0001617C">
        <w:rPr>
          <w:rFonts w:eastAsia="Times New Roman" w:cs="Times New Roman"/>
          <w:color w:val="000000" w:themeColor="text1"/>
          <w:sz w:val="24"/>
          <w:szCs w:val="24"/>
          <w:lang w:val="en-GB" w:eastAsia="es-ES"/>
        </w:rPr>
        <w:t xml:space="preserve"> in the United Kingdom, </w:t>
      </w:r>
      <w:r w:rsidR="006371D2" w:rsidRPr="0001617C">
        <w:rPr>
          <w:rFonts w:eastAsia="Times New Roman" w:cs="Times New Roman"/>
          <w:color w:val="000000" w:themeColor="text1"/>
          <w:sz w:val="24"/>
          <w:szCs w:val="24"/>
          <w:lang w:val="en-GB" w:eastAsia="es-ES"/>
        </w:rPr>
        <w:t>that is to say</w:t>
      </w:r>
      <w:r w:rsidR="003F16B6" w:rsidRPr="0001617C">
        <w:rPr>
          <w:rFonts w:eastAsia="Times New Roman" w:cs="Times New Roman"/>
          <w:color w:val="000000" w:themeColor="text1"/>
          <w:sz w:val="24"/>
          <w:szCs w:val="24"/>
          <w:lang w:val="en-GB" w:eastAsia="es-ES"/>
        </w:rPr>
        <w:t xml:space="preserve"> on 16 January 2012, </w:t>
      </w:r>
      <w:r w:rsidR="00A56F59" w:rsidRPr="0001617C">
        <w:rPr>
          <w:rFonts w:eastAsia="Times New Roman" w:cs="Times New Roman"/>
          <w:color w:val="000000" w:themeColor="text1"/>
          <w:sz w:val="24"/>
          <w:szCs w:val="24"/>
          <w:lang w:val="en-GB" w:eastAsia="es-ES"/>
        </w:rPr>
        <w:t>“</w:t>
      </w:r>
      <w:r w:rsidR="003F16B6" w:rsidRPr="0001617C">
        <w:rPr>
          <w:rFonts w:eastAsia="Times New Roman" w:cs="Times New Roman"/>
          <w:i/>
          <w:iCs/>
          <w:color w:val="000000" w:themeColor="text1"/>
          <w:sz w:val="24"/>
          <w:szCs w:val="24"/>
          <w:lang w:val="en-GB" w:eastAsia="es-ES"/>
        </w:rPr>
        <w:t xml:space="preserve">proceedings were already pending before the Spanish courts between, </w:t>
      </w:r>
      <w:r w:rsidR="004B1940" w:rsidRPr="0001617C">
        <w:rPr>
          <w:rFonts w:eastAsia="Times New Roman" w:cs="Times New Roman"/>
          <w:i/>
          <w:iCs/>
          <w:color w:val="000000" w:themeColor="text1"/>
          <w:sz w:val="24"/>
          <w:szCs w:val="24"/>
          <w:lang w:val="en-GB" w:eastAsia="es-ES"/>
        </w:rPr>
        <w:t>amongst others</w:t>
      </w:r>
      <w:r w:rsidR="003F16B6" w:rsidRPr="0001617C">
        <w:rPr>
          <w:rFonts w:eastAsia="Times New Roman" w:cs="Times New Roman"/>
          <w:i/>
          <w:iCs/>
          <w:color w:val="000000" w:themeColor="text1"/>
          <w:sz w:val="24"/>
          <w:szCs w:val="24"/>
          <w:lang w:val="en-GB" w:eastAsia="es-ES"/>
        </w:rPr>
        <w:t>, the Spanish State and the London P&amp;I Club</w:t>
      </w:r>
      <w:r w:rsidR="00A56F59" w:rsidRPr="0001617C">
        <w:rPr>
          <w:rFonts w:eastAsia="Times New Roman" w:cs="Times New Roman"/>
          <w:i/>
          <w:iCs/>
          <w:color w:val="000000" w:themeColor="text1"/>
          <w:sz w:val="24"/>
          <w:szCs w:val="24"/>
          <w:lang w:val="en-GB" w:eastAsia="es-ES"/>
        </w:rPr>
        <w:t>”</w:t>
      </w:r>
      <w:r w:rsidR="003F16B6" w:rsidRPr="0001617C">
        <w:rPr>
          <w:rFonts w:eastAsia="Times New Roman" w:cs="Times New Roman"/>
          <w:i/>
          <w:iCs/>
          <w:color w:val="000000" w:themeColor="text1"/>
          <w:sz w:val="24"/>
          <w:szCs w:val="24"/>
          <w:lang w:val="en-GB" w:eastAsia="es-ES"/>
        </w:rPr>
        <w:t xml:space="preserve"> </w:t>
      </w:r>
      <w:r w:rsidR="003F16B6" w:rsidRPr="0001617C">
        <w:rPr>
          <w:rFonts w:eastAsia="Times New Roman" w:cs="Times New Roman"/>
          <w:color w:val="000000" w:themeColor="text1"/>
          <w:sz w:val="24"/>
          <w:szCs w:val="24"/>
          <w:lang w:val="en-GB" w:eastAsia="es-ES"/>
        </w:rPr>
        <w:t xml:space="preserve">(paragraph 64). Given that Article 27(1) of Regulation (EC) No 44/2001 refers to </w:t>
      </w:r>
      <w:r w:rsidR="004E6B38" w:rsidRPr="0001617C">
        <w:rPr>
          <w:rFonts w:eastAsia="Times New Roman" w:cs="Times New Roman"/>
          <w:color w:val="000000" w:themeColor="text1"/>
          <w:sz w:val="24"/>
          <w:szCs w:val="24"/>
          <w:lang w:val="en-GB" w:eastAsia="es-ES"/>
        </w:rPr>
        <w:t>“</w:t>
      </w:r>
      <w:r w:rsidR="00FE549B" w:rsidRPr="0001617C">
        <w:rPr>
          <w:rFonts w:eastAsia="Times New Roman" w:cs="Times New Roman"/>
          <w:i/>
          <w:iCs/>
          <w:color w:val="000000" w:themeColor="text1"/>
          <w:sz w:val="24"/>
          <w:szCs w:val="24"/>
          <w:lang w:val="en-GB" w:eastAsia="es-ES"/>
        </w:rPr>
        <w:t>proceedings</w:t>
      </w:r>
      <w:r w:rsidR="003F16B6" w:rsidRPr="0001617C">
        <w:rPr>
          <w:rFonts w:eastAsia="Times New Roman" w:cs="Times New Roman"/>
          <w:i/>
          <w:iCs/>
          <w:color w:val="000000" w:themeColor="text1"/>
          <w:sz w:val="24"/>
          <w:szCs w:val="24"/>
          <w:lang w:val="en-GB" w:eastAsia="es-ES"/>
        </w:rPr>
        <w:t xml:space="preserve"> [...] between the same parties</w:t>
      </w:r>
      <w:r w:rsidR="004E6B38" w:rsidRPr="0001617C">
        <w:rPr>
          <w:rFonts w:eastAsia="Times New Roman" w:cs="Times New Roman"/>
          <w:i/>
          <w:iCs/>
          <w:color w:val="000000" w:themeColor="text1"/>
          <w:sz w:val="24"/>
          <w:szCs w:val="24"/>
          <w:lang w:val="en-GB" w:eastAsia="es-ES"/>
        </w:rPr>
        <w:t>,</w:t>
      </w:r>
      <w:r w:rsidR="004E6B38" w:rsidRPr="0001617C">
        <w:rPr>
          <w:rFonts w:eastAsia="Times New Roman" w:cs="Times New Roman"/>
          <w:color w:val="000000" w:themeColor="text1"/>
          <w:sz w:val="24"/>
          <w:szCs w:val="24"/>
          <w:lang w:val="en-GB" w:eastAsia="es-ES"/>
        </w:rPr>
        <w:t>”</w:t>
      </w:r>
      <w:r w:rsidR="003F16B6" w:rsidRPr="0001617C">
        <w:rPr>
          <w:rFonts w:eastAsia="Times New Roman" w:cs="Times New Roman"/>
          <w:color w:val="000000" w:themeColor="text1"/>
          <w:sz w:val="24"/>
          <w:szCs w:val="24"/>
          <w:lang w:val="en-GB" w:eastAsia="es-ES"/>
        </w:rPr>
        <w:t xml:space="preserve"> without </w:t>
      </w:r>
      <w:r w:rsidR="003F16B6" w:rsidRPr="0001617C">
        <w:rPr>
          <w:rFonts w:eastAsia="Times New Roman" w:cs="Times New Roman"/>
          <w:color w:val="000000" w:themeColor="text1"/>
          <w:sz w:val="24"/>
          <w:szCs w:val="24"/>
          <w:lang w:val="en-GB" w:eastAsia="es-ES"/>
        </w:rPr>
        <w:lastRenderedPageBreak/>
        <w:t xml:space="preserve">requiring </w:t>
      </w:r>
      <w:r w:rsidR="004E6B38" w:rsidRPr="0001617C">
        <w:rPr>
          <w:rFonts w:eastAsia="Times New Roman" w:cs="Times New Roman"/>
          <w:color w:val="000000" w:themeColor="text1"/>
          <w:sz w:val="24"/>
          <w:szCs w:val="24"/>
          <w:lang w:val="en-GB" w:eastAsia="es-ES"/>
        </w:rPr>
        <w:t>effective</w:t>
      </w:r>
      <w:r w:rsidR="003F16B6" w:rsidRPr="0001617C">
        <w:rPr>
          <w:rFonts w:eastAsia="Times New Roman" w:cs="Times New Roman"/>
          <w:color w:val="000000" w:themeColor="text1"/>
          <w:sz w:val="24"/>
          <w:szCs w:val="24"/>
          <w:lang w:val="en-GB" w:eastAsia="es-ES"/>
        </w:rPr>
        <w:t xml:space="preserve"> participation in the proceedings in question, it must be </w:t>
      </w:r>
      <w:r w:rsidR="004E6B38" w:rsidRPr="0001617C">
        <w:rPr>
          <w:rFonts w:eastAsia="Times New Roman" w:cs="Times New Roman"/>
          <w:color w:val="000000" w:themeColor="text1"/>
          <w:sz w:val="24"/>
          <w:szCs w:val="24"/>
          <w:lang w:val="en-GB" w:eastAsia="es-ES"/>
        </w:rPr>
        <w:t>concluded</w:t>
      </w:r>
      <w:r w:rsidR="003F16B6" w:rsidRPr="0001617C">
        <w:rPr>
          <w:rFonts w:eastAsia="Times New Roman" w:cs="Times New Roman"/>
          <w:color w:val="000000" w:themeColor="text1"/>
          <w:sz w:val="24"/>
          <w:szCs w:val="24"/>
          <w:lang w:val="en-GB" w:eastAsia="es-ES"/>
        </w:rPr>
        <w:t xml:space="preserve"> that the same parties were involved in the proceedings </w:t>
      </w:r>
      <w:r w:rsidR="004E6B38" w:rsidRPr="0001617C">
        <w:rPr>
          <w:rFonts w:eastAsia="Times New Roman" w:cs="Times New Roman"/>
          <w:color w:val="000000" w:themeColor="text1"/>
          <w:sz w:val="24"/>
          <w:szCs w:val="24"/>
          <w:lang w:val="en-GB" w:eastAsia="es-ES"/>
        </w:rPr>
        <w:t xml:space="preserve">referred to </w:t>
      </w:r>
      <w:r w:rsidR="003F16B6" w:rsidRPr="0001617C">
        <w:rPr>
          <w:rFonts w:eastAsia="Times New Roman" w:cs="Times New Roman"/>
          <w:color w:val="000000" w:themeColor="text1"/>
          <w:sz w:val="24"/>
          <w:szCs w:val="24"/>
          <w:lang w:val="en-GB" w:eastAsia="es-ES"/>
        </w:rPr>
        <w:t>(paragraph 66). Both had the same subject</w:t>
      </w:r>
      <w:r w:rsidR="007547E7" w:rsidRPr="0001617C">
        <w:rPr>
          <w:rFonts w:eastAsia="Times New Roman" w:cs="Times New Roman"/>
          <w:color w:val="000000" w:themeColor="text1"/>
          <w:sz w:val="24"/>
          <w:szCs w:val="24"/>
          <w:lang w:val="en-GB" w:eastAsia="es-ES"/>
        </w:rPr>
        <w:t xml:space="preserve"> </w:t>
      </w:r>
      <w:r w:rsidR="003F16B6" w:rsidRPr="0001617C">
        <w:rPr>
          <w:rFonts w:eastAsia="Times New Roman" w:cs="Times New Roman"/>
          <w:color w:val="000000" w:themeColor="text1"/>
          <w:sz w:val="24"/>
          <w:szCs w:val="24"/>
          <w:lang w:val="en-GB" w:eastAsia="es-ES"/>
        </w:rPr>
        <w:t xml:space="preserve">matter and the same cause of action (paragraph 67). </w:t>
      </w:r>
    </w:p>
    <w:p w14:paraId="5A756257" w14:textId="4881C4BF" w:rsidR="00E23A92" w:rsidRPr="0001617C" w:rsidRDefault="00BB539D">
      <w:pPr>
        <w:pStyle w:val="Prrafodelista"/>
        <w:numPr>
          <w:ilvl w:val="0"/>
          <w:numId w:val="45"/>
        </w:numPr>
        <w:spacing w:before="120" w:after="120" w:line="240" w:lineRule="auto"/>
        <w:jc w:val="both"/>
        <w:rPr>
          <w:rFonts w:eastAsia="Times New Roman" w:cs="Times New Roman"/>
          <w:color w:val="000000" w:themeColor="text1"/>
          <w:sz w:val="24"/>
          <w:szCs w:val="24"/>
          <w:lang w:val="en-GB" w:eastAsia="es-ES"/>
        </w:rPr>
      </w:pPr>
      <w:r w:rsidRPr="0001617C">
        <w:rPr>
          <w:rFonts w:eastAsia="Times New Roman" w:cs="Times New Roman"/>
          <w:color w:val="000000" w:themeColor="text1"/>
          <w:sz w:val="24"/>
          <w:szCs w:val="24"/>
          <w:lang w:val="en-GB" w:eastAsia="es-ES"/>
        </w:rPr>
        <w:t>As regards</w:t>
      </w:r>
      <w:bookmarkEnd w:id="8"/>
      <w:r w:rsidRPr="0001617C">
        <w:rPr>
          <w:rFonts w:eastAsia="Times New Roman" w:cs="Times New Roman"/>
          <w:color w:val="000000" w:themeColor="text1"/>
          <w:sz w:val="24"/>
          <w:szCs w:val="24"/>
          <w:lang w:val="en-GB" w:eastAsia="es-ES"/>
        </w:rPr>
        <w:t xml:space="preserve"> </w:t>
      </w:r>
      <w:r w:rsidR="002A0D2A" w:rsidRPr="0001617C">
        <w:rPr>
          <w:rFonts w:eastAsia="Times New Roman" w:cs="Times New Roman"/>
          <w:color w:val="000000" w:themeColor="text1"/>
          <w:sz w:val="24"/>
          <w:szCs w:val="24"/>
          <w:lang w:val="en-GB" w:eastAsia="es-ES"/>
        </w:rPr>
        <w:t xml:space="preserve">the </w:t>
      </w:r>
      <w:r w:rsidRPr="0001617C">
        <w:rPr>
          <w:rFonts w:eastAsia="Times New Roman" w:cs="Times New Roman"/>
          <w:color w:val="000000" w:themeColor="text1"/>
          <w:sz w:val="24"/>
          <w:szCs w:val="24"/>
          <w:lang w:val="en-GB" w:eastAsia="es-ES"/>
        </w:rPr>
        <w:t>relative effect of an arbitration clause in</w:t>
      </w:r>
      <w:r w:rsidR="0045395B" w:rsidRPr="0001617C">
        <w:rPr>
          <w:rFonts w:eastAsia="Times New Roman" w:cs="Times New Roman"/>
          <w:color w:val="000000" w:themeColor="text1"/>
          <w:sz w:val="24"/>
          <w:szCs w:val="24"/>
          <w:lang w:val="en-GB" w:eastAsia="es-ES"/>
        </w:rPr>
        <w:t xml:space="preserve">cluded </w:t>
      </w:r>
      <w:r w:rsidRPr="0001617C">
        <w:rPr>
          <w:rFonts w:eastAsia="Times New Roman" w:cs="Times New Roman"/>
          <w:color w:val="000000" w:themeColor="text1"/>
          <w:sz w:val="24"/>
          <w:szCs w:val="24"/>
          <w:lang w:val="en-GB" w:eastAsia="es-ES"/>
        </w:rPr>
        <w:t xml:space="preserve">in an insurance contract, the Court of Justice of the European Union states that jurisdiction </w:t>
      </w:r>
      <w:r w:rsidR="00F16336" w:rsidRPr="0001617C">
        <w:rPr>
          <w:rFonts w:eastAsia="Times New Roman" w:cs="Times New Roman"/>
          <w:color w:val="000000" w:themeColor="text1"/>
          <w:sz w:val="24"/>
          <w:szCs w:val="24"/>
          <w:lang w:val="en-GB" w:eastAsia="es-ES"/>
        </w:rPr>
        <w:t>clause</w:t>
      </w:r>
      <w:r w:rsidR="00CF6616" w:rsidRPr="0001617C">
        <w:rPr>
          <w:rFonts w:eastAsia="Times New Roman" w:cs="Times New Roman"/>
          <w:color w:val="000000" w:themeColor="text1"/>
          <w:sz w:val="24"/>
          <w:szCs w:val="24"/>
          <w:lang w:val="en-GB" w:eastAsia="es-ES"/>
        </w:rPr>
        <w:t>s</w:t>
      </w:r>
      <w:r w:rsidR="00F16336" w:rsidRPr="0001617C">
        <w:rPr>
          <w:rFonts w:eastAsia="Times New Roman" w:cs="Times New Roman"/>
          <w:color w:val="000000" w:themeColor="text1"/>
          <w:sz w:val="24"/>
          <w:szCs w:val="24"/>
          <w:lang w:val="en-GB" w:eastAsia="es-ES"/>
        </w:rPr>
        <w:t xml:space="preserve"> agreed</w:t>
      </w:r>
      <w:r w:rsidRPr="0001617C">
        <w:rPr>
          <w:rFonts w:eastAsia="Times New Roman" w:cs="Times New Roman"/>
          <w:color w:val="000000" w:themeColor="text1"/>
          <w:sz w:val="24"/>
          <w:szCs w:val="24"/>
          <w:lang w:val="en-GB" w:eastAsia="es-ES"/>
        </w:rPr>
        <w:t xml:space="preserve"> between an insurer and a</w:t>
      </w:r>
      <w:r w:rsidR="00F16336" w:rsidRPr="0001617C">
        <w:rPr>
          <w:rFonts w:eastAsia="Times New Roman" w:cs="Times New Roman"/>
          <w:color w:val="000000" w:themeColor="text1"/>
          <w:sz w:val="24"/>
          <w:szCs w:val="24"/>
          <w:lang w:val="en-GB" w:eastAsia="es-ES"/>
        </w:rPr>
        <w:t xml:space="preserve">n insured party </w:t>
      </w:r>
      <w:r w:rsidRPr="0001617C">
        <w:rPr>
          <w:rFonts w:eastAsia="Times New Roman" w:cs="Times New Roman"/>
          <w:color w:val="000000" w:themeColor="text1"/>
          <w:sz w:val="24"/>
          <w:szCs w:val="24"/>
          <w:lang w:val="en-GB" w:eastAsia="es-ES"/>
        </w:rPr>
        <w:t xml:space="preserve">cannot </w:t>
      </w:r>
      <w:r w:rsidR="00852A5E" w:rsidRPr="0001617C">
        <w:rPr>
          <w:rFonts w:eastAsia="Times New Roman" w:cs="Times New Roman"/>
          <w:color w:val="000000" w:themeColor="text1"/>
          <w:sz w:val="24"/>
          <w:szCs w:val="24"/>
          <w:lang w:val="en-GB" w:eastAsia="es-ES"/>
        </w:rPr>
        <w:t xml:space="preserve">be </w:t>
      </w:r>
      <w:r w:rsidR="00852A5E" w:rsidRPr="0001617C">
        <w:rPr>
          <w:color w:val="000000" w:themeColor="text1"/>
          <w:sz w:val="24"/>
          <w:szCs w:val="24"/>
          <w:shd w:val="clear" w:color="auto" w:fill="FFFFFF"/>
          <w:lang w:val="en-GB"/>
        </w:rPr>
        <w:t>invoked against a victim of insured damage</w:t>
      </w:r>
      <w:r w:rsidRPr="0001617C">
        <w:rPr>
          <w:rFonts w:eastAsia="Times New Roman" w:cs="Times New Roman"/>
          <w:color w:val="000000" w:themeColor="text1"/>
          <w:sz w:val="24"/>
          <w:szCs w:val="24"/>
          <w:lang w:val="en-GB" w:eastAsia="es-ES"/>
        </w:rPr>
        <w:t xml:space="preserve">. Where national law so permits, the injured party may bring </w:t>
      </w:r>
      <w:r w:rsidR="005A02CD" w:rsidRPr="0001617C">
        <w:rPr>
          <w:rFonts w:eastAsia="Times New Roman" w:cs="Times New Roman"/>
          <w:color w:val="000000" w:themeColor="text1"/>
          <w:sz w:val="24"/>
          <w:szCs w:val="24"/>
          <w:lang w:val="en-GB" w:eastAsia="es-ES"/>
        </w:rPr>
        <w:t>“</w:t>
      </w:r>
      <w:r w:rsidR="005A02CD" w:rsidRPr="0001617C">
        <w:rPr>
          <w:i/>
          <w:iCs/>
          <w:color w:val="000000" w:themeColor="text1"/>
          <w:sz w:val="24"/>
          <w:szCs w:val="24"/>
          <w:shd w:val="clear" w:color="auto" w:fill="FFFFFF"/>
          <w:lang w:val="en-GB"/>
        </w:rPr>
        <w:t>an action directly against the insurer, in tort, delict or quasi-delict, before the courts for the place where the harmful event occurred or before the courts for the place where the victim is domiciled</w:t>
      </w:r>
      <w:r w:rsidR="005A02CD" w:rsidRPr="0001617C">
        <w:rPr>
          <w:color w:val="000000" w:themeColor="text1"/>
          <w:sz w:val="24"/>
          <w:szCs w:val="24"/>
          <w:shd w:val="clear" w:color="auto" w:fill="FFFFFF"/>
          <w:lang w:val="en-GB"/>
        </w:rPr>
        <w:t>”</w:t>
      </w:r>
      <w:r w:rsidR="005A02CD" w:rsidRPr="0001617C">
        <w:rPr>
          <w:rFonts w:eastAsia="Times New Roman" w:cs="Times New Roman"/>
          <w:color w:val="000000" w:themeColor="text1"/>
          <w:sz w:val="24"/>
          <w:szCs w:val="24"/>
          <w:lang w:val="en-GB" w:eastAsia="es-ES"/>
        </w:rPr>
        <w:t xml:space="preserve"> </w:t>
      </w:r>
      <w:r w:rsidRPr="0001617C">
        <w:rPr>
          <w:rFonts w:eastAsia="Times New Roman" w:cs="Times New Roman"/>
          <w:color w:val="000000" w:themeColor="text1"/>
          <w:sz w:val="24"/>
          <w:szCs w:val="24"/>
          <w:lang w:val="en-GB" w:eastAsia="es-ES"/>
        </w:rPr>
        <w:t>(paragraph 60)</w:t>
      </w:r>
      <w:r w:rsidR="008E6A8D" w:rsidRPr="0001617C">
        <w:rPr>
          <w:rFonts w:eastAsia="Times New Roman" w:cs="Times New Roman"/>
          <w:color w:val="000000" w:themeColor="text1"/>
          <w:sz w:val="24"/>
          <w:szCs w:val="24"/>
          <w:lang w:val="en-GB" w:eastAsia="es-ES"/>
        </w:rPr>
        <w:t>.</w:t>
      </w:r>
      <w:r w:rsidRPr="0001617C">
        <w:rPr>
          <w:color w:val="000000" w:themeColor="text1"/>
          <w:sz w:val="24"/>
          <w:szCs w:val="24"/>
          <w:vertAlign w:val="superscript"/>
          <w:lang w:val="en-GB" w:eastAsia="es-ES"/>
        </w:rPr>
        <w:footnoteReference w:id="20"/>
      </w:r>
      <w:r w:rsidRPr="0001617C">
        <w:rPr>
          <w:rFonts w:eastAsia="Times New Roman" w:cs="Times New Roman"/>
          <w:color w:val="000000" w:themeColor="text1"/>
          <w:sz w:val="24"/>
          <w:szCs w:val="24"/>
          <w:lang w:val="en-GB" w:eastAsia="es-ES"/>
        </w:rPr>
        <w:t xml:space="preserve"> The Court of Justice of the European Union adds that, </w:t>
      </w:r>
      <w:r w:rsidR="00205E22" w:rsidRPr="0001617C">
        <w:rPr>
          <w:rFonts w:eastAsia="Times New Roman" w:cs="Times New Roman"/>
          <w:color w:val="000000" w:themeColor="text1"/>
          <w:sz w:val="24"/>
          <w:szCs w:val="24"/>
          <w:lang w:val="en-GB" w:eastAsia="es-ES"/>
        </w:rPr>
        <w:t xml:space="preserve">in order not to </w:t>
      </w:r>
      <w:r w:rsidRPr="0001617C">
        <w:rPr>
          <w:rFonts w:eastAsia="Times New Roman" w:cs="Times New Roman"/>
          <w:color w:val="000000" w:themeColor="text1"/>
          <w:sz w:val="24"/>
          <w:szCs w:val="24"/>
          <w:lang w:val="en-GB" w:eastAsia="es-ES"/>
        </w:rPr>
        <w:t>infring</w:t>
      </w:r>
      <w:r w:rsidR="00205E22" w:rsidRPr="0001617C">
        <w:rPr>
          <w:rFonts w:eastAsia="Times New Roman" w:cs="Times New Roman"/>
          <w:color w:val="000000" w:themeColor="text1"/>
          <w:sz w:val="24"/>
          <w:szCs w:val="24"/>
          <w:lang w:val="en-GB" w:eastAsia="es-ES"/>
        </w:rPr>
        <w:t>e</w:t>
      </w:r>
      <w:r w:rsidRPr="0001617C">
        <w:rPr>
          <w:rFonts w:eastAsia="Times New Roman" w:cs="Times New Roman"/>
          <w:color w:val="000000" w:themeColor="text1"/>
          <w:sz w:val="24"/>
          <w:szCs w:val="24"/>
          <w:lang w:val="en-GB" w:eastAsia="es-ES"/>
        </w:rPr>
        <w:t xml:space="preserve"> this right of the injured party, </w:t>
      </w:r>
      <w:r w:rsidR="00727FD8" w:rsidRPr="0001617C">
        <w:rPr>
          <w:rFonts w:eastAsia="Times New Roman" w:cs="Times New Roman"/>
          <w:color w:val="000000" w:themeColor="text1"/>
          <w:sz w:val="24"/>
          <w:szCs w:val="24"/>
          <w:lang w:val="en-GB" w:eastAsia="es-ES"/>
        </w:rPr>
        <w:t>“</w:t>
      </w:r>
      <w:r w:rsidR="00727FD8" w:rsidRPr="0001617C">
        <w:rPr>
          <w:i/>
          <w:iCs/>
          <w:color w:val="000000" w:themeColor="text1"/>
          <w:sz w:val="24"/>
          <w:szCs w:val="24"/>
          <w:shd w:val="clear" w:color="auto" w:fill="FFFFFF"/>
          <w:lang w:val="en-GB"/>
        </w:rPr>
        <w:t>a court other than that already seised of that direct action should not declare itself to have jurisdiction on the basis of such an arbitration clause</w:t>
      </w:r>
      <w:r w:rsidRPr="0001617C">
        <w:rPr>
          <w:rFonts w:eastAsia="Times New Roman" w:cs="Times New Roman"/>
          <w:i/>
          <w:iCs/>
          <w:color w:val="000000" w:themeColor="text1"/>
          <w:sz w:val="24"/>
          <w:szCs w:val="24"/>
          <w:lang w:val="en-GB" w:eastAsia="es-ES"/>
        </w:rPr>
        <w:t>,</w:t>
      </w:r>
      <w:r w:rsidR="00727FD8" w:rsidRPr="0001617C">
        <w:rPr>
          <w:rFonts w:eastAsia="Times New Roman" w:cs="Times New Roman"/>
          <w:color w:val="000000" w:themeColor="text1"/>
          <w:sz w:val="24"/>
          <w:szCs w:val="24"/>
          <w:lang w:val="en-GB" w:eastAsia="es-ES"/>
        </w:rPr>
        <w:t>”</w:t>
      </w:r>
      <w:r w:rsidRPr="0001617C">
        <w:rPr>
          <w:rFonts w:eastAsia="Times New Roman" w:cs="Times New Roman"/>
          <w:color w:val="000000" w:themeColor="text1"/>
          <w:sz w:val="24"/>
          <w:szCs w:val="24"/>
          <w:lang w:val="en-GB" w:eastAsia="es-ES"/>
        </w:rPr>
        <w:t xml:space="preserve"> in order to guarantee the objective pursued by Regulation 44/2001: to protect injured parties </w:t>
      </w:r>
      <w:r w:rsidR="000504CF" w:rsidRPr="0001617C">
        <w:rPr>
          <w:rFonts w:eastAsia="Times New Roman" w:cs="Times New Roman"/>
          <w:color w:val="000000" w:themeColor="text1"/>
          <w:sz w:val="24"/>
          <w:szCs w:val="24"/>
          <w:lang w:val="en-GB" w:eastAsia="es-ES"/>
        </w:rPr>
        <w:t>vis-à-vis</w:t>
      </w:r>
      <w:r w:rsidRPr="0001617C">
        <w:rPr>
          <w:rFonts w:eastAsia="Times New Roman" w:cs="Times New Roman"/>
          <w:color w:val="000000" w:themeColor="text1"/>
          <w:sz w:val="24"/>
          <w:szCs w:val="24"/>
          <w:lang w:val="en-GB" w:eastAsia="es-ES"/>
        </w:rPr>
        <w:t xml:space="preserve"> the insurer concerned (paragraph 61). </w:t>
      </w:r>
    </w:p>
    <w:p w14:paraId="182E766D" w14:textId="446680F5" w:rsidR="00E23A92" w:rsidRPr="0001617C" w:rsidRDefault="00BB539D">
      <w:pPr>
        <w:pStyle w:val="Prrafodelista"/>
        <w:numPr>
          <w:ilvl w:val="0"/>
          <w:numId w:val="45"/>
        </w:numPr>
        <w:spacing w:before="120" w:after="120" w:line="240" w:lineRule="auto"/>
        <w:jc w:val="both"/>
        <w:rPr>
          <w:rFonts w:eastAsia="Times New Roman" w:cs="Times New Roman"/>
          <w:color w:val="000000" w:themeColor="text1"/>
          <w:sz w:val="24"/>
          <w:szCs w:val="24"/>
          <w:lang w:val="en-GB" w:eastAsia="es-ES"/>
        </w:rPr>
      </w:pPr>
      <w:r w:rsidRPr="0001617C">
        <w:rPr>
          <w:rFonts w:eastAsia="Times New Roman" w:cs="Times New Roman"/>
          <w:color w:val="000000" w:themeColor="text1"/>
          <w:sz w:val="24"/>
          <w:szCs w:val="24"/>
          <w:lang w:val="en-GB" w:eastAsia="es-ES"/>
        </w:rPr>
        <w:t xml:space="preserve">Finally, </w:t>
      </w:r>
      <w:r w:rsidR="005F278A" w:rsidRPr="0001617C">
        <w:rPr>
          <w:rFonts w:eastAsia="Times New Roman" w:cs="Times New Roman"/>
          <w:color w:val="000000" w:themeColor="text1"/>
          <w:sz w:val="24"/>
          <w:szCs w:val="24"/>
          <w:lang w:val="en-GB" w:eastAsia="es-ES"/>
        </w:rPr>
        <w:t xml:space="preserve">the Court of Justice of the European Union </w:t>
      </w:r>
      <w:r w:rsidRPr="0001617C">
        <w:rPr>
          <w:rFonts w:eastAsia="Times New Roman" w:cs="Times New Roman"/>
          <w:color w:val="000000" w:themeColor="text1"/>
          <w:sz w:val="24"/>
          <w:szCs w:val="24"/>
          <w:lang w:val="en-GB" w:eastAsia="es-ES"/>
        </w:rPr>
        <w:t xml:space="preserve">concludes that to allow </w:t>
      </w:r>
      <w:r w:rsidR="00297879" w:rsidRPr="0001617C">
        <w:rPr>
          <w:rFonts w:eastAsia="Times New Roman" w:cs="Times New Roman"/>
          <w:color w:val="000000" w:themeColor="text1"/>
          <w:sz w:val="24"/>
          <w:szCs w:val="24"/>
          <w:lang w:val="en-GB" w:eastAsia="es-ES"/>
        </w:rPr>
        <w:t xml:space="preserve">such a </w:t>
      </w:r>
      <w:r w:rsidRPr="0001617C">
        <w:rPr>
          <w:rFonts w:eastAsia="Times New Roman" w:cs="Times New Roman"/>
          <w:color w:val="000000" w:themeColor="text1"/>
          <w:sz w:val="24"/>
          <w:szCs w:val="24"/>
          <w:lang w:val="en-GB" w:eastAsia="es-ES"/>
        </w:rPr>
        <w:t xml:space="preserve">judgment to </w:t>
      </w:r>
      <w:r w:rsidR="00AC1F97" w:rsidRPr="0001617C">
        <w:rPr>
          <w:rFonts w:eastAsia="Times New Roman" w:cs="Times New Roman"/>
          <w:color w:val="000000" w:themeColor="text1"/>
          <w:sz w:val="24"/>
          <w:szCs w:val="24"/>
          <w:lang w:val="en-GB" w:eastAsia="es-ES"/>
        </w:rPr>
        <w:t>p</w:t>
      </w:r>
      <w:r w:rsidR="00E27651" w:rsidRPr="0001617C">
        <w:rPr>
          <w:rFonts w:eastAsia="Times New Roman" w:cs="Times New Roman"/>
          <w:color w:val="000000" w:themeColor="text1"/>
          <w:sz w:val="24"/>
          <w:szCs w:val="24"/>
          <w:lang w:val="en-GB" w:eastAsia="es-ES"/>
        </w:rPr>
        <w:t>revent</w:t>
      </w:r>
      <w:r w:rsidRPr="0001617C">
        <w:rPr>
          <w:rFonts w:eastAsia="Times New Roman" w:cs="Times New Roman"/>
          <w:color w:val="000000" w:themeColor="text1"/>
          <w:sz w:val="24"/>
          <w:szCs w:val="24"/>
          <w:lang w:val="en-GB" w:eastAsia="es-ES"/>
        </w:rPr>
        <w:t xml:space="preserve"> recognition of a judgment given in another Member State following a direct action for damages brought by the injured party </w:t>
      </w:r>
      <w:r w:rsidR="00AC1F97" w:rsidRPr="0001617C">
        <w:rPr>
          <w:rFonts w:eastAsia="Times New Roman" w:cs="Times New Roman"/>
          <w:color w:val="000000" w:themeColor="text1"/>
          <w:sz w:val="24"/>
          <w:szCs w:val="24"/>
          <w:lang w:val="en-GB" w:eastAsia="es-ES"/>
        </w:rPr>
        <w:t xml:space="preserve">may </w:t>
      </w:r>
      <w:r w:rsidRPr="0001617C">
        <w:rPr>
          <w:rFonts w:eastAsia="Times New Roman" w:cs="Times New Roman"/>
          <w:color w:val="000000" w:themeColor="text1"/>
          <w:sz w:val="24"/>
          <w:szCs w:val="24"/>
          <w:lang w:val="en-GB" w:eastAsia="es-ES"/>
        </w:rPr>
        <w:t>deprive the injured party of effective compensation for the damage suffered (paragraph 63).</w:t>
      </w:r>
    </w:p>
    <w:p w14:paraId="0D50FF81" w14:textId="77777777" w:rsidR="003F67FC" w:rsidRPr="0001617C" w:rsidRDefault="003F67FC" w:rsidP="003F16B6">
      <w:pPr>
        <w:spacing w:before="120" w:after="120" w:line="240" w:lineRule="auto"/>
        <w:jc w:val="both"/>
        <w:rPr>
          <w:rFonts w:eastAsia="Times New Roman" w:cs="Times New Roman"/>
          <w:color w:val="000000"/>
          <w:sz w:val="24"/>
          <w:szCs w:val="24"/>
          <w:lang w:val="en-GB" w:eastAsia="es-ES"/>
        </w:rPr>
      </w:pPr>
    </w:p>
    <w:p w14:paraId="4981F0BD" w14:textId="2F5B35A6" w:rsidR="00E23A92" w:rsidRPr="001A75E8" w:rsidRDefault="00BB539D" w:rsidP="001A75E8">
      <w:pPr>
        <w:pStyle w:val="Prrafodelista"/>
        <w:numPr>
          <w:ilvl w:val="1"/>
          <w:numId w:val="50"/>
        </w:numPr>
        <w:spacing w:before="120" w:after="120" w:line="240" w:lineRule="auto"/>
        <w:jc w:val="both"/>
        <w:rPr>
          <w:rFonts w:cs="Times New Roman"/>
          <w:b/>
          <w:bCs/>
          <w:sz w:val="24"/>
          <w:szCs w:val="24"/>
          <w:lang w:val="en-GB"/>
        </w:rPr>
      </w:pPr>
      <w:r w:rsidRPr="001A75E8">
        <w:rPr>
          <w:rFonts w:cs="Times New Roman"/>
          <w:b/>
          <w:bCs/>
          <w:sz w:val="24"/>
          <w:szCs w:val="24"/>
          <w:lang w:val="en-GB"/>
        </w:rPr>
        <w:t xml:space="preserve">Refusal of the British courts to enforce the </w:t>
      </w:r>
      <w:r w:rsidR="001F20EE" w:rsidRPr="001A75E8">
        <w:rPr>
          <w:rFonts w:cs="Times New Roman"/>
          <w:b/>
          <w:bCs/>
          <w:sz w:val="24"/>
          <w:szCs w:val="24"/>
          <w:lang w:val="en-GB"/>
        </w:rPr>
        <w:t xml:space="preserve">EUR </w:t>
      </w:r>
      <w:r w:rsidRPr="001A75E8">
        <w:rPr>
          <w:rFonts w:cs="Times New Roman"/>
          <w:b/>
          <w:bCs/>
          <w:sz w:val="24"/>
          <w:szCs w:val="24"/>
          <w:lang w:val="en-GB"/>
        </w:rPr>
        <w:t>855 million judgment against the insurer</w:t>
      </w:r>
      <w:r w:rsidR="00964D0D" w:rsidRPr="001A75E8">
        <w:rPr>
          <w:rFonts w:cs="Times New Roman"/>
          <w:b/>
          <w:bCs/>
          <w:sz w:val="24"/>
          <w:szCs w:val="24"/>
          <w:lang w:val="en-GB"/>
        </w:rPr>
        <w:t xml:space="preserve"> in the United Kingdom</w:t>
      </w:r>
      <w:r w:rsidR="002A5D45" w:rsidRPr="001A75E8">
        <w:rPr>
          <w:rFonts w:cs="Times New Roman"/>
          <w:b/>
          <w:bCs/>
          <w:sz w:val="24"/>
          <w:szCs w:val="24"/>
          <w:lang w:val="en-GB"/>
        </w:rPr>
        <w:t xml:space="preserve">. </w:t>
      </w:r>
      <w:r w:rsidR="00F3324E" w:rsidRPr="001A75E8">
        <w:rPr>
          <w:rFonts w:cs="Times New Roman"/>
          <w:b/>
          <w:bCs/>
          <w:sz w:val="24"/>
          <w:szCs w:val="24"/>
          <w:lang w:val="en-GB"/>
        </w:rPr>
        <w:t>Claim for civil liability of the Spanish and French State</w:t>
      </w:r>
      <w:r w:rsidR="001A21CD" w:rsidRPr="001A75E8">
        <w:rPr>
          <w:rFonts w:cs="Times New Roman"/>
          <w:b/>
          <w:bCs/>
          <w:sz w:val="24"/>
          <w:szCs w:val="24"/>
          <w:lang w:val="en-GB"/>
        </w:rPr>
        <w:t>s</w:t>
      </w:r>
      <w:r w:rsidR="00F3324E" w:rsidRPr="001A75E8">
        <w:rPr>
          <w:rFonts w:cs="Times New Roman"/>
          <w:b/>
          <w:bCs/>
          <w:sz w:val="24"/>
          <w:szCs w:val="24"/>
          <w:lang w:val="en-GB"/>
        </w:rPr>
        <w:t xml:space="preserve"> for breach of the arbitration agreement.</w:t>
      </w:r>
    </w:p>
    <w:p w14:paraId="18FD64E5" w14:textId="19F49F69" w:rsidR="00E23A92" w:rsidRPr="0001617C" w:rsidRDefault="00E70454">
      <w:pPr>
        <w:spacing w:before="120" w:after="120" w:line="240" w:lineRule="auto"/>
        <w:jc w:val="both"/>
        <w:rPr>
          <w:rFonts w:eastAsia="Times New Roman" w:cs="Times New Roman"/>
          <w:color w:val="000000"/>
          <w:sz w:val="24"/>
          <w:szCs w:val="24"/>
          <w:lang w:val="en-GB" w:eastAsia="es-ES"/>
        </w:rPr>
      </w:pPr>
      <w:r w:rsidRPr="0001617C">
        <w:rPr>
          <w:rFonts w:cs="Times New Roman"/>
          <w:sz w:val="24"/>
          <w:szCs w:val="24"/>
          <w:lang w:val="en-GB"/>
        </w:rPr>
        <w:t>In our opinion, t</w:t>
      </w:r>
      <w:r w:rsidR="00BB539D" w:rsidRPr="0001617C">
        <w:rPr>
          <w:rFonts w:cs="Times New Roman"/>
          <w:sz w:val="24"/>
          <w:szCs w:val="24"/>
          <w:lang w:val="en-GB"/>
        </w:rPr>
        <w:t xml:space="preserve">he </w:t>
      </w:r>
      <w:r w:rsidR="00F639B9" w:rsidRPr="0001617C">
        <w:rPr>
          <w:rFonts w:cs="Times New Roman"/>
          <w:sz w:val="24"/>
          <w:szCs w:val="24"/>
          <w:lang w:val="en-GB"/>
        </w:rPr>
        <w:t>submission</w:t>
      </w:r>
      <w:r w:rsidR="00CB7610" w:rsidRPr="0001617C">
        <w:rPr>
          <w:rFonts w:cs="Times New Roman"/>
          <w:sz w:val="24"/>
          <w:szCs w:val="24"/>
          <w:lang w:val="en-GB"/>
        </w:rPr>
        <w:t xml:space="preserve"> of the aforementioned </w:t>
      </w:r>
      <w:r w:rsidR="0042711F" w:rsidRPr="0001617C">
        <w:rPr>
          <w:rFonts w:cs="Times New Roman"/>
          <w:sz w:val="24"/>
          <w:szCs w:val="24"/>
          <w:lang w:val="en-GB"/>
        </w:rPr>
        <w:t xml:space="preserve">reference for a </w:t>
      </w:r>
      <w:r w:rsidR="00CB7610" w:rsidRPr="0001617C">
        <w:rPr>
          <w:rFonts w:cs="Times New Roman"/>
          <w:sz w:val="24"/>
          <w:szCs w:val="24"/>
          <w:lang w:val="en-GB"/>
        </w:rPr>
        <w:t>preliminary ruling by the High Court in</w:t>
      </w:r>
      <w:r w:rsidR="00CB7610" w:rsidRPr="0001617C">
        <w:rPr>
          <w:rFonts w:cs="Times New Roman"/>
          <w:i/>
          <w:iCs/>
          <w:sz w:val="24"/>
          <w:szCs w:val="24"/>
          <w:lang w:val="en-GB"/>
        </w:rPr>
        <w:t xml:space="preserve"> </w:t>
      </w:r>
      <w:r w:rsidR="0076491C" w:rsidRPr="0001617C">
        <w:rPr>
          <w:rFonts w:cs="Times New Roman"/>
          <w:sz w:val="24"/>
          <w:szCs w:val="24"/>
          <w:lang w:val="en-GB"/>
        </w:rPr>
        <w:t xml:space="preserve">charge of enforcing the order of the Provincial Court of A Coruña in the United Kingdom </w:t>
      </w:r>
      <w:r w:rsidR="00CB7610" w:rsidRPr="0001617C">
        <w:rPr>
          <w:rFonts w:cs="Times New Roman"/>
          <w:sz w:val="24"/>
          <w:szCs w:val="24"/>
          <w:lang w:val="en-GB"/>
        </w:rPr>
        <w:t xml:space="preserve">constituted an obstacle in the </w:t>
      </w:r>
      <w:r w:rsidR="0076491C" w:rsidRPr="0001617C">
        <w:rPr>
          <w:rFonts w:cs="Times New Roman"/>
          <w:sz w:val="24"/>
          <w:szCs w:val="24"/>
          <w:lang w:val="en-GB"/>
        </w:rPr>
        <w:t xml:space="preserve">procedural defence strategy of the </w:t>
      </w:r>
      <w:r w:rsidR="005A10DF" w:rsidRPr="0001617C">
        <w:rPr>
          <w:rFonts w:cs="Times New Roman"/>
          <w:sz w:val="24"/>
          <w:szCs w:val="24"/>
          <w:lang w:val="en-GB"/>
        </w:rPr>
        <w:t>P&amp;I Club</w:t>
      </w:r>
      <w:r w:rsidR="0076491C" w:rsidRPr="0001617C">
        <w:rPr>
          <w:rFonts w:cs="Times New Roman"/>
          <w:sz w:val="24"/>
          <w:szCs w:val="24"/>
          <w:lang w:val="en-GB"/>
        </w:rPr>
        <w:t xml:space="preserve">. </w:t>
      </w:r>
      <w:r w:rsidR="00430E5F" w:rsidRPr="0001617C">
        <w:rPr>
          <w:rFonts w:cs="Times New Roman"/>
          <w:sz w:val="24"/>
          <w:szCs w:val="24"/>
          <w:lang w:val="en-GB"/>
        </w:rPr>
        <w:t>At p</w:t>
      </w:r>
      <w:r w:rsidR="0076491C" w:rsidRPr="0001617C">
        <w:rPr>
          <w:rFonts w:cs="Times New Roman"/>
          <w:sz w:val="24"/>
          <w:szCs w:val="24"/>
          <w:lang w:val="en-GB"/>
        </w:rPr>
        <w:t xml:space="preserve">recisely at the </w:t>
      </w:r>
      <w:r w:rsidR="00363EEB" w:rsidRPr="0001617C">
        <w:rPr>
          <w:rFonts w:cs="Times New Roman"/>
          <w:sz w:val="24"/>
          <w:szCs w:val="24"/>
          <w:lang w:val="en-GB"/>
        </w:rPr>
        <w:t>beginning of the Brexit transition period</w:t>
      </w:r>
      <w:r w:rsidR="00001E9C" w:rsidRPr="0001617C">
        <w:rPr>
          <w:rFonts w:cs="Times New Roman"/>
          <w:sz w:val="24"/>
          <w:szCs w:val="24"/>
          <w:lang w:val="en-GB"/>
        </w:rPr>
        <w:t>, the High Court</w:t>
      </w:r>
      <w:r w:rsidR="00001E9C" w:rsidRPr="0001617C">
        <w:rPr>
          <w:rFonts w:cs="Times New Roman"/>
          <w:i/>
          <w:iCs/>
          <w:sz w:val="24"/>
          <w:szCs w:val="24"/>
          <w:lang w:val="en-GB"/>
        </w:rPr>
        <w:t xml:space="preserve"> </w:t>
      </w:r>
      <w:r w:rsidR="00F639B9" w:rsidRPr="0001617C">
        <w:rPr>
          <w:rFonts w:cs="Times New Roman"/>
          <w:sz w:val="24"/>
          <w:szCs w:val="24"/>
          <w:lang w:val="en-GB"/>
        </w:rPr>
        <w:t>submitted</w:t>
      </w:r>
      <w:r w:rsidR="00001E9C" w:rsidRPr="0001617C">
        <w:rPr>
          <w:rFonts w:cs="Times New Roman"/>
          <w:sz w:val="24"/>
          <w:szCs w:val="24"/>
          <w:lang w:val="en-GB"/>
        </w:rPr>
        <w:t xml:space="preserve"> a </w:t>
      </w:r>
      <w:r w:rsidR="0086766A" w:rsidRPr="0001617C">
        <w:rPr>
          <w:rFonts w:cs="Times New Roman"/>
          <w:sz w:val="24"/>
          <w:szCs w:val="24"/>
          <w:lang w:val="en-GB"/>
        </w:rPr>
        <w:t xml:space="preserve">reference for a preliminary ruling </w:t>
      </w:r>
      <w:r w:rsidR="00001E9C" w:rsidRPr="0001617C">
        <w:rPr>
          <w:rFonts w:cs="Times New Roman"/>
          <w:sz w:val="24"/>
          <w:szCs w:val="24"/>
          <w:lang w:val="en-GB"/>
        </w:rPr>
        <w:t>that affect</w:t>
      </w:r>
      <w:r w:rsidR="0086766A" w:rsidRPr="0001617C">
        <w:rPr>
          <w:rFonts w:cs="Times New Roman"/>
          <w:sz w:val="24"/>
          <w:szCs w:val="24"/>
          <w:lang w:val="en-GB"/>
        </w:rPr>
        <w:t>ed</w:t>
      </w:r>
      <w:r w:rsidR="00001E9C" w:rsidRPr="0001617C">
        <w:rPr>
          <w:rFonts w:cs="Times New Roman"/>
          <w:sz w:val="24"/>
          <w:szCs w:val="24"/>
          <w:lang w:val="en-GB"/>
        </w:rPr>
        <w:t xml:space="preserve"> the </w:t>
      </w:r>
      <w:r w:rsidR="003160AA" w:rsidRPr="0001617C">
        <w:rPr>
          <w:rFonts w:cs="Times New Roman"/>
          <w:sz w:val="24"/>
          <w:szCs w:val="24"/>
          <w:lang w:val="en-GB"/>
        </w:rPr>
        <w:t>foundations</w:t>
      </w:r>
      <w:r w:rsidR="00001E9C" w:rsidRPr="0001617C">
        <w:rPr>
          <w:rFonts w:cs="Times New Roman"/>
          <w:sz w:val="24"/>
          <w:szCs w:val="24"/>
          <w:lang w:val="en-GB"/>
        </w:rPr>
        <w:t xml:space="preserve"> of the protectionism of London arbitration. This was the understanding of the </w:t>
      </w:r>
      <w:r w:rsidR="005A10DF" w:rsidRPr="0001617C">
        <w:rPr>
          <w:rFonts w:cs="Times New Roman"/>
          <w:sz w:val="24"/>
          <w:szCs w:val="24"/>
          <w:lang w:val="en-GB"/>
        </w:rPr>
        <w:t>P&amp;I Club</w:t>
      </w:r>
      <w:r w:rsidR="00001E9C" w:rsidRPr="0001617C">
        <w:rPr>
          <w:rFonts w:cs="Times New Roman"/>
          <w:sz w:val="24"/>
          <w:szCs w:val="24"/>
          <w:lang w:val="en-GB"/>
        </w:rPr>
        <w:t xml:space="preserve">, which </w:t>
      </w:r>
      <w:r w:rsidR="00CB7610" w:rsidRPr="0001617C">
        <w:rPr>
          <w:rFonts w:cs="Times New Roman"/>
          <w:sz w:val="24"/>
          <w:szCs w:val="24"/>
          <w:lang w:val="en-GB"/>
        </w:rPr>
        <w:t xml:space="preserve">lodged an </w:t>
      </w:r>
      <w:r w:rsidR="003F67FC" w:rsidRPr="0001617C">
        <w:rPr>
          <w:rFonts w:eastAsia="Times New Roman" w:cs="Times New Roman"/>
          <w:color w:val="000000"/>
          <w:sz w:val="24"/>
          <w:szCs w:val="24"/>
          <w:lang w:val="en-GB" w:eastAsia="es-ES"/>
        </w:rPr>
        <w:t xml:space="preserve">appeal </w:t>
      </w:r>
      <w:r w:rsidR="0076491C" w:rsidRPr="0001617C">
        <w:rPr>
          <w:rFonts w:eastAsia="Times New Roman" w:cs="Times New Roman"/>
          <w:color w:val="000000"/>
          <w:sz w:val="24"/>
          <w:szCs w:val="24"/>
          <w:lang w:val="en-GB" w:eastAsia="es-ES"/>
        </w:rPr>
        <w:t>against the submission of the reference for a preliminary ruling</w:t>
      </w:r>
      <w:r w:rsidR="00001E9C" w:rsidRPr="0001617C">
        <w:rPr>
          <w:rFonts w:eastAsia="Times New Roman" w:cs="Times New Roman"/>
          <w:color w:val="000000"/>
          <w:sz w:val="24"/>
          <w:szCs w:val="24"/>
          <w:lang w:val="en-GB" w:eastAsia="es-ES"/>
        </w:rPr>
        <w:t>.</w:t>
      </w:r>
      <w:r w:rsidR="0086766A" w:rsidRPr="0001617C">
        <w:rPr>
          <w:rFonts w:eastAsia="Times New Roman" w:cs="Times New Roman"/>
          <w:color w:val="000000"/>
          <w:sz w:val="24"/>
          <w:szCs w:val="24"/>
          <w:lang w:val="en-GB" w:eastAsia="es-ES"/>
        </w:rPr>
        <w:t xml:space="preserve"> </w:t>
      </w:r>
      <w:r w:rsidR="00001E9C" w:rsidRPr="0001617C">
        <w:rPr>
          <w:rFonts w:eastAsia="Times New Roman" w:cs="Times New Roman"/>
          <w:color w:val="000000"/>
          <w:sz w:val="24"/>
          <w:szCs w:val="24"/>
          <w:lang w:val="en-GB" w:eastAsia="es-ES"/>
        </w:rPr>
        <w:t xml:space="preserve"> </w:t>
      </w:r>
    </w:p>
    <w:p w14:paraId="4C145DB0" w14:textId="784DCF1D" w:rsidR="00E23A92" w:rsidRPr="0001617C" w:rsidRDefault="003F67FC">
      <w:pPr>
        <w:spacing w:before="120" w:after="120" w:line="240" w:lineRule="auto"/>
        <w:jc w:val="both"/>
        <w:rPr>
          <w:rFonts w:cs="Times New Roman"/>
          <w:sz w:val="24"/>
          <w:szCs w:val="24"/>
          <w:lang w:val="en-GB"/>
        </w:rPr>
      </w:pPr>
      <w:r w:rsidRPr="0001617C">
        <w:rPr>
          <w:rFonts w:eastAsia="Times New Roman" w:cs="Times New Roman"/>
          <w:color w:val="000000"/>
          <w:sz w:val="24"/>
          <w:szCs w:val="24"/>
          <w:lang w:val="en-GB" w:eastAsia="es-ES"/>
        </w:rPr>
        <w:t>The judgment of 1 March 2022 of the Court of Appeal</w:t>
      </w:r>
      <w:r w:rsidRPr="0001617C">
        <w:rPr>
          <w:rFonts w:eastAsia="Times New Roman" w:cs="Times New Roman"/>
          <w:i/>
          <w:iCs/>
          <w:color w:val="000000"/>
          <w:sz w:val="24"/>
          <w:szCs w:val="24"/>
          <w:lang w:val="en-GB" w:eastAsia="es-ES"/>
        </w:rPr>
        <w:t xml:space="preserve"> </w:t>
      </w:r>
      <w:r w:rsidRPr="0001617C">
        <w:rPr>
          <w:rFonts w:eastAsia="Times New Roman" w:cs="Times New Roman"/>
          <w:color w:val="000000"/>
          <w:sz w:val="24"/>
          <w:szCs w:val="24"/>
          <w:lang w:val="en-GB" w:eastAsia="es-ES"/>
        </w:rPr>
        <w:t>accepts the P&amp;I Club</w:t>
      </w:r>
      <w:r w:rsidR="00B84357" w:rsidRPr="0001617C">
        <w:rPr>
          <w:rFonts w:eastAsia="Times New Roman" w:cs="Times New Roman"/>
          <w:color w:val="000000"/>
          <w:sz w:val="24"/>
          <w:szCs w:val="24"/>
          <w:lang w:val="en-GB" w:eastAsia="es-ES"/>
        </w:rPr>
        <w:t>’</w:t>
      </w:r>
      <w:r w:rsidRPr="0001617C">
        <w:rPr>
          <w:rFonts w:eastAsia="Times New Roman" w:cs="Times New Roman"/>
          <w:color w:val="000000"/>
          <w:sz w:val="24"/>
          <w:szCs w:val="24"/>
          <w:lang w:val="en-GB" w:eastAsia="es-ES"/>
        </w:rPr>
        <w:t>s request and obliges the High Court to</w:t>
      </w:r>
      <w:r w:rsidRPr="0001617C">
        <w:rPr>
          <w:rFonts w:eastAsia="Times New Roman" w:cs="Times New Roman"/>
          <w:i/>
          <w:iCs/>
          <w:color w:val="000000"/>
          <w:sz w:val="24"/>
          <w:szCs w:val="24"/>
          <w:lang w:val="en-GB" w:eastAsia="es-ES"/>
        </w:rPr>
        <w:t xml:space="preserve"> </w:t>
      </w:r>
      <w:r w:rsidRPr="0001617C">
        <w:rPr>
          <w:rFonts w:eastAsia="Times New Roman" w:cs="Times New Roman"/>
          <w:color w:val="000000"/>
          <w:sz w:val="24"/>
          <w:szCs w:val="24"/>
          <w:lang w:val="en-GB" w:eastAsia="es-ES"/>
        </w:rPr>
        <w:t>withdraw the reference for a preliminary ruling</w:t>
      </w:r>
      <w:r w:rsidR="005260EF" w:rsidRPr="0001617C">
        <w:rPr>
          <w:rFonts w:eastAsia="Times New Roman" w:cs="Times New Roman"/>
          <w:color w:val="000000"/>
          <w:sz w:val="24"/>
          <w:szCs w:val="24"/>
          <w:lang w:val="en-GB" w:eastAsia="es-ES"/>
        </w:rPr>
        <w:t>.</w:t>
      </w:r>
      <w:r w:rsidRPr="0001617C">
        <w:rPr>
          <w:rStyle w:val="Refdenotaalpie"/>
          <w:rFonts w:eastAsia="Times New Roman" w:cs="Times New Roman"/>
          <w:color w:val="000000"/>
          <w:sz w:val="24"/>
          <w:szCs w:val="24"/>
          <w:lang w:val="en-GB" w:eastAsia="es-ES"/>
        </w:rPr>
        <w:footnoteReference w:id="21"/>
      </w:r>
      <w:r w:rsidRPr="0001617C">
        <w:rPr>
          <w:rFonts w:eastAsia="Times New Roman" w:cs="Times New Roman"/>
          <w:color w:val="000000"/>
          <w:sz w:val="24"/>
          <w:szCs w:val="24"/>
          <w:lang w:val="en-GB" w:eastAsia="es-ES"/>
        </w:rPr>
        <w:t xml:space="preserve"> It justifies </w:t>
      </w:r>
      <w:r w:rsidR="00B40F5F" w:rsidRPr="0001617C">
        <w:rPr>
          <w:rFonts w:eastAsia="Times New Roman" w:cs="Times New Roman"/>
          <w:color w:val="000000"/>
          <w:sz w:val="24"/>
          <w:szCs w:val="24"/>
          <w:lang w:val="en-GB" w:eastAsia="es-ES"/>
        </w:rPr>
        <w:t xml:space="preserve">this by stating </w:t>
      </w:r>
      <w:r w:rsidRPr="0001617C">
        <w:rPr>
          <w:rFonts w:eastAsia="Times New Roman" w:cs="Times New Roman"/>
          <w:color w:val="000000"/>
          <w:sz w:val="24"/>
          <w:szCs w:val="24"/>
          <w:lang w:val="en-GB" w:eastAsia="es-ES"/>
        </w:rPr>
        <w:t xml:space="preserve">that the decision to refer a question to the Court of Justice of the European Union for a preliminary ruling is not a purely discretionary matter, as the judge must first </w:t>
      </w:r>
      <w:r w:rsidR="000C7E87" w:rsidRPr="0001617C">
        <w:rPr>
          <w:rFonts w:eastAsia="Times New Roman" w:cs="Times New Roman"/>
          <w:color w:val="000000"/>
          <w:sz w:val="24"/>
          <w:szCs w:val="24"/>
          <w:lang w:val="en-GB" w:eastAsia="es-ES"/>
        </w:rPr>
        <w:t>be satisfied that</w:t>
      </w:r>
      <w:r w:rsidRPr="0001617C">
        <w:rPr>
          <w:rFonts w:eastAsia="Times New Roman" w:cs="Times New Roman"/>
          <w:color w:val="000000"/>
          <w:sz w:val="24"/>
          <w:szCs w:val="24"/>
          <w:lang w:val="en-GB" w:eastAsia="es-ES"/>
        </w:rPr>
        <w:t xml:space="preserve"> a legal test of its </w:t>
      </w:r>
      <w:r w:rsidR="0029009F" w:rsidRPr="0001617C">
        <w:rPr>
          <w:rFonts w:eastAsia="Times New Roman" w:cs="Times New Roman"/>
          <w:color w:val="000000"/>
          <w:sz w:val="24"/>
          <w:szCs w:val="24"/>
          <w:lang w:val="en-GB" w:eastAsia="es-ES"/>
        </w:rPr>
        <w:t>“</w:t>
      </w:r>
      <w:r w:rsidRPr="0001617C">
        <w:rPr>
          <w:rFonts w:eastAsia="Times New Roman" w:cs="Times New Roman"/>
          <w:color w:val="000000"/>
          <w:sz w:val="24"/>
          <w:szCs w:val="24"/>
          <w:lang w:val="en-GB" w:eastAsia="es-ES"/>
        </w:rPr>
        <w:t>necessity</w:t>
      </w:r>
      <w:r w:rsidR="0029009F" w:rsidRPr="0001617C">
        <w:rPr>
          <w:rFonts w:eastAsia="Times New Roman" w:cs="Times New Roman"/>
          <w:color w:val="000000"/>
          <w:sz w:val="24"/>
          <w:szCs w:val="24"/>
          <w:lang w:val="en-GB" w:eastAsia="es-ES"/>
        </w:rPr>
        <w:t>”</w:t>
      </w:r>
      <w:r w:rsidR="000C7E87" w:rsidRPr="0001617C">
        <w:rPr>
          <w:rFonts w:eastAsia="Times New Roman" w:cs="Times New Roman"/>
          <w:color w:val="000000"/>
          <w:sz w:val="24"/>
          <w:szCs w:val="24"/>
          <w:lang w:val="en-GB" w:eastAsia="es-ES"/>
        </w:rPr>
        <w:t xml:space="preserve"> has been met</w:t>
      </w:r>
      <w:r w:rsidRPr="0001617C">
        <w:rPr>
          <w:rFonts w:eastAsia="Times New Roman" w:cs="Times New Roman"/>
          <w:color w:val="000000"/>
          <w:sz w:val="24"/>
          <w:szCs w:val="24"/>
          <w:lang w:val="en-GB" w:eastAsia="es-ES"/>
        </w:rPr>
        <w:t>. It is a condition precedent which arises prior to</w:t>
      </w:r>
      <w:r w:rsidR="00D50CB1" w:rsidRPr="0001617C">
        <w:rPr>
          <w:rFonts w:eastAsia="Times New Roman" w:cs="Times New Roman"/>
          <w:color w:val="000000"/>
          <w:sz w:val="24"/>
          <w:szCs w:val="24"/>
          <w:lang w:val="en-GB" w:eastAsia="es-ES"/>
        </w:rPr>
        <w:t xml:space="preserve"> </w:t>
      </w:r>
      <w:r w:rsidRPr="0001617C">
        <w:rPr>
          <w:rFonts w:eastAsia="Times New Roman" w:cs="Times New Roman"/>
          <w:color w:val="000000"/>
          <w:sz w:val="24"/>
          <w:szCs w:val="24"/>
          <w:lang w:val="en-GB" w:eastAsia="es-ES"/>
        </w:rPr>
        <w:t>exercis</w:t>
      </w:r>
      <w:r w:rsidR="00D50CB1" w:rsidRPr="0001617C">
        <w:rPr>
          <w:rFonts w:eastAsia="Times New Roman" w:cs="Times New Roman"/>
          <w:color w:val="000000"/>
          <w:sz w:val="24"/>
          <w:szCs w:val="24"/>
          <w:lang w:val="en-GB" w:eastAsia="es-ES"/>
        </w:rPr>
        <w:t>ing</w:t>
      </w:r>
      <w:r w:rsidRPr="0001617C">
        <w:rPr>
          <w:rFonts w:eastAsia="Times New Roman" w:cs="Times New Roman"/>
          <w:color w:val="000000"/>
          <w:sz w:val="24"/>
          <w:szCs w:val="24"/>
          <w:lang w:val="en-GB" w:eastAsia="es-ES"/>
        </w:rPr>
        <w:t xml:space="preserve"> discretion </w:t>
      </w:r>
      <w:r w:rsidR="00D50CB1" w:rsidRPr="0001617C">
        <w:rPr>
          <w:rFonts w:eastAsia="Times New Roman" w:cs="Times New Roman"/>
          <w:color w:val="000000"/>
          <w:sz w:val="24"/>
          <w:szCs w:val="24"/>
          <w:lang w:val="en-GB" w:eastAsia="es-ES"/>
        </w:rPr>
        <w:t xml:space="preserve">as to </w:t>
      </w:r>
      <w:r w:rsidRPr="0001617C">
        <w:rPr>
          <w:rFonts w:eastAsia="Times New Roman" w:cs="Times New Roman"/>
          <w:color w:val="000000"/>
          <w:sz w:val="24"/>
          <w:szCs w:val="24"/>
          <w:lang w:val="en-GB" w:eastAsia="es-ES"/>
        </w:rPr>
        <w:t>whether or not to make a reference for a preliminary ruling. Moreover, it can be reviewed by the Court of Appeal. The judge</w:t>
      </w:r>
      <w:r w:rsidR="00B84357" w:rsidRPr="0001617C">
        <w:rPr>
          <w:rFonts w:eastAsia="Times New Roman" w:cs="Times New Roman"/>
          <w:color w:val="000000"/>
          <w:sz w:val="24"/>
          <w:szCs w:val="24"/>
          <w:lang w:val="en-GB" w:eastAsia="es-ES"/>
        </w:rPr>
        <w:t>’</w:t>
      </w:r>
      <w:r w:rsidRPr="0001617C">
        <w:rPr>
          <w:rFonts w:eastAsia="Times New Roman" w:cs="Times New Roman"/>
          <w:color w:val="000000"/>
          <w:sz w:val="24"/>
          <w:szCs w:val="24"/>
          <w:lang w:val="en-GB" w:eastAsia="es-ES"/>
        </w:rPr>
        <w:t xml:space="preserve">s discretion to make a reference only arises once the test </w:t>
      </w:r>
      <w:r w:rsidR="00856C50" w:rsidRPr="0001617C">
        <w:rPr>
          <w:rFonts w:eastAsia="Times New Roman" w:cs="Times New Roman"/>
          <w:color w:val="000000"/>
          <w:sz w:val="24"/>
          <w:szCs w:val="24"/>
          <w:lang w:val="en-GB" w:eastAsia="es-ES"/>
        </w:rPr>
        <w:t xml:space="preserve">of necessity </w:t>
      </w:r>
      <w:r w:rsidRPr="0001617C">
        <w:rPr>
          <w:rFonts w:eastAsia="Times New Roman" w:cs="Times New Roman"/>
          <w:color w:val="000000"/>
          <w:sz w:val="24"/>
          <w:szCs w:val="24"/>
          <w:lang w:val="en-GB" w:eastAsia="es-ES"/>
        </w:rPr>
        <w:t>has been satisfied. It considers that the High Court</w:t>
      </w:r>
      <w:r w:rsidRPr="0001617C">
        <w:rPr>
          <w:rFonts w:eastAsia="Times New Roman" w:cs="Times New Roman"/>
          <w:i/>
          <w:iCs/>
          <w:color w:val="000000"/>
          <w:sz w:val="24"/>
          <w:szCs w:val="24"/>
          <w:lang w:val="en-GB" w:eastAsia="es-ES"/>
        </w:rPr>
        <w:t xml:space="preserve"> </w:t>
      </w:r>
      <w:r w:rsidRPr="0001617C">
        <w:rPr>
          <w:rFonts w:eastAsia="Times New Roman" w:cs="Times New Roman"/>
          <w:color w:val="000000"/>
          <w:sz w:val="24"/>
          <w:szCs w:val="24"/>
          <w:lang w:val="en-GB" w:eastAsia="es-ES"/>
        </w:rPr>
        <w:t>applied the wrong test in considering the question of necessity.</w:t>
      </w:r>
      <w:r w:rsidR="00856C50" w:rsidRPr="0001617C">
        <w:rPr>
          <w:rFonts w:eastAsia="Times New Roman" w:cs="Times New Roman"/>
          <w:color w:val="000000"/>
          <w:sz w:val="24"/>
          <w:szCs w:val="24"/>
          <w:lang w:val="en-GB" w:eastAsia="es-ES"/>
        </w:rPr>
        <w:t xml:space="preserve"> </w:t>
      </w:r>
    </w:p>
    <w:p w14:paraId="724720CF" w14:textId="17EEA960" w:rsidR="00E23A92" w:rsidRPr="0001617C" w:rsidRDefault="00BB539D">
      <w:pPr>
        <w:spacing w:before="120" w:after="120" w:line="240" w:lineRule="auto"/>
        <w:jc w:val="both"/>
        <w:rPr>
          <w:rFonts w:eastAsia="Times New Roman" w:cs="Times New Roman"/>
          <w:color w:val="000000"/>
          <w:sz w:val="24"/>
          <w:szCs w:val="24"/>
          <w:lang w:val="en-GB" w:eastAsia="es-ES"/>
        </w:rPr>
      </w:pPr>
      <w:r w:rsidRPr="0001617C">
        <w:rPr>
          <w:rFonts w:eastAsia="Times New Roman" w:cs="Times New Roman"/>
          <w:color w:val="000000"/>
          <w:sz w:val="24"/>
          <w:szCs w:val="24"/>
          <w:lang w:val="en-GB" w:eastAsia="es-ES"/>
        </w:rPr>
        <w:lastRenderedPageBreak/>
        <w:t>The Spanish State s</w:t>
      </w:r>
      <w:r w:rsidR="008E4BE0" w:rsidRPr="0001617C">
        <w:rPr>
          <w:rFonts w:eastAsia="Times New Roman" w:cs="Times New Roman"/>
          <w:color w:val="000000"/>
          <w:sz w:val="24"/>
          <w:szCs w:val="24"/>
          <w:lang w:val="en-GB" w:eastAsia="es-ES"/>
        </w:rPr>
        <w:t>ought</w:t>
      </w:r>
      <w:r w:rsidRPr="0001617C">
        <w:rPr>
          <w:rFonts w:eastAsia="Times New Roman" w:cs="Times New Roman"/>
          <w:color w:val="000000"/>
          <w:sz w:val="24"/>
          <w:szCs w:val="24"/>
          <w:lang w:val="en-GB" w:eastAsia="es-ES"/>
        </w:rPr>
        <w:t xml:space="preserve"> permission to bring an appeal </w:t>
      </w:r>
      <w:r w:rsidR="008840E6" w:rsidRPr="0001617C">
        <w:rPr>
          <w:rFonts w:eastAsia="Times New Roman" w:cs="Times New Roman"/>
          <w:color w:val="000000"/>
          <w:sz w:val="24"/>
          <w:szCs w:val="24"/>
          <w:lang w:val="en-GB" w:eastAsia="es-ES"/>
        </w:rPr>
        <w:t>for</w:t>
      </w:r>
      <w:r w:rsidRPr="0001617C">
        <w:rPr>
          <w:rFonts w:eastAsia="Times New Roman" w:cs="Times New Roman"/>
          <w:color w:val="000000"/>
          <w:sz w:val="24"/>
          <w:szCs w:val="24"/>
          <w:lang w:val="en-GB" w:eastAsia="es-ES"/>
        </w:rPr>
        <w:t xml:space="preserve"> cassation before the Supreme Court. The purpose </w:t>
      </w:r>
      <w:r w:rsidR="00EE3B66" w:rsidRPr="0001617C">
        <w:rPr>
          <w:rFonts w:eastAsia="Times New Roman" w:cs="Times New Roman"/>
          <w:color w:val="000000"/>
          <w:sz w:val="24"/>
          <w:szCs w:val="24"/>
          <w:lang w:val="en-GB" w:eastAsia="es-ES"/>
        </w:rPr>
        <w:t>wa</w:t>
      </w:r>
      <w:r w:rsidRPr="0001617C">
        <w:rPr>
          <w:rFonts w:eastAsia="Times New Roman" w:cs="Times New Roman"/>
          <w:color w:val="000000"/>
          <w:sz w:val="24"/>
          <w:szCs w:val="24"/>
          <w:lang w:val="en-GB" w:eastAsia="es-ES"/>
        </w:rPr>
        <w:t>s to argue that the Court of Appeal</w:t>
      </w:r>
      <w:r w:rsidRPr="0001617C">
        <w:rPr>
          <w:rFonts w:eastAsia="Times New Roman" w:cs="Times New Roman"/>
          <w:i/>
          <w:iCs/>
          <w:color w:val="000000"/>
          <w:sz w:val="24"/>
          <w:szCs w:val="24"/>
          <w:lang w:val="en-GB" w:eastAsia="es-ES"/>
        </w:rPr>
        <w:t xml:space="preserve"> </w:t>
      </w:r>
      <w:r w:rsidRPr="0001617C">
        <w:rPr>
          <w:rFonts w:eastAsia="Times New Roman" w:cs="Times New Roman"/>
          <w:color w:val="000000"/>
          <w:sz w:val="24"/>
          <w:szCs w:val="24"/>
          <w:lang w:val="en-GB" w:eastAsia="es-ES"/>
        </w:rPr>
        <w:t>ha</w:t>
      </w:r>
      <w:r w:rsidR="008F28C7" w:rsidRPr="0001617C">
        <w:rPr>
          <w:rFonts w:eastAsia="Times New Roman" w:cs="Times New Roman"/>
          <w:color w:val="000000"/>
          <w:sz w:val="24"/>
          <w:szCs w:val="24"/>
          <w:lang w:val="en-GB" w:eastAsia="es-ES"/>
        </w:rPr>
        <w:t>d</w:t>
      </w:r>
      <w:r w:rsidRPr="0001617C">
        <w:rPr>
          <w:rFonts w:eastAsia="Times New Roman" w:cs="Times New Roman"/>
          <w:color w:val="000000"/>
          <w:sz w:val="24"/>
          <w:szCs w:val="24"/>
          <w:lang w:val="en-GB" w:eastAsia="es-ES"/>
        </w:rPr>
        <w:t xml:space="preserve"> erred in imposing </w:t>
      </w:r>
      <w:r w:rsidR="005B6269" w:rsidRPr="0001617C">
        <w:rPr>
          <w:rFonts w:eastAsia="Times New Roman" w:cs="Times New Roman"/>
          <w:color w:val="000000"/>
          <w:sz w:val="24"/>
          <w:szCs w:val="24"/>
          <w:lang w:val="en-GB" w:eastAsia="es-ES"/>
        </w:rPr>
        <w:t>the withdrawal</w:t>
      </w:r>
      <w:r w:rsidRPr="0001617C">
        <w:rPr>
          <w:rFonts w:eastAsia="Times New Roman" w:cs="Times New Roman"/>
          <w:color w:val="000000"/>
          <w:sz w:val="24"/>
          <w:szCs w:val="24"/>
          <w:lang w:val="en-GB" w:eastAsia="es-ES"/>
        </w:rPr>
        <w:t xml:space="preserve"> of the </w:t>
      </w:r>
      <w:r w:rsidR="001E59C0" w:rsidRPr="0001617C">
        <w:rPr>
          <w:rFonts w:eastAsia="Times New Roman" w:cs="Times New Roman"/>
          <w:color w:val="000000"/>
          <w:sz w:val="24"/>
          <w:szCs w:val="24"/>
          <w:lang w:val="en-GB" w:eastAsia="es-ES"/>
        </w:rPr>
        <w:t xml:space="preserve">reference for a </w:t>
      </w:r>
      <w:r w:rsidRPr="0001617C">
        <w:rPr>
          <w:rFonts w:eastAsia="Times New Roman" w:cs="Times New Roman"/>
          <w:color w:val="000000"/>
          <w:sz w:val="24"/>
          <w:szCs w:val="24"/>
          <w:lang w:val="en-GB" w:eastAsia="es-ES"/>
        </w:rPr>
        <w:t xml:space="preserve">preliminary ruling. However, </w:t>
      </w:r>
      <w:r w:rsidR="00934B6C" w:rsidRPr="0001617C">
        <w:rPr>
          <w:rFonts w:eastAsia="Times New Roman" w:cs="Times New Roman"/>
          <w:color w:val="000000"/>
          <w:sz w:val="24"/>
          <w:szCs w:val="24"/>
          <w:lang w:val="en-GB" w:eastAsia="es-ES"/>
        </w:rPr>
        <w:t>on 28 October 2022, the Supreme Court</w:t>
      </w:r>
      <w:r w:rsidR="00934B6C" w:rsidRPr="0001617C">
        <w:rPr>
          <w:rFonts w:eastAsia="Times New Roman" w:cs="Times New Roman"/>
          <w:i/>
          <w:iCs/>
          <w:color w:val="000000"/>
          <w:sz w:val="24"/>
          <w:szCs w:val="24"/>
          <w:lang w:val="en-GB" w:eastAsia="es-ES"/>
        </w:rPr>
        <w:t xml:space="preserve"> </w:t>
      </w:r>
      <w:r w:rsidR="0036671B" w:rsidRPr="0001617C">
        <w:rPr>
          <w:rFonts w:eastAsia="Times New Roman" w:cs="Times New Roman"/>
          <w:color w:val="000000"/>
          <w:sz w:val="24"/>
          <w:szCs w:val="24"/>
          <w:lang w:val="en-GB" w:eastAsia="es-ES"/>
        </w:rPr>
        <w:t>notified</w:t>
      </w:r>
      <w:r w:rsidR="00934B6C" w:rsidRPr="0001617C">
        <w:rPr>
          <w:rFonts w:eastAsia="Times New Roman" w:cs="Times New Roman"/>
          <w:color w:val="000000"/>
          <w:sz w:val="24"/>
          <w:szCs w:val="24"/>
          <w:lang w:val="en-GB" w:eastAsia="es-ES"/>
        </w:rPr>
        <w:t xml:space="preserve"> that permission for </w:t>
      </w:r>
      <w:r w:rsidR="00D45770" w:rsidRPr="0001617C">
        <w:rPr>
          <w:rFonts w:eastAsia="Times New Roman" w:cs="Times New Roman"/>
          <w:color w:val="000000"/>
          <w:sz w:val="24"/>
          <w:szCs w:val="24"/>
          <w:lang w:val="en-GB" w:eastAsia="es-ES"/>
        </w:rPr>
        <w:t xml:space="preserve">the Spanish State to appeal </w:t>
      </w:r>
      <w:r w:rsidR="00934B6C" w:rsidRPr="0001617C">
        <w:rPr>
          <w:rFonts w:eastAsia="Times New Roman" w:cs="Times New Roman"/>
          <w:color w:val="000000"/>
          <w:sz w:val="24"/>
          <w:szCs w:val="24"/>
          <w:lang w:val="en-GB" w:eastAsia="es-ES"/>
        </w:rPr>
        <w:t xml:space="preserve">was refused, because </w:t>
      </w:r>
      <w:r w:rsidR="0029009F" w:rsidRPr="0001617C">
        <w:rPr>
          <w:rFonts w:eastAsia="Times New Roman" w:cs="Times New Roman"/>
          <w:color w:val="000000"/>
          <w:sz w:val="24"/>
          <w:szCs w:val="24"/>
          <w:lang w:val="en-GB" w:eastAsia="es-ES"/>
        </w:rPr>
        <w:t>“</w:t>
      </w:r>
      <w:r w:rsidR="00934B6C" w:rsidRPr="0001617C">
        <w:rPr>
          <w:rFonts w:eastAsia="Times New Roman" w:cs="Times New Roman"/>
          <w:i/>
          <w:iCs/>
          <w:color w:val="000000"/>
          <w:sz w:val="24"/>
          <w:szCs w:val="24"/>
          <w:lang w:val="en-GB" w:eastAsia="es-ES"/>
        </w:rPr>
        <w:t>the application does not raise an arguable point of law</w:t>
      </w:r>
      <w:r w:rsidR="00293003" w:rsidRPr="0001617C">
        <w:rPr>
          <w:rFonts w:eastAsia="Times New Roman" w:cs="Times New Roman"/>
          <w:i/>
          <w:iCs/>
          <w:color w:val="000000"/>
          <w:sz w:val="24"/>
          <w:szCs w:val="24"/>
          <w:lang w:val="en-GB" w:eastAsia="es-ES"/>
        </w:rPr>
        <w:t>.</w:t>
      </w:r>
      <w:r w:rsidR="0029009F" w:rsidRPr="0001617C">
        <w:rPr>
          <w:rFonts w:eastAsia="Times New Roman" w:cs="Times New Roman"/>
          <w:color w:val="000000"/>
          <w:sz w:val="24"/>
          <w:szCs w:val="24"/>
          <w:lang w:val="en-GB" w:eastAsia="es-ES"/>
        </w:rPr>
        <w:t>”</w:t>
      </w:r>
      <w:r w:rsidR="00AB2051" w:rsidRPr="0001617C">
        <w:rPr>
          <w:rStyle w:val="Refdenotaalpie"/>
          <w:rFonts w:eastAsia="Times New Roman" w:cs="Times New Roman"/>
          <w:color w:val="000000"/>
          <w:sz w:val="24"/>
          <w:szCs w:val="24"/>
          <w:lang w:val="en-GB" w:eastAsia="es-ES"/>
        </w:rPr>
        <w:footnoteReference w:id="22"/>
      </w:r>
      <w:r w:rsidR="00AB2051" w:rsidRPr="0001617C">
        <w:rPr>
          <w:rFonts w:eastAsia="Times New Roman" w:cs="Times New Roman"/>
          <w:color w:val="000000"/>
          <w:sz w:val="24"/>
          <w:szCs w:val="24"/>
          <w:lang w:val="en-GB" w:eastAsia="es-ES"/>
        </w:rPr>
        <w:t xml:space="preserve"> </w:t>
      </w:r>
      <w:r w:rsidR="00001E9C" w:rsidRPr="0001617C">
        <w:rPr>
          <w:rFonts w:eastAsia="Times New Roman" w:cs="Times New Roman"/>
          <w:color w:val="000000"/>
          <w:sz w:val="24"/>
          <w:szCs w:val="24"/>
          <w:lang w:val="en-GB" w:eastAsia="es-ES"/>
        </w:rPr>
        <w:t xml:space="preserve">It did not enter into the merits of the case, but simply dismissed the appeal. </w:t>
      </w:r>
    </w:p>
    <w:p w14:paraId="1B95DD1A" w14:textId="6055BD47" w:rsidR="00E23A92" w:rsidRPr="0001617C" w:rsidRDefault="00BB539D">
      <w:pPr>
        <w:spacing w:before="120" w:after="120" w:line="240" w:lineRule="auto"/>
        <w:jc w:val="both"/>
        <w:rPr>
          <w:rFonts w:cs="Times New Roman"/>
          <w:sz w:val="24"/>
          <w:szCs w:val="24"/>
          <w:lang w:val="en-GB"/>
        </w:rPr>
      </w:pPr>
      <w:r w:rsidRPr="0001617C">
        <w:rPr>
          <w:rFonts w:cs="Times New Roman"/>
          <w:sz w:val="24"/>
          <w:szCs w:val="24"/>
          <w:lang w:val="en-GB"/>
        </w:rPr>
        <w:t xml:space="preserve">Once the case was referred back to the </w:t>
      </w:r>
      <w:r w:rsidR="00D45770" w:rsidRPr="0001617C">
        <w:rPr>
          <w:rFonts w:cs="Times New Roman"/>
          <w:sz w:val="24"/>
          <w:szCs w:val="24"/>
          <w:lang w:val="en-GB"/>
        </w:rPr>
        <w:t>High Court</w:t>
      </w:r>
      <w:r w:rsidRPr="0001617C">
        <w:rPr>
          <w:rFonts w:cs="Times New Roman"/>
          <w:sz w:val="24"/>
          <w:szCs w:val="24"/>
          <w:lang w:val="en-GB"/>
        </w:rPr>
        <w:t xml:space="preserve">, by judgment </w:t>
      </w:r>
      <w:r w:rsidR="00D45770" w:rsidRPr="0001617C">
        <w:rPr>
          <w:rFonts w:cs="Times New Roman"/>
          <w:sz w:val="24"/>
          <w:szCs w:val="24"/>
          <w:lang w:val="en-GB"/>
        </w:rPr>
        <w:t xml:space="preserve">of 6 October 2023, </w:t>
      </w:r>
      <w:r w:rsidRPr="0001617C">
        <w:rPr>
          <w:rFonts w:cs="Times New Roman"/>
          <w:sz w:val="24"/>
          <w:szCs w:val="24"/>
          <w:lang w:val="en-GB"/>
        </w:rPr>
        <w:t>the Judge</w:t>
      </w:r>
      <w:r w:rsidR="009765C3" w:rsidRPr="0001617C">
        <w:rPr>
          <w:rFonts w:cs="Times New Roman"/>
          <w:sz w:val="24"/>
          <w:szCs w:val="24"/>
          <w:lang w:val="en-GB"/>
        </w:rPr>
        <w:t xml:space="preserve"> (</w:t>
      </w:r>
      <w:r w:rsidRPr="0001617C">
        <w:rPr>
          <w:rFonts w:cs="Times New Roman"/>
          <w:sz w:val="24"/>
          <w:szCs w:val="24"/>
          <w:lang w:val="en-GB"/>
        </w:rPr>
        <w:t xml:space="preserve">the same Judge who </w:t>
      </w:r>
      <w:r w:rsidR="007865D2" w:rsidRPr="0001617C">
        <w:rPr>
          <w:rFonts w:cs="Times New Roman"/>
          <w:sz w:val="24"/>
          <w:szCs w:val="24"/>
          <w:lang w:val="en-GB"/>
        </w:rPr>
        <w:t>was responsible for registering the enforcement of the Spanish order in the United Kingdom and who</w:t>
      </w:r>
      <w:r w:rsidR="009039F6" w:rsidRPr="0001617C">
        <w:rPr>
          <w:rFonts w:cs="Times New Roman"/>
          <w:sz w:val="24"/>
          <w:szCs w:val="24"/>
          <w:lang w:val="en-GB"/>
        </w:rPr>
        <w:t>,</w:t>
      </w:r>
      <w:r w:rsidR="007865D2" w:rsidRPr="0001617C">
        <w:rPr>
          <w:rFonts w:cs="Times New Roman"/>
          <w:sz w:val="24"/>
          <w:szCs w:val="24"/>
          <w:lang w:val="en-GB"/>
        </w:rPr>
        <w:t xml:space="preserve"> at the time</w:t>
      </w:r>
      <w:r w:rsidR="009039F6" w:rsidRPr="0001617C">
        <w:rPr>
          <w:rFonts w:cs="Times New Roman"/>
          <w:sz w:val="24"/>
          <w:szCs w:val="24"/>
          <w:lang w:val="en-GB"/>
        </w:rPr>
        <w:t>,</w:t>
      </w:r>
      <w:r w:rsidR="007865D2" w:rsidRPr="0001617C">
        <w:rPr>
          <w:rFonts w:cs="Times New Roman"/>
          <w:sz w:val="24"/>
          <w:szCs w:val="24"/>
          <w:lang w:val="en-GB"/>
        </w:rPr>
        <w:t xml:space="preserve"> raised the question </w:t>
      </w:r>
      <w:r w:rsidR="009039F6" w:rsidRPr="0001617C">
        <w:rPr>
          <w:rFonts w:cs="Times New Roman"/>
          <w:sz w:val="24"/>
          <w:szCs w:val="24"/>
          <w:lang w:val="en-GB"/>
        </w:rPr>
        <w:t xml:space="preserve">of </w:t>
      </w:r>
      <w:r w:rsidR="007865D2" w:rsidRPr="0001617C">
        <w:rPr>
          <w:rFonts w:cs="Times New Roman"/>
          <w:sz w:val="24"/>
          <w:szCs w:val="24"/>
          <w:lang w:val="en-GB"/>
        </w:rPr>
        <w:t>a preliminary ruling before the Court of Justice of the European Union</w:t>
      </w:r>
      <w:r w:rsidR="00EF158B" w:rsidRPr="0001617C">
        <w:rPr>
          <w:rFonts w:cs="Times New Roman"/>
          <w:sz w:val="24"/>
          <w:szCs w:val="24"/>
          <w:lang w:val="en-GB"/>
        </w:rPr>
        <w:t>) admitted</w:t>
      </w:r>
      <w:r w:rsidR="00F05770" w:rsidRPr="0001617C">
        <w:rPr>
          <w:rFonts w:cs="Times New Roman"/>
          <w:sz w:val="24"/>
          <w:szCs w:val="24"/>
          <w:lang w:val="en-GB"/>
        </w:rPr>
        <w:t xml:space="preserve"> the P&amp;I </w:t>
      </w:r>
      <w:r w:rsidR="00EF158B" w:rsidRPr="0001617C">
        <w:rPr>
          <w:rFonts w:cs="Times New Roman"/>
          <w:sz w:val="24"/>
          <w:szCs w:val="24"/>
          <w:lang w:val="en-GB"/>
        </w:rPr>
        <w:t>Club</w:t>
      </w:r>
      <w:r w:rsidR="00112AB7" w:rsidRPr="0001617C">
        <w:rPr>
          <w:rFonts w:cs="Times New Roman"/>
          <w:sz w:val="24"/>
          <w:szCs w:val="24"/>
          <w:lang w:val="en-GB"/>
        </w:rPr>
        <w:t>’s appeal</w:t>
      </w:r>
      <w:r w:rsidR="00EF158B" w:rsidRPr="0001617C">
        <w:rPr>
          <w:rFonts w:cs="Times New Roman"/>
          <w:sz w:val="24"/>
          <w:szCs w:val="24"/>
          <w:lang w:val="en-GB"/>
        </w:rPr>
        <w:t xml:space="preserve"> </w:t>
      </w:r>
      <w:r w:rsidR="00F05770" w:rsidRPr="0001617C">
        <w:rPr>
          <w:rFonts w:cs="Times New Roman"/>
          <w:sz w:val="24"/>
          <w:szCs w:val="24"/>
          <w:lang w:val="en-GB"/>
        </w:rPr>
        <w:t xml:space="preserve">against the enforcement of the </w:t>
      </w:r>
      <w:r w:rsidR="00E432A2" w:rsidRPr="0001617C">
        <w:rPr>
          <w:rFonts w:cs="Times New Roman"/>
          <w:sz w:val="24"/>
          <w:szCs w:val="24"/>
          <w:lang w:val="en-GB"/>
        </w:rPr>
        <w:t xml:space="preserve">order of the Provincial Court of A Coruña of 1 March 2019 on the </w:t>
      </w:r>
      <w:r w:rsidR="00F05770" w:rsidRPr="0001617C">
        <w:rPr>
          <w:rFonts w:cs="Times New Roman"/>
          <w:sz w:val="24"/>
          <w:szCs w:val="24"/>
          <w:lang w:val="en-GB"/>
        </w:rPr>
        <w:t>grounds that</w:t>
      </w:r>
      <w:r w:rsidR="00C86EF5" w:rsidRPr="0001617C">
        <w:rPr>
          <w:rFonts w:cs="Times New Roman"/>
          <w:sz w:val="24"/>
          <w:szCs w:val="24"/>
          <w:lang w:val="en-GB"/>
        </w:rPr>
        <w:t>:</w:t>
      </w:r>
    </w:p>
    <w:p w14:paraId="5F5001EA" w14:textId="15914393" w:rsidR="00E23A92" w:rsidRPr="0001617C" w:rsidRDefault="001D2683">
      <w:pPr>
        <w:pStyle w:val="Prrafodelista"/>
        <w:numPr>
          <w:ilvl w:val="0"/>
          <w:numId w:val="46"/>
        </w:numPr>
        <w:spacing w:before="120" w:after="120" w:line="240" w:lineRule="auto"/>
        <w:jc w:val="both"/>
        <w:rPr>
          <w:rFonts w:cs="Times New Roman"/>
          <w:sz w:val="24"/>
          <w:szCs w:val="24"/>
          <w:lang w:val="en-GB"/>
        </w:rPr>
      </w:pPr>
      <w:r w:rsidRPr="0001617C">
        <w:rPr>
          <w:rFonts w:cs="Times New Roman"/>
          <w:sz w:val="24"/>
          <w:szCs w:val="24"/>
          <w:lang w:val="en-GB"/>
        </w:rPr>
        <w:t>He</w:t>
      </w:r>
      <w:r w:rsidR="00BB539D" w:rsidRPr="0001617C">
        <w:rPr>
          <w:rFonts w:cs="Times New Roman"/>
          <w:sz w:val="24"/>
          <w:szCs w:val="24"/>
          <w:lang w:val="en-GB"/>
        </w:rPr>
        <w:t xml:space="preserve"> does not consider </w:t>
      </w:r>
      <w:r w:rsidRPr="0001617C">
        <w:rPr>
          <w:rFonts w:cs="Times New Roman"/>
          <w:sz w:val="24"/>
          <w:szCs w:val="24"/>
          <w:lang w:val="en-GB"/>
        </w:rPr>
        <w:t>himself</w:t>
      </w:r>
      <w:r w:rsidR="00BB539D" w:rsidRPr="0001617C">
        <w:rPr>
          <w:rFonts w:cs="Times New Roman"/>
          <w:sz w:val="24"/>
          <w:szCs w:val="24"/>
          <w:lang w:val="en-GB"/>
        </w:rPr>
        <w:t xml:space="preserve"> bound by the </w:t>
      </w:r>
      <w:r w:rsidR="00F200CC" w:rsidRPr="0001617C">
        <w:rPr>
          <w:rFonts w:cs="Times New Roman"/>
          <w:sz w:val="24"/>
          <w:szCs w:val="24"/>
          <w:lang w:val="en-GB"/>
        </w:rPr>
        <w:t xml:space="preserve">judgment </w:t>
      </w:r>
      <w:r w:rsidR="00BB539D" w:rsidRPr="0001617C">
        <w:rPr>
          <w:rFonts w:cs="Times New Roman"/>
          <w:sz w:val="24"/>
          <w:szCs w:val="24"/>
          <w:lang w:val="en-GB"/>
        </w:rPr>
        <w:t xml:space="preserve">of the Court of Justice of the European Union </w:t>
      </w:r>
      <w:r w:rsidR="004A5299" w:rsidRPr="0001617C">
        <w:rPr>
          <w:rFonts w:cs="Times New Roman"/>
          <w:sz w:val="24"/>
          <w:szCs w:val="24"/>
          <w:lang w:val="en-GB"/>
        </w:rPr>
        <w:t>i</w:t>
      </w:r>
      <w:r w:rsidR="00F200CC" w:rsidRPr="0001617C">
        <w:rPr>
          <w:rFonts w:cs="Times New Roman"/>
          <w:sz w:val="24"/>
          <w:szCs w:val="24"/>
          <w:lang w:val="en-GB"/>
        </w:rPr>
        <w:t>n the preliminary ruling</w:t>
      </w:r>
      <w:r w:rsidR="0065131F" w:rsidRPr="0001617C">
        <w:rPr>
          <w:rFonts w:cs="Times New Roman"/>
          <w:sz w:val="24"/>
          <w:szCs w:val="24"/>
          <w:lang w:val="en-GB"/>
        </w:rPr>
        <w:t>,</w:t>
      </w:r>
      <w:r w:rsidR="00F200CC" w:rsidRPr="0001617C">
        <w:rPr>
          <w:rFonts w:cs="Times New Roman"/>
          <w:sz w:val="24"/>
          <w:szCs w:val="24"/>
          <w:lang w:val="en-GB"/>
        </w:rPr>
        <w:t xml:space="preserve"> </w:t>
      </w:r>
      <w:r w:rsidR="0065131F" w:rsidRPr="0001617C">
        <w:rPr>
          <w:rFonts w:cs="Times New Roman"/>
          <w:sz w:val="24"/>
          <w:szCs w:val="24"/>
          <w:lang w:val="en-GB"/>
        </w:rPr>
        <w:t>which he himself</w:t>
      </w:r>
      <w:r w:rsidR="00F200CC" w:rsidRPr="0001617C">
        <w:rPr>
          <w:rFonts w:cs="Times New Roman"/>
          <w:sz w:val="24"/>
          <w:szCs w:val="24"/>
          <w:lang w:val="en-GB"/>
        </w:rPr>
        <w:t xml:space="preserve"> had referred </w:t>
      </w:r>
      <w:r w:rsidR="00BB539D" w:rsidRPr="0001617C">
        <w:rPr>
          <w:rFonts w:cs="Times New Roman"/>
          <w:sz w:val="24"/>
          <w:szCs w:val="24"/>
          <w:lang w:val="en-GB"/>
        </w:rPr>
        <w:t>(paragraph 89)</w:t>
      </w:r>
      <w:r w:rsidR="00F200CC" w:rsidRPr="0001617C">
        <w:rPr>
          <w:rFonts w:cs="Times New Roman"/>
          <w:sz w:val="24"/>
          <w:szCs w:val="24"/>
          <w:lang w:val="en-GB"/>
        </w:rPr>
        <w:t xml:space="preserve">. He considers that in paragraphs 54 to 73 he ruled </w:t>
      </w:r>
      <w:r w:rsidR="00BB539D" w:rsidRPr="0001617C">
        <w:rPr>
          <w:rFonts w:cs="Times New Roman"/>
          <w:sz w:val="24"/>
          <w:szCs w:val="24"/>
          <w:lang w:val="en-GB"/>
        </w:rPr>
        <w:t xml:space="preserve">on matters which were not the subject of the question referred for a preliminary ruling (paragraphs 205, 209, 214, 224). He </w:t>
      </w:r>
      <w:r w:rsidR="00383D7F" w:rsidRPr="0001617C">
        <w:rPr>
          <w:rFonts w:cs="Times New Roman"/>
          <w:sz w:val="24"/>
          <w:szCs w:val="24"/>
          <w:lang w:val="en-GB"/>
        </w:rPr>
        <w:t>notes</w:t>
      </w:r>
      <w:r w:rsidR="00F200CC" w:rsidRPr="0001617C">
        <w:rPr>
          <w:rFonts w:cs="Times New Roman"/>
          <w:sz w:val="24"/>
          <w:szCs w:val="24"/>
          <w:lang w:val="en-GB"/>
        </w:rPr>
        <w:t xml:space="preserve"> that he did not ask about </w:t>
      </w:r>
      <w:r w:rsidR="00BB539D" w:rsidRPr="0001617C">
        <w:rPr>
          <w:rFonts w:cs="Times New Roman"/>
          <w:sz w:val="24"/>
          <w:szCs w:val="24"/>
          <w:lang w:val="en-GB"/>
        </w:rPr>
        <w:t xml:space="preserve">the irreconcilable nature of the English and Spanish decisions. He </w:t>
      </w:r>
      <w:r w:rsidR="00B818BD" w:rsidRPr="0001617C">
        <w:rPr>
          <w:rFonts w:cs="Times New Roman"/>
          <w:sz w:val="24"/>
          <w:szCs w:val="24"/>
          <w:lang w:val="en-GB"/>
        </w:rPr>
        <w:t>points out that he rejected the Spanish State</w:t>
      </w:r>
      <w:r w:rsidR="00B84357" w:rsidRPr="0001617C">
        <w:rPr>
          <w:rFonts w:cs="Times New Roman"/>
          <w:sz w:val="24"/>
          <w:szCs w:val="24"/>
          <w:lang w:val="en-GB"/>
        </w:rPr>
        <w:t>’</w:t>
      </w:r>
      <w:r w:rsidR="00B818BD" w:rsidRPr="0001617C">
        <w:rPr>
          <w:rFonts w:cs="Times New Roman"/>
          <w:sz w:val="24"/>
          <w:szCs w:val="24"/>
          <w:lang w:val="en-GB"/>
        </w:rPr>
        <w:t xml:space="preserve">s invitation to include the issue </w:t>
      </w:r>
      <w:r w:rsidR="00BB539D" w:rsidRPr="0001617C">
        <w:rPr>
          <w:rFonts w:cs="Times New Roman"/>
          <w:sz w:val="24"/>
          <w:szCs w:val="24"/>
          <w:lang w:val="en-GB"/>
        </w:rPr>
        <w:t xml:space="preserve">of the irreconcilable nature of the two </w:t>
      </w:r>
      <w:r w:rsidR="00B818BD" w:rsidRPr="0001617C">
        <w:rPr>
          <w:rFonts w:cs="Times New Roman"/>
          <w:sz w:val="24"/>
          <w:szCs w:val="24"/>
          <w:lang w:val="en-GB"/>
        </w:rPr>
        <w:t>decisions</w:t>
      </w:r>
      <w:r w:rsidR="00D81985" w:rsidRPr="0001617C">
        <w:rPr>
          <w:rFonts w:cs="Times New Roman"/>
          <w:sz w:val="24"/>
          <w:szCs w:val="24"/>
          <w:lang w:val="en-GB"/>
        </w:rPr>
        <w:t xml:space="preserve"> in the question referred for a preliminary ruling</w:t>
      </w:r>
      <w:r w:rsidR="00B818BD" w:rsidRPr="0001617C">
        <w:rPr>
          <w:rFonts w:cs="Times New Roman"/>
          <w:sz w:val="24"/>
          <w:szCs w:val="24"/>
          <w:lang w:val="en-GB"/>
        </w:rPr>
        <w:t xml:space="preserve"> (paragraph 36). </w:t>
      </w:r>
      <w:r w:rsidR="00F200CC" w:rsidRPr="0001617C">
        <w:rPr>
          <w:rFonts w:cs="Times New Roman"/>
          <w:sz w:val="24"/>
          <w:szCs w:val="24"/>
          <w:lang w:val="en-GB"/>
        </w:rPr>
        <w:t xml:space="preserve">Moreover, the </w:t>
      </w:r>
      <w:r w:rsidR="00BB539D" w:rsidRPr="0001617C">
        <w:rPr>
          <w:rFonts w:cs="Times New Roman"/>
          <w:sz w:val="24"/>
          <w:szCs w:val="24"/>
          <w:lang w:val="en-GB"/>
        </w:rPr>
        <w:t xml:space="preserve">Judge is supported in this regard by the </w:t>
      </w:r>
      <w:r w:rsidR="00B818BD" w:rsidRPr="0001617C">
        <w:rPr>
          <w:rFonts w:cs="Times New Roman"/>
          <w:sz w:val="24"/>
          <w:szCs w:val="24"/>
          <w:lang w:val="en-GB"/>
        </w:rPr>
        <w:t>Advocate General</w:t>
      </w:r>
      <w:r w:rsidR="00BB539D" w:rsidRPr="0001617C">
        <w:rPr>
          <w:rFonts w:cs="Times New Roman"/>
          <w:sz w:val="24"/>
          <w:szCs w:val="24"/>
          <w:lang w:val="en-GB"/>
        </w:rPr>
        <w:t xml:space="preserve">, who </w:t>
      </w:r>
      <w:r w:rsidR="00B818BD" w:rsidRPr="0001617C">
        <w:rPr>
          <w:rFonts w:cs="Times New Roman"/>
          <w:sz w:val="24"/>
          <w:szCs w:val="24"/>
          <w:lang w:val="en-GB"/>
        </w:rPr>
        <w:t>pointed out that the issue of the irreconcilability of the English and Spanish decisions was not included in the question referred for a preliminary ruling (paragraph 103).</w:t>
      </w:r>
    </w:p>
    <w:p w14:paraId="1B665530" w14:textId="455D6527" w:rsidR="00E23A92" w:rsidRPr="0001617C" w:rsidRDefault="0059217A">
      <w:pPr>
        <w:pStyle w:val="Prrafodelista"/>
        <w:numPr>
          <w:ilvl w:val="0"/>
          <w:numId w:val="46"/>
        </w:numPr>
        <w:spacing w:before="120" w:after="120" w:line="240" w:lineRule="auto"/>
        <w:jc w:val="both"/>
        <w:rPr>
          <w:rFonts w:cs="Times New Roman"/>
          <w:sz w:val="24"/>
          <w:szCs w:val="24"/>
          <w:lang w:val="en-GB"/>
        </w:rPr>
      </w:pPr>
      <w:r w:rsidRPr="0001617C">
        <w:rPr>
          <w:rFonts w:cs="Times New Roman"/>
          <w:sz w:val="24"/>
          <w:szCs w:val="24"/>
          <w:lang w:val="en-GB"/>
        </w:rPr>
        <w:t>He</w:t>
      </w:r>
      <w:r w:rsidR="00233642" w:rsidRPr="0001617C">
        <w:rPr>
          <w:rFonts w:cs="Times New Roman"/>
          <w:sz w:val="24"/>
          <w:szCs w:val="24"/>
          <w:lang w:val="en-GB"/>
        </w:rPr>
        <w:t xml:space="preserve"> considers that</w:t>
      </w:r>
      <w:r w:rsidR="00BB539D" w:rsidRPr="0001617C">
        <w:rPr>
          <w:rFonts w:cs="Times New Roman"/>
          <w:sz w:val="24"/>
          <w:szCs w:val="24"/>
          <w:lang w:val="en-GB"/>
        </w:rPr>
        <w:t xml:space="preserve">, in accordance with </w:t>
      </w:r>
      <w:r w:rsidR="00F200CC" w:rsidRPr="0001617C">
        <w:rPr>
          <w:rFonts w:cs="Times New Roman"/>
          <w:sz w:val="24"/>
          <w:szCs w:val="24"/>
          <w:lang w:val="en-GB"/>
        </w:rPr>
        <w:t xml:space="preserve">Article 34(3) of </w:t>
      </w:r>
      <w:r w:rsidR="00BB539D" w:rsidRPr="0001617C">
        <w:rPr>
          <w:rFonts w:cs="Times New Roman"/>
          <w:sz w:val="24"/>
          <w:szCs w:val="24"/>
          <w:lang w:val="en-GB"/>
        </w:rPr>
        <w:t xml:space="preserve">Regulation (EC) 44/2001, </w:t>
      </w:r>
      <w:r w:rsidR="00F200CC" w:rsidRPr="0001617C">
        <w:rPr>
          <w:rFonts w:cs="Times New Roman"/>
          <w:sz w:val="24"/>
          <w:szCs w:val="24"/>
          <w:lang w:val="en-GB"/>
        </w:rPr>
        <w:t xml:space="preserve">the order of the </w:t>
      </w:r>
      <w:r w:rsidR="00AD7DC6" w:rsidRPr="0001617C">
        <w:rPr>
          <w:rFonts w:cs="Times New Roman"/>
          <w:sz w:val="24"/>
          <w:szCs w:val="24"/>
          <w:lang w:val="en-GB"/>
        </w:rPr>
        <w:t>Provincial Court of</w:t>
      </w:r>
      <w:r w:rsidR="00F200CC" w:rsidRPr="0001617C">
        <w:rPr>
          <w:rFonts w:cs="Times New Roman"/>
          <w:sz w:val="24"/>
          <w:szCs w:val="24"/>
          <w:lang w:val="en-GB"/>
        </w:rPr>
        <w:t xml:space="preserve"> A Coruña of 1 March 2019 </w:t>
      </w:r>
      <w:r w:rsidR="00F05770" w:rsidRPr="0001617C">
        <w:rPr>
          <w:rFonts w:cs="Times New Roman"/>
          <w:sz w:val="24"/>
          <w:szCs w:val="24"/>
          <w:lang w:val="en-GB"/>
        </w:rPr>
        <w:t xml:space="preserve">is irreconcilable with the </w:t>
      </w:r>
      <w:r w:rsidR="007A37E4" w:rsidRPr="0001617C">
        <w:rPr>
          <w:rFonts w:cs="Times New Roman"/>
          <w:sz w:val="24"/>
          <w:szCs w:val="24"/>
          <w:lang w:val="en-GB"/>
        </w:rPr>
        <w:t xml:space="preserve">English judgment of 22 October 2013 </w:t>
      </w:r>
      <w:r w:rsidR="00F05770" w:rsidRPr="0001617C">
        <w:rPr>
          <w:rFonts w:cs="Times New Roman"/>
          <w:sz w:val="24"/>
          <w:szCs w:val="24"/>
          <w:lang w:val="en-GB"/>
        </w:rPr>
        <w:t xml:space="preserve">under </w:t>
      </w:r>
      <w:r w:rsidR="00337FEF" w:rsidRPr="0001617C">
        <w:rPr>
          <w:rFonts w:cs="Times New Roman"/>
          <w:sz w:val="24"/>
          <w:szCs w:val="24"/>
          <w:lang w:val="en-GB"/>
        </w:rPr>
        <w:t>section</w:t>
      </w:r>
      <w:r w:rsidR="00F05770" w:rsidRPr="0001617C">
        <w:rPr>
          <w:rFonts w:cs="Times New Roman"/>
          <w:sz w:val="24"/>
          <w:szCs w:val="24"/>
          <w:lang w:val="en-GB"/>
        </w:rPr>
        <w:t xml:space="preserve"> 66 of the English Arbitration Act (</w:t>
      </w:r>
      <w:r w:rsidR="00B818BD" w:rsidRPr="0001617C">
        <w:rPr>
          <w:rFonts w:cs="Times New Roman"/>
          <w:sz w:val="24"/>
          <w:szCs w:val="24"/>
          <w:lang w:val="en-GB"/>
        </w:rPr>
        <w:t>paragraph 102)</w:t>
      </w:r>
      <w:r w:rsidR="00C86EF5" w:rsidRPr="0001617C">
        <w:rPr>
          <w:rFonts w:cs="Times New Roman"/>
          <w:sz w:val="24"/>
          <w:szCs w:val="24"/>
          <w:lang w:val="en-GB"/>
        </w:rPr>
        <w:t xml:space="preserve">. </w:t>
      </w:r>
    </w:p>
    <w:p w14:paraId="3FDECA7C" w14:textId="6018CF87" w:rsidR="00E23A92" w:rsidRPr="0001617C" w:rsidRDefault="00C86EF5">
      <w:pPr>
        <w:pStyle w:val="Prrafodelista"/>
        <w:spacing w:before="120" w:after="120" w:line="240" w:lineRule="auto"/>
        <w:jc w:val="both"/>
        <w:rPr>
          <w:rFonts w:cs="Times New Roman"/>
          <w:sz w:val="24"/>
          <w:szCs w:val="24"/>
          <w:lang w:val="en-GB"/>
        </w:rPr>
      </w:pPr>
      <w:r w:rsidRPr="0001617C">
        <w:rPr>
          <w:rFonts w:cs="Times New Roman"/>
          <w:sz w:val="24"/>
          <w:szCs w:val="24"/>
          <w:lang w:val="en-GB"/>
        </w:rPr>
        <w:t xml:space="preserve">The English </w:t>
      </w:r>
      <w:r w:rsidR="00E432A2" w:rsidRPr="0001617C">
        <w:rPr>
          <w:rFonts w:cs="Times New Roman"/>
          <w:sz w:val="24"/>
          <w:szCs w:val="24"/>
          <w:lang w:val="en-GB"/>
        </w:rPr>
        <w:t xml:space="preserve">decision </w:t>
      </w:r>
      <w:r w:rsidR="000B14F9" w:rsidRPr="0001617C">
        <w:rPr>
          <w:rFonts w:cs="Times New Roman"/>
          <w:sz w:val="24"/>
          <w:szCs w:val="24"/>
          <w:lang w:val="en-GB"/>
        </w:rPr>
        <w:t xml:space="preserve">applies </w:t>
      </w:r>
      <w:r w:rsidR="00E432A2" w:rsidRPr="0001617C">
        <w:rPr>
          <w:rFonts w:cs="Times New Roman"/>
          <w:sz w:val="24"/>
          <w:szCs w:val="24"/>
          <w:lang w:val="en-GB"/>
        </w:rPr>
        <w:t xml:space="preserve">the </w:t>
      </w:r>
      <w:r w:rsidR="001C09E2" w:rsidRPr="0001617C">
        <w:rPr>
          <w:rFonts w:cs="Times New Roman"/>
          <w:sz w:val="24"/>
          <w:szCs w:val="24"/>
          <w:lang w:val="en-GB"/>
        </w:rPr>
        <w:t>“</w:t>
      </w:r>
      <w:r w:rsidR="008548D5" w:rsidRPr="0001617C">
        <w:rPr>
          <w:rFonts w:cs="Times New Roman"/>
          <w:sz w:val="24"/>
          <w:szCs w:val="24"/>
          <w:lang w:val="en-GB"/>
        </w:rPr>
        <w:t>pay to be paid</w:t>
      </w:r>
      <w:r w:rsidR="001C09E2" w:rsidRPr="0001617C">
        <w:rPr>
          <w:rFonts w:cs="Times New Roman"/>
          <w:sz w:val="24"/>
          <w:szCs w:val="24"/>
          <w:lang w:val="en-GB"/>
        </w:rPr>
        <w:t>”</w:t>
      </w:r>
      <w:r w:rsidR="00E432A2" w:rsidRPr="0001617C">
        <w:rPr>
          <w:rFonts w:cs="Times New Roman"/>
          <w:sz w:val="24"/>
          <w:szCs w:val="24"/>
          <w:lang w:val="en-GB"/>
        </w:rPr>
        <w:t xml:space="preserve"> rule to the claim of both countries against the insurer. For any claim above the limits of compensation provided for in the 1992 Civil Liability Convention </w:t>
      </w:r>
      <w:r w:rsidR="007A37E4" w:rsidRPr="0001617C">
        <w:rPr>
          <w:rFonts w:cs="Times New Roman"/>
          <w:sz w:val="24"/>
          <w:szCs w:val="24"/>
          <w:lang w:val="en-GB"/>
        </w:rPr>
        <w:t>(</w:t>
      </w:r>
      <w:r w:rsidR="0029009F" w:rsidRPr="0001617C">
        <w:rPr>
          <w:rFonts w:cs="Times New Roman"/>
          <w:sz w:val="24"/>
          <w:szCs w:val="24"/>
          <w:lang w:val="en-GB"/>
        </w:rPr>
        <w:t>“</w:t>
      </w:r>
      <w:r w:rsidR="007A37E4" w:rsidRPr="0001617C">
        <w:rPr>
          <w:rFonts w:cs="Times New Roman"/>
          <w:sz w:val="24"/>
          <w:szCs w:val="24"/>
          <w:lang w:val="en-GB"/>
        </w:rPr>
        <w:t>non CLC-claims</w:t>
      </w:r>
      <w:r w:rsidR="0029009F" w:rsidRPr="0001617C">
        <w:rPr>
          <w:rFonts w:cs="Times New Roman"/>
          <w:sz w:val="24"/>
          <w:szCs w:val="24"/>
          <w:lang w:val="en-GB"/>
        </w:rPr>
        <w:t>”</w:t>
      </w:r>
      <w:r w:rsidR="007A37E4" w:rsidRPr="0001617C">
        <w:rPr>
          <w:rFonts w:cs="Times New Roman"/>
          <w:sz w:val="24"/>
          <w:szCs w:val="24"/>
          <w:lang w:val="en-GB"/>
        </w:rPr>
        <w:t xml:space="preserve">) the </w:t>
      </w:r>
      <w:r w:rsidR="001C09E2" w:rsidRPr="0001617C">
        <w:rPr>
          <w:rFonts w:cs="Times New Roman"/>
          <w:sz w:val="24"/>
          <w:szCs w:val="24"/>
          <w:lang w:val="en-GB"/>
        </w:rPr>
        <w:t>“</w:t>
      </w:r>
      <w:r w:rsidR="00D3037D" w:rsidRPr="0001617C">
        <w:rPr>
          <w:rFonts w:cs="Times New Roman"/>
          <w:sz w:val="24"/>
          <w:szCs w:val="24"/>
          <w:lang w:val="en-GB"/>
        </w:rPr>
        <w:t>pay to be paid</w:t>
      </w:r>
      <w:r w:rsidR="001C09E2" w:rsidRPr="0001617C">
        <w:rPr>
          <w:rFonts w:cs="Times New Roman"/>
          <w:sz w:val="24"/>
          <w:szCs w:val="24"/>
          <w:lang w:val="en-GB"/>
        </w:rPr>
        <w:t>”</w:t>
      </w:r>
      <w:r w:rsidR="00E432A2" w:rsidRPr="0001617C">
        <w:rPr>
          <w:rFonts w:cs="Times New Roman"/>
          <w:sz w:val="24"/>
          <w:szCs w:val="24"/>
          <w:lang w:val="en-GB"/>
        </w:rPr>
        <w:t xml:space="preserve"> rule applies. </w:t>
      </w:r>
      <w:r w:rsidR="007A37E4" w:rsidRPr="0001617C">
        <w:rPr>
          <w:rFonts w:cs="Times New Roman"/>
          <w:sz w:val="24"/>
          <w:szCs w:val="24"/>
          <w:lang w:val="en-GB"/>
        </w:rPr>
        <w:t xml:space="preserve">In this case the shipowner and insured company has not made any payment to the injured parties, so there is no direct payment obligation on the </w:t>
      </w:r>
      <w:r w:rsidRPr="0001617C">
        <w:rPr>
          <w:rFonts w:cs="Times New Roman"/>
          <w:sz w:val="24"/>
          <w:szCs w:val="24"/>
          <w:lang w:val="en-GB"/>
        </w:rPr>
        <w:t xml:space="preserve">insurer </w:t>
      </w:r>
      <w:r w:rsidR="007A37E4" w:rsidRPr="0001617C">
        <w:rPr>
          <w:rFonts w:cs="Times New Roman"/>
          <w:sz w:val="24"/>
          <w:szCs w:val="24"/>
          <w:lang w:val="en-GB"/>
        </w:rPr>
        <w:t>either. This contrasts with the Spanish decision which oblige</w:t>
      </w:r>
      <w:r w:rsidR="00F37B85" w:rsidRPr="0001617C">
        <w:rPr>
          <w:rFonts w:cs="Times New Roman"/>
          <w:sz w:val="24"/>
          <w:szCs w:val="24"/>
          <w:lang w:val="en-GB"/>
        </w:rPr>
        <w:t>d</w:t>
      </w:r>
      <w:r w:rsidR="007A37E4" w:rsidRPr="0001617C">
        <w:rPr>
          <w:rFonts w:cs="Times New Roman"/>
          <w:sz w:val="24"/>
          <w:szCs w:val="24"/>
          <w:lang w:val="en-GB"/>
        </w:rPr>
        <w:t xml:space="preserve"> the insurer to pay </w:t>
      </w:r>
      <w:r w:rsidR="00C03A3B" w:rsidRPr="0001617C">
        <w:rPr>
          <w:rFonts w:cs="Times New Roman"/>
          <w:sz w:val="24"/>
          <w:szCs w:val="24"/>
          <w:lang w:val="en-GB"/>
        </w:rPr>
        <w:t xml:space="preserve">EUR </w:t>
      </w:r>
      <w:r w:rsidR="007A37E4" w:rsidRPr="0001617C">
        <w:rPr>
          <w:rFonts w:cs="Times New Roman"/>
          <w:sz w:val="24"/>
          <w:szCs w:val="24"/>
          <w:lang w:val="en-GB"/>
        </w:rPr>
        <w:t>855 million</w:t>
      </w:r>
      <w:r w:rsidR="00C03A3B" w:rsidRPr="0001617C">
        <w:rPr>
          <w:rFonts w:cs="Times New Roman"/>
          <w:sz w:val="24"/>
          <w:szCs w:val="24"/>
          <w:lang w:val="en-GB"/>
        </w:rPr>
        <w:t xml:space="preserve">. </w:t>
      </w:r>
      <w:r w:rsidR="00BB539D" w:rsidRPr="0001617C">
        <w:rPr>
          <w:rFonts w:cs="Times New Roman"/>
          <w:sz w:val="24"/>
          <w:szCs w:val="24"/>
          <w:lang w:val="en-GB"/>
        </w:rPr>
        <w:t xml:space="preserve">The Judge </w:t>
      </w:r>
      <w:r w:rsidR="007A37E4" w:rsidRPr="0001617C">
        <w:rPr>
          <w:rFonts w:cs="Times New Roman"/>
          <w:sz w:val="24"/>
          <w:szCs w:val="24"/>
          <w:lang w:val="en-GB"/>
        </w:rPr>
        <w:t xml:space="preserve">concludes </w:t>
      </w:r>
      <w:r w:rsidR="00BB539D" w:rsidRPr="0001617C">
        <w:rPr>
          <w:rFonts w:cs="Times New Roman"/>
          <w:sz w:val="24"/>
          <w:szCs w:val="24"/>
          <w:lang w:val="en-GB"/>
        </w:rPr>
        <w:t xml:space="preserve">that </w:t>
      </w:r>
      <w:r w:rsidRPr="0001617C">
        <w:rPr>
          <w:rFonts w:cs="Times New Roman"/>
          <w:sz w:val="24"/>
          <w:szCs w:val="24"/>
          <w:lang w:val="en-GB"/>
        </w:rPr>
        <w:t xml:space="preserve">these two </w:t>
      </w:r>
      <w:r w:rsidR="000B14F9" w:rsidRPr="0001617C">
        <w:rPr>
          <w:rFonts w:cs="Times New Roman"/>
          <w:sz w:val="24"/>
          <w:szCs w:val="24"/>
          <w:lang w:val="en-GB"/>
        </w:rPr>
        <w:t xml:space="preserve">judgments </w:t>
      </w:r>
      <w:r w:rsidRPr="0001617C">
        <w:rPr>
          <w:rFonts w:cs="Times New Roman"/>
          <w:sz w:val="24"/>
          <w:szCs w:val="24"/>
          <w:lang w:val="en-GB"/>
        </w:rPr>
        <w:t xml:space="preserve">cannot coexist in the English </w:t>
      </w:r>
      <w:r w:rsidR="0079594B" w:rsidRPr="0001617C">
        <w:rPr>
          <w:rFonts w:cs="Times New Roman"/>
          <w:sz w:val="24"/>
          <w:szCs w:val="24"/>
          <w:lang w:val="en-GB"/>
        </w:rPr>
        <w:t>legal order</w:t>
      </w:r>
      <w:r w:rsidRPr="0001617C">
        <w:rPr>
          <w:rFonts w:cs="Times New Roman"/>
          <w:sz w:val="24"/>
          <w:szCs w:val="24"/>
          <w:lang w:val="en-GB"/>
        </w:rPr>
        <w:t xml:space="preserve"> and are irreconcilable (paragraphs 96 and 97).</w:t>
      </w:r>
    </w:p>
    <w:p w14:paraId="610ACBCA" w14:textId="2FFC5D98" w:rsidR="00E23A92" w:rsidRPr="0001617C" w:rsidRDefault="00BB539D">
      <w:pPr>
        <w:pStyle w:val="Prrafodelista"/>
        <w:numPr>
          <w:ilvl w:val="0"/>
          <w:numId w:val="46"/>
        </w:numPr>
        <w:spacing w:before="120" w:after="120" w:line="240" w:lineRule="auto"/>
        <w:jc w:val="both"/>
        <w:rPr>
          <w:rFonts w:cs="Times New Roman"/>
          <w:sz w:val="24"/>
          <w:szCs w:val="24"/>
          <w:lang w:val="en-GB"/>
        </w:rPr>
      </w:pPr>
      <w:r w:rsidRPr="0001617C">
        <w:rPr>
          <w:rFonts w:cs="Times New Roman"/>
          <w:sz w:val="24"/>
          <w:szCs w:val="24"/>
          <w:lang w:val="en-GB"/>
        </w:rPr>
        <w:t xml:space="preserve">Enforcement of the Spanish decision </w:t>
      </w:r>
      <w:r w:rsidR="00F05770" w:rsidRPr="0001617C">
        <w:rPr>
          <w:rFonts w:cs="Times New Roman"/>
          <w:sz w:val="24"/>
          <w:szCs w:val="24"/>
          <w:lang w:val="en-GB"/>
        </w:rPr>
        <w:t xml:space="preserve">would be contrary to English </w:t>
      </w:r>
      <w:r w:rsidR="00336BCF" w:rsidRPr="0001617C">
        <w:rPr>
          <w:rFonts w:cs="Times New Roman"/>
          <w:sz w:val="24"/>
          <w:szCs w:val="24"/>
          <w:lang w:val="en-GB"/>
        </w:rPr>
        <w:t>legal</w:t>
      </w:r>
      <w:r w:rsidR="00F05770" w:rsidRPr="0001617C">
        <w:rPr>
          <w:rFonts w:cs="Times New Roman"/>
          <w:sz w:val="24"/>
          <w:szCs w:val="24"/>
          <w:lang w:val="en-GB"/>
        </w:rPr>
        <w:t xml:space="preserve"> principles of </w:t>
      </w:r>
      <w:r w:rsidR="00F05770" w:rsidRPr="0001617C">
        <w:rPr>
          <w:rFonts w:cs="Times New Roman"/>
          <w:i/>
          <w:iCs/>
          <w:sz w:val="24"/>
          <w:szCs w:val="24"/>
          <w:lang w:val="en-GB"/>
        </w:rPr>
        <w:t>res judicata</w:t>
      </w:r>
      <w:r w:rsidR="00F05770" w:rsidRPr="0001617C">
        <w:rPr>
          <w:rFonts w:cs="Times New Roman"/>
          <w:sz w:val="24"/>
          <w:szCs w:val="24"/>
          <w:lang w:val="en-GB"/>
        </w:rPr>
        <w:t xml:space="preserve"> </w:t>
      </w:r>
      <w:r w:rsidRPr="0001617C">
        <w:rPr>
          <w:rFonts w:cs="Times New Roman"/>
          <w:sz w:val="24"/>
          <w:szCs w:val="24"/>
          <w:lang w:val="en-GB"/>
        </w:rPr>
        <w:t xml:space="preserve">created by arbitral awards. </w:t>
      </w:r>
    </w:p>
    <w:p w14:paraId="7638EEEE" w14:textId="66E99945" w:rsidR="00E23A92" w:rsidRPr="0001617C" w:rsidRDefault="00BB539D">
      <w:pPr>
        <w:spacing w:before="120" w:after="120" w:line="240" w:lineRule="auto"/>
        <w:jc w:val="both"/>
        <w:rPr>
          <w:rFonts w:cs="Times New Roman"/>
          <w:sz w:val="24"/>
          <w:szCs w:val="24"/>
          <w:lang w:val="en-GB"/>
        </w:rPr>
      </w:pPr>
      <w:r w:rsidRPr="0001617C">
        <w:rPr>
          <w:rFonts w:cs="Times New Roman"/>
          <w:sz w:val="24"/>
          <w:szCs w:val="24"/>
          <w:lang w:val="en-GB"/>
        </w:rPr>
        <w:t xml:space="preserve">In addition, </w:t>
      </w:r>
      <w:r w:rsidR="008417BF" w:rsidRPr="0001617C">
        <w:rPr>
          <w:rFonts w:cs="Times New Roman"/>
          <w:sz w:val="24"/>
          <w:szCs w:val="24"/>
          <w:lang w:val="en-GB"/>
        </w:rPr>
        <w:t>the High Court</w:t>
      </w:r>
      <w:r w:rsidR="008417BF" w:rsidRPr="0001617C">
        <w:rPr>
          <w:rFonts w:cs="Times New Roman"/>
          <w:i/>
          <w:iCs/>
          <w:sz w:val="24"/>
          <w:szCs w:val="24"/>
          <w:lang w:val="en-GB"/>
        </w:rPr>
        <w:t xml:space="preserve"> </w:t>
      </w:r>
      <w:r w:rsidR="00FE1B75" w:rsidRPr="0001617C">
        <w:rPr>
          <w:rFonts w:cs="Times New Roman"/>
          <w:sz w:val="24"/>
          <w:szCs w:val="24"/>
          <w:lang w:val="en-GB"/>
        </w:rPr>
        <w:t xml:space="preserve">judgment </w:t>
      </w:r>
      <w:r w:rsidRPr="0001617C">
        <w:rPr>
          <w:rFonts w:cs="Times New Roman"/>
          <w:sz w:val="24"/>
          <w:szCs w:val="24"/>
          <w:lang w:val="en-GB"/>
        </w:rPr>
        <w:t xml:space="preserve">contains </w:t>
      </w:r>
      <w:r w:rsidR="00FE1B75" w:rsidRPr="0001617C">
        <w:rPr>
          <w:rFonts w:cs="Times New Roman"/>
          <w:sz w:val="24"/>
          <w:szCs w:val="24"/>
          <w:lang w:val="en-GB"/>
        </w:rPr>
        <w:t xml:space="preserve">information and </w:t>
      </w:r>
      <w:r w:rsidRPr="0001617C">
        <w:rPr>
          <w:rFonts w:cs="Times New Roman"/>
          <w:sz w:val="24"/>
          <w:szCs w:val="24"/>
          <w:lang w:val="en-GB"/>
        </w:rPr>
        <w:t xml:space="preserve">pronouncements on another defence strategy opened by the </w:t>
      </w:r>
      <w:r w:rsidR="005A10DF" w:rsidRPr="0001617C">
        <w:rPr>
          <w:rFonts w:cs="Times New Roman"/>
          <w:sz w:val="24"/>
          <w:szCs w:val="24"/>
          <w:lang w:val="en-GB"/>
        </w:rPr>
        <w:t>P&amp;I Club</w:t>
      </w:r>
      <w:r w:rsidRPr="0001617C">
        <w:rPr>
          <w:rFonts w:cs="Times New Roman"/>
          <w:sz w:val="24"/>
          <w:szCs w:val="24"/>
          <w:lang w:val="en-GB"/>
        </w:rPr>
        <w:t xml:space="preserve"> after the order of the Provincial Court of A Coruña of 1 March 2019. In anticipation of enforcement being sought against the club</w:t>
      </w:r>
      <w:r w:rsidR="00B84357" w:rsidRPr="0001617C">
        <w:rPr>
          <w:rFonts w:cs="Times New Roman"/>
          <w:sz w:val="24"/>
          <w:szCs w:val="24"/>
          <w:lang w:val="en-GB"/>
        </w:rPr>
        <w:t>’</w:t>
      </w:r>
      <w:r w:rsidRPr="0001617C">
        <w:rPr>
          <w:rFonts w:cs="Times New Roman"/>
          <w:sz w:val="24"/>
          <w:szCs w:val="24"/>
          <w:lang w:val="en-GB"/>
        </w:rPr>
        <w:t xml:space="preserve">s assets in the UK, Spain or elsewhere, it initiated two arbitration proceedings against Spain and France on the basis of the P&amp;I insurance arbitration clause and the loss of state immunity. In summary, in two </w:t>
      </w:r>
      <w:r w:rsidR="00B7696D" w:rsidRPr="0001617C">
        <w:rPr>
          <w:rFonts w:cs="Times New Roman"/>
          <w:sz w:val="24"/>
          <w:szCs w:val="24"/>
          <w:lang w:val="en-GB"/>
        </w:rPr>
        <w:t xml:space="preserve">separate </w:t>
      </w:r>
      <w:r w:rsidRPr="0001617C">
        <w:rPr>
          <w:rFonts w:cs="Times New Roman"/>
          <w:sz w:val="24"/>
          <w:szCs w:val="24"/>
          <w:lang w:val="en-GB"/>
        </w:rPr>
        <w:t xml:space="preserve">arbitrations, the </w:t>
      </w:r>
      <w:r w:rsidR="005A10DF" w:rsidRPr="0001617C">
        <w:rPr>
          <w:rFonts w:cs="Times New Roman"/>
          <w:sz w:val="24"/>
          <w:szCs w:val="24"/>
          <w:lang w:val="en-GB"/>
        </w:rPr>
        <w:t>P&amp;I Club</w:t>
      </w:r>
      <w:r w:rsidRPr="0001617C">
        <w:rPr>
          <w:rFonts w:cs="Times New Roman"/>
          <w:sz w:val="24"/>
          <w:szCs w:val="24"/>
          <w:lang w:val="en-GB"/>
        </w:rPr>
        <w:t xml:space="preserve"> </w:t>
      </w:r>
      <w:r w:rsidR="00574225" w:rsidRPr="0001617C">
        <w:rPr>
          <w:rFonts w:cs="Times New Roman"/>
          <w:sz w:val="24"/>
          <w:szCs w:val="24"/>
          <w:lang w:val="en-GB"/>
        </w:rPr>
        <w:t>sought</w:t>
      </w:r>
      <w:r w:rsidRPr="0001617C">
        <w:rPr>
          <w:rFonts w:cs="Times New Roman"/>
          <w:sz w:val="24"/>
          <w:szCs w:val="24"/>
          <w:lang w:val="en-GB"/>
        </w:rPr>
        <w:t xml:space="preserve"> declarations </w:t>
      </w:r>
      <w:r w:rsidRPr="0001617C">
        <w:rPr>
          <w:rFonts w:cs="Times New Roman"/>
          <w:sz w:val="24"/>
          <w:szCs w:val="24"/>
          <w:lang w:val="en-GB"/>
        </w:rPr>
        <w:lastRenderedPageBreak/>
        <w:t>that the Spanish and French State</w:t>
      </w:r>
      <w:r w:rsidR="00574225" w:rsidRPr="0001617C">
        <w:rPr>
          <w:rFonts w:cs="Times New Roman"/>
          <w:sz w:val="24"/>
          <w:szCs w:val="24"/>
          <w:lang w:val="en-GB"/>
        </w:rPr>
        <w:t>s</w:t>
      </w:r>
      <w:r w:rsidRPr="0001617C">
        <w:rPr>
          <w:rFonts w:cs="Times New Roman"/>
          <w:sz w:val="24"/>
          <w:szCs w:val="24"/>
          <w:lang w:val="en-GB"/>
        </w:rPr>
        <w:t xml:space="preserve"> ha</w:t>
      </w:r>
      <w:r w:rsidR="00574225" w:rsidRPr="0001617C">
        <w:rPr>
          <w:rFonts w:cs="Times New Roman"/>
          <w:sz w:val="24"/>
          <w:szCs w:val="24"/>
          <w:lang w:val="en-GB"/>
        </w:rPr>
        <w:t>d</w:t>
      </w:r>
      <w:r w:rsidRPr="0001617C">
        <w:rPr>
          <w:rFonts w:cs="Times New Roman"/>
          <w:sz w:val="24"/>
          <w:szCs w:val="24"/>
          <w:lang w:val="en-GB"/>
        </w:rPr>
        <w:t xml:space="preserve"> breached their obligations not to pursue </w:t>
      </w:r>
      <w:r w:rsidR="00E7608B" w:rsidRPr="0001617C">
        <w:rPr>
          <w:rFonts w:cs="Times New Roman"/>
          <w:sz w:val="24"/>
          <w:szCs w:val="24"/>
          <w:lang w:val="en-GB"/>
        </w:rPr>
        <w:t xml:space="preserve">non-CLC </w:t>
      </w:r>
      <w:r w:rsidRPr="0001617C">
        <w:rPr>
          <w:rFonts w:cs="Times New Roman"/>
          <w:sz w:val="24"/>
          <w:szCs w:val="24"/>
          <w:lang w:val="en-GB"/>
        </w:rPr>
        <w:t>claims</w:t>
      </w:r>
      <w:r w:rsidR="00FC5EE9" w:rsidRPr="0001617C">
        <w:rPr>
          <w:rFonts w:cs="Times New Roman"/>
          <w:sz w:val="24"/>
          <w:szCs w:val="24"/>
          <w:lang w:val="en-GB"/>
        </w:rPr>
        <w:t xml:space="preserve"> other than by way of </w:t>
      </w:r>
      <w:r w:rsidRPr="0001617C">
        <w:rPr>
          <w:rFonts w:cs="Times New Roman"/>
          <w:sz w:val="24"/>
          <w:szCs w:val="24"/>
          <w:lang w:val="en-GB"/>
        </w:rPr>
        <w:t xml:space="preserve">London arbitration. The insurer </w:t>
      </w:r>
      <w:r w:rsidR="005A3B17" w:rsidRPr="0001617C">
        <w:rPr>
          <w:rFonts w:cs="Times New Roman"/>
          <w:sz w:val="24"/>
          <w:szCs w:val="24"/>
          <w:lang w:val="en-GB"/>
        </w:rPr>
        <w:t>was</w:t>
      </w:r>
      <w:r w:rsidRPr="0001617C">
        <w:rPr>
          <w:rFonts w:cs="Times New Roman"/>
          <w:sz w:val="24"/>
          <w:szCs w:val="24"/>
          <w:lang w:val="en-GB"/>
        </w:rPr>
        <w:t xml:space="preserve"> also seeking interim measures and an order that the Spanish and French State</w:t>
      </w:r>
      <w:r w:rsidR="005A3B17" w:rsidRPr="0001617C">
        <w:rPr>
          <w:rFonts w:cs="Times New Roman"/>
          <w:sz w:val="24"/>
          <w:szCs w:val="24"/>
          <w:lang w:val="en-GB"/>
        </w:rPr>
        <w:t>s</w:t>
      </w:r>
      <w:r w:rsidRPr="0001617C">
        <w:rPr>
          <w:rFonts w:cs="Times New Roman"/>
          <w:sz w:val="24"/>
          <w:szCs w:val="24"/>
          <w:lang w:val="en-GB"/>
        </w:rPr>
        <w:t xml:space="preserve"> </w:t>
      </w:r>
      <w:r w:rsidR="005A3B17" w:rsidRPr="0001617C">
        <w:rPr>
          <w:rFonts w:cs="Times New Roman"/>
          <w:sz w:val="24"/>
          <w:szCs w:val="24"/>
          <w:lang w:val="en-GB"/>
        </w:rPr>
        <w:t>would</w:t>
      </w:r>
      <w:r w:rsidRPr="0001617C">
        <w:rPr>
          <w:rFonts w:cs="Times New Roman"/>
          <w:sz w:val="24"/>
          <w:szCs w:val="24"/>
          <w:lang w:val="en-GB"/>
        </w:rPr>
        <w:t xml:space="preserve"> pay to the P&amp;I Club any sums it </w:t>
      </w:r>
      <w:r w:rsidR="00312414" w:rsidRPr="0001617C">
        <w:rPr>
          <w:rFonts w:cs="Times New Roman"/>
          <w:sz w:val="24"/>
          <w:szCs w:val="24"/>
          <w:lang w:val="en-GB"/>
        </w:rPr>
        <w:t>might be</w:t>
      </w:r>
      <w:r w:rsidRPr="0001617C">
        <w:rPr>
          <w:rFonts w:cs="Times New Roman"/>
          <w:sz w:val="24"/>
          <w:szCs w:val="24"/>
          <w:lang w:val="en-GB"/>
        </w:rPr>
        <w:t xml:space="preserve"> ordered to pay to </w:t>
      </w:r>
      <w:r w:rsidR="00B627D0" w:rsidRPr="0001617C">
        <w:rPr>
          <w:rFonts w:cs="Times New Roman"/>
          <w:sz w:val="24"/>
          <w:szCs w:val="24"/>
          <w:lang w:val="en-GB"/>
        </w:rPr>
        <w:t xml:space="preserve">these </w:t>
      </w:r>
      <w:r w:rsidR="00D70ECA" w:rsidRPr="0001617C">
        <w:rPr>
          <w:rFonts w:cs="Times New Roman"/>
          <w:sz w:val="24"/>
          <w:szCs w:val="24"/>
          <w:lang w:val="en-GB"/>
        </w:rPr>
        <w:t>S</w:t>
      </w:r>
      <w:r w:rsidR="00B627D0" w:rsidRPr="0001617C">
        <w:rPr>
          <w:rFonts w:cs="Times New Roman"/>
          <w:sz w:val="24"/>
          <w:szCs w:val="24"/>
          <w:lang w:val="en-GB"/>
        </w:rPr>
        <w:t>tates</w:t>
      </w:r>
      <w:r w:rsidRPr="0001617C">
        <w:rPr>
          <w:rFonts w:cs="Times New Roman"/>
          <w:sz w:val="24"/>
          <w:szCs w:val="24"/>
          <w:lang w:val="en-GB"/>
        </w:rPr>
        <w:t xml:space="preserve"> in any jurisdiction in which the order of the </w:t>
      </w:r>
      <w:r w:rsidR="00571643" w:rsidRPr="0001617C">
        <w:rPr>
          <w:rFonts w:cs="Times New Roman"/>
          <w:sz w:val="24"/>
          <w:szCs w:val="24"/>
          <w:lang w:val="en-GB"/>
        </w:rPr>
        <w:t>Provincial Court of</w:t>
      </w:r>
      <w:r w:rsidRPr="0001617C">
        <w:rPr>
          <w:rFonts w:cs="Times New Roman"/>
          <w:sz w:val="24"/>
          <w:szCs w:val="24"/>
          <w:lang w:val="en-GB"/>
        </w:rPr>
        <w:t xml:space="preserve"> A Coruña of 1 March 2019 is recognised or enforced, as well as compensation for its costs in defending </w:t>
      </w:r>
      <w:r w:rsidR="00A26A25" w:rsidRPr="0001617C">
        <w:rPr>
          <w:rFonts w:cs="Times New Roman"/>
          <w:sz w:val="24"/>
          <w:szCs w:val="24"/>
          <w:lang w:val="en-GB"/>
        </w:rPr>
        <w:t xml:space="preserve">non-CLC </w:t>
      </w:r>
      <w:r w:rsidRPr="0001617C">
        <w:rPr>
          <w:rFonts w:cs="Times New Roman"/>
          <w:sz w:val="24"/>
          <w:szCs w:val="24"/>
          <w:lang w:val="en-GB"/>
        </w:rPr>
        <w:t xml:space="preserve">claims in Spain. </w:t>
      </w:r>
      <w:r w:rsidR="00FE1B75" w:rsidRPr="0001617C">
        <w:rPr>
          <w:rFonts w:cs="Times New Roman"/>
          <w:sz w:val="24"/>
          <w:szCs w:val="24"/>
          <w:lang w:val="en-GB"/>
        </w:rPr>
        <w:t xml:space="preserve">So far, only the Spanish State </w:t>
      </w:r>
      <w:r w:rsidR="000B1120" w:rsidRPr="0001617C">
        <w:rPr>
          <w:rFonts w:cs="Times New Roman"/>
          <w:sz w:val="24"/>
          <w:szCs w:val="24"/>
          <w:lang w:val="en-GB"/>
        </w:rPr>
        <w:t xml:space="preserve">(and not the French State) </w:t>
      </w:r>
      <w:r w:rsidR="00FE1B75" w:rsidRPr="0001617C">
        <w:rPr>
          <w:rFonts w:cs="Times New Roman"/>
          <w:sz w:val="24"/>
          <w:szCs w:val="24"/>
          <w:lang w:val="en-GB"/>
        </w:rPr>
        <w:t xml:space="preserve">has sought enforcement of the </w:t>
      </w:r>
      <w:r w:rsidR="000B1120" w:rsidRPr="0001617C">
        <w:rPr>
          <w:rFonts w:cs="Times New Roman"/>
          <w:sz w:val="24"/>
          <w:szCs w:val="24"/>
          <w:lang w:val="en-GB"/>
        </w:rPr>
        <w:t>o</w:t>
      </w:r>
      <w:r w:rsidR="00FE1B75" w:rsidRPr="0001617C">
        <w:rPr>
          <w:rFonts w:cs="Times New Roman"/>
          <w:sz w:val="24"/>
          <w:szCs w:val="24"/>
          <w:lang w:val="en-GB"/>
        </w:rPr>
        <w:t xml:space="preserve">rder of the Provincial </w:t>
      </w:r>
      <w:r w:rsidR="000B1120" w:rsidRPr="0001617C">
        <w:rPr>
          <w:rFonts w:cs="Times New Roman"/>
          <w:sz w:val="24"/>
          <w:szCs w:val="24"/>
          <w:lang w:val="en-GB"/>
        </w:rPr>
        <w:t>Court of</w:t>
      </w:r>
      <w:r w:rsidR="00FE1B75" w:rsidRPr="0001617C">
        <w:rPr>
          <w:rFonts w:cs="Times New Roman"/>
          <w:sz w:val="24"/>
          <w:szCs w:val="24"/>
          <w:lang w:val="en-GB"/>
        </w:rPr>
        <w:t xml:space="preserve"> A Coruña of 1 March 2019 in the United Kingdom</w:t>
      </w:r>
      <w:r w:rsidR="000B1120" w:rsidRPr="0001617C">
        <w:rPr>
          <w:rFonts w:cs="Times New Roman"/>
          <w:sz w:val="24"/>
          <w:szCs w:val="24"/>
          <w:lang w:val="en-GB"/>
        </w:rPr>
        <w:t>.</w:t>
      </w:r>
      <w:r w:rsidR="00FE1B75" w:rsidRPr="0001617C">
        <w:rPr>
          <w:rStyle w:val="Refdenotaalpie"/>
          <w:rFonts w:cs="Times New Roman"/>
          <w:sz w:val="24"/>
          <w:szCs w:val="24"/>
          <w:lang w:val="en-GB"/>
        </w:rPr>
        <w:footnoteReference w:id="23"/>
      </w:r>
    </w:p>
    <w:p w14:paraId="1D685A53" w14:textId="0E8F71D7" w:rsidR="00E23A92" w:rsidRPr="0001617C" w:rsidRDefault="00BB539D">
      <w:pPr>
        <w:spacing w:before="120" w:after="120" w:line="240" w:lineRule="auto"/>
        <w:jc w:val="both"/>
        <w:rPr>
          <w:rFonts w:cs="Times New Roman"/>
          <w:sz w:val="24"/>
          <w:szCs w:val="24"/>
          <w:lang w:val="en-GB"/>
        </w:rPr>
      </w:pPr>
      <w:r w:rsidRPr="0001617C">
        <w:rPr>
          <w:rFonts w:cs="Times New Roman"/>
          <w:sz w:val="24"/>
          <w:szCs w:val="24"/>
          <w:lang w:val="en-GB"/>
        </w:rPr>
        <w:t xml:space="preserve">The arbitrators recognised the </w:t>
      </w:r>
      <w:r w:rsidR="005A10DF" w:rsidRPr="0001617C">
        <w:rPr>
          <w:rFonts w:cs="Times New Roman"/>
          <w:sz w:val="24"/>
          <w:szCs w:val="24"/>
          <w:lang w:val="en-GB"/>
        </w:rPr>
        <w:t>P&amp;I Club</w:t>
      </w:r>
      <w:r w:rsidR="00B84357" w:rsidRPr="0001617C">
        <w:rPr>
          <w:rFonts w:cs="Times New Roman"/>
          <w:sz w:val="24"/>
          <w:szCs w:val="24"/>
          <w:lang w:val="en-GB"/>
        </w:rPr>
        <w:t>’</w:t>
      </w:r>
      <w:r w:rsidRPr="0001617C">
        <w:rPr>
          <w:rFonts w:cs="Times New Roman"/>
          <w:sz w:val="24"/>
          <w:szCs w:val="24"/>
          <w:lang w:val="en-GB"/>
        </w:rPr>
        <w:t xml:space="preserve">s right to financial compensation from Spain for seeking to enforce the Spanish judgment in the UK in breach of the P&amp;I insurance </w:t>
      </w:r>
      <w:r w:rsidR="00337D78" w:rsidRPr="0001617C">
        <w:rPr>
          <w:rFonts w:cs="Times New Roman"/>
          <w:sz w:val="24"/>
          <w:szCs w:val="24"/>
          <w:lang w:val="en-GB"/>
        </w:rPr>
        <w:t xml:space="preserve">contract </w:t>
      </w:r>
      <w:r w:rsidRPr="0001617C">
        <w:rPr>
          <w:rFonts w:cs="Times New Roman"/>
          <w:sz w:val="24"/>
          <w:szCs w:val="24"/>
          <w:lang w:val="en-GB"/>
        </w:rPr>
        <w:t xml:space="preserve">arbitration </w:t>
      </w:r>
      <w:r w:rsidR="00C17527" w:rsidRPr="0001617C">
        <w:rPr>
          <w:rFonts w:cs="Times New Roman"/>
          <w:sz w:val="24"/>
          <w:szCs w:val="24"/>
          <w:lang w:val="en-GB"/>
        </w:rPr>
        <w:t>clause</w:t>
      </w:r>
      <w:r w:rsidRPr="0001617C">
        <w:rPr>
          <w:rFonts w:cs="Times New Roman"/>
          <w:sz w:val="24"/>
          <w:szCs w:val="24"/>
          <w:lang w:val="en-GB"/>
        </w:rPr>
        <w:t xml:space="preserve">. </w:t>
      </w:r>
      <w:r w:rsidR="004B7538" w:rsidRPr="0001617C">
        <w:rPr>
          <w:rFonts w:cs="Times New Roman"/>
          <w:sz w:val="24"/>
          <w:szCs w:val="24"/>
          <w:lang w:val="en-GB"/>
        </w:rPr>
        <w:t>It is</w:t>
      </w:r>
      <w:r w:rsidRPr="0001617C">
        <w:rPr>
          <w:rFonts w:cs="Times New Roman"/>
          <w:sz w:val="24"/>
          <w:szCs w:val="24"/>
          <w:lang w:val="en-GB"/>
        </w:rPr>
        <w:t xml:space="preserve"> also entitled to recover from the Spanish or French State</w:t>
      </w:r>
      <w:r w:rsidR="00DC3A69" w:rsidRPr="0001617C">
        <w:rPr>
          <w:rFonts w:cs="Times New Roman"/>
          <w:sz w:val="24"/>
          <w:szCs w:val="24"/>
          <w:lang w:val="en-GB"/>
        </w:rPr>
        <w:t>s</w:t>
      </w:r>
      <w:r w:rsidRPr="0001617C">
        <w:rPr>
          <w:rFonts w:cs="Times New Roman"/>
          <w:sz w:val="24"/>
          <w:szCs w:val="24"/>
          <w:lang w:val="en-GB"/>
        </w:rPr>
        <w:t xml:space="preserve"> any amount </w:t>
      </w:r>
      <w:r w:rsidR="00B51BCA" w:rsidRPr="0001617C">
        <w:rPr>
          <w:rFonts w:cs="Times New Roman"/>
          <w:sz w:val="24"/>
          <w:szCs w:val="24"/>
          <w:lang w:val="en-GB"/>
        </w:rPr>
        <w:t xml:space="preserve">that </w:t>
      </w:r>
      <w:r w:rsidRPr="0001617C">
        <w:rPr>
          <w:rFonts w:cs="Times New Roman"/>
          <w:sz w:val="24"/>
          <w:szCs w:val="24"/>
          <w:lang w:val="en-GB"/>
        </w:rPr>
        <w:t>the</w:t>
      </w:r>
      <w:r w:rsidR="00B51BCA" w:rsidRPr="0001617C">
        <w:rPr>
          <w:rFonts w:cs="Times New Roman"/>
          <w:sz w:val="24"/>
          <w:szCs w:val="24"/>
          <w:lang w:val="en-GB"/>
        </w:rPr>
        <w:t>se</w:t>
      </w:r>
      <w:r w:rsidRPr="0001617C">
        <w:rPr>
          <w:rFonts w:cs="Times New Roman"/>
          <w:sz w:val="24"/>
          <w:szCs w:val="24"/>
          <w:lang w:val="en-GB"/>
        </w:rPr>
        <w:t xml:space="preserve"> obtain from the enforcement of the Spanish judgment </w:t>
      </w:r>
      <w:r w:rsidR="00BA43A1" w:rsidRPr="0001617C">
        <w:rPr>
          <w:rFonts w:cs="Times New Roman"/>
          <w:sz w:val="24"/>
          <w:szCs w:val="24"/>
          <w:lang w:val="en-GB"/>
        </w:rPr>
        <w:t>in any place</w:t>
      </w:r>
      <w:r w:rsidRPr="0001617C">
        <w:rPr>
          <w:rFonts w:cs="Times New Roman"/>
          <w:sz w:val="24"/>
          <w:szCs w:val="24"/>
          <w:lang w:val="en-GB"/>
        </w:rPr>
        <w:t>, as well as reimbursement of the costs and expenses of the proceedings in Spain. The High Court</w:t>
      </w:r>
      <w:r w:rsidRPr="0001617C">
        <w:rPr>
          <w:rFonts w:cs="Times New Roman"/>
          <w:i/>
          <w:iCs/>
          <w:sz w:val="24"/>
          <w:szCs w:val="24"/>
          <w:lang w:val="en-GB"/>
        </w:rPr>
        <w:t xml:space="preserve"> </w:t>
      </w:r>
      <w:r w:rsidRPr="0001617C">
        <w:rPr>
          <w:rFonts w:cs="Times New Roman"/>
          <w:sz w:val="24"/>
          <w:szCs w:val="24"/>
          <w:lang w:val="en-GB"/>
        </w:rPr>
        <w:t>granted the States the right to appeal these decision</w:t>
      </w:r>
      <w:r w:rsidR="00BA43A1" w:rsidRPr="0001617C">
        <w:rPr>
          <w:rFonts w:cs="Times New Roman"/>
          <w:sz w:val="24"/>
          <w:szCs w:val="24"/>
          <w:lang w:val="en-GB"/>
        </w:rPr>
        <w:t>s</w:t>
      </w:r>
      <w:r w:rsidRPr="0001617C">
        <w:rPr>
          <w:rFonts w:cs="Times New Roman"/>
          <w:i/>
          <w:iCs/>
          <w:sz w:val="24"/>
          <w:szCs w:val="24"/>
          <w:lang w:val="en-GB"/>
        </w:rPr>
        <w:t xml:space="preserve"> </w:t>
      </w:r>
      <w:r w:rsidRPr="0001617C">
        <w:rPr>
          <w:rFonts w:cs="Times New Roman"/>
          <w:sz w:val="24"/>
          <w:szCs w:val="24"/>
          <w:lang w:val="en-GB"/>
        </w:rPr>
        <w:t>pursuant to</w:t>
      </w:r>
      <w:r w:rsidRPr="0001617C">
        <w:rPr>
          <w:rFonts w:cs="Times New Roman"/>
          <w:i/>
          <w:iCs/>
          <w:sz w:val="24"/>
          <w:szCs w:val="24"/>
          <w:lang w:val="en-GB"/>
        </w:rPr>
        <w:t xml:space="preserve"> </w:t>
      </w:r>
      <w:r w:rsidR="00E83245" w:rsidRPr="0001617C">
        <w:rPr>
          <w:rFonts w:cs="Times New Roman"/>
          <w:sz w:val="24"/>
          <w:szCs w:val="24"/>
          <w:lang w:val="en-GB"/>
        </w:rPr>
        <w:t>section</w:t>
      </w:r>
      <w:r w:rsidRPr="0001617C">
        <w:rPr>
          <w:rFonts w:cs="Times New Roman"/>
          <w:sz w:val="24"/>
          <w:szCs w:val="24"/>
          <w:lang w:val="en-GB"/>
        </w:rPr>
        <w:t xml:space="preserve"> 69 of the English Arbitration Act. The civil liability of the Spanish and French states is therefore </w:t>
      </w:r>
      <w:r w:rsidRPr="0001617C">
        <w:rPr>
          <w:rFonts w:cs="Times New Roman"/>
          <w:i/>
          <w:iCs/>
          <w:sz w:val="24"/>
          <w:szCs w:val="24"/>
          <w:lang w:val="en-GB"/>
        </w:rPr>
        <w:t>sub judice</w:t>
      </w:r>
      <w:r w:rsidRPr="0001617C">
        <w:rPr>
          <w:rFonts w:cs="Times New Roman"/>
          <w:sz w:val="24"/>
          <w:szCs w:val="24"/>
          <w:lang w:val="en-GB"/>
        </w:rPr>
        <w:t xml:space="preserve">. </w:t>
      </w:r>
    </w:p>
    <w:p w14:paraId="475DD7CD" w14:textId="058AA0F4" w:rsidR="00E23A92" w:rsidRPr="0001617C" w:rsidRDefault="00A9027B">
      <w:pPr>
        <w:spacing w:before="120" w:after="120" w:line="240" w:lineRule="auto"/>
        <w:jc w:val="both"/>
        <w:rPr>
          <w:rFonts w:cs="Times New Roman"/>
          <w:sz w:val="24"/>
          <w:szCs w:val="24"/>
          <w:lang w:val="en-GB"/>
        </w:rPr>
      </w:pPr>
      <w:r w:rsidRPr="0001617C">
        <w:rPr>
          <w:rFonts w:cs="Times New Roman"/>
          <w:sz w:val="24"/>
          <w:szCs w:val="24"/>
          <w:lang w:val="en-GB"/>
        </w:rPr>
        <w:t>On the other hand</w:t>
      </w:r>
      <w:r w:rsidR="00BB539D" w:rsidRPr="0001617C">
        <w:rPr>
          <w:rFonts w:cs="Times New Roman"/>
          <w:sz w:val="24"/>
          <w:szCs w:val="24"/>
          <w:lang w:val="en-GB"/>
        </w:rPr>
        <w:t>, the High Court</w:t>
      </w:r>
      <w:r w:rsidR="00BB539D" w:rsidRPr="0001617C">
        <w:rPr>
          <w:rFonts w:cs="Times New Roman"/>
          <w:i/>
          <w:iCs/>
          <w:sz w:val="24"/>
          <w:szCs w:val="24"/>
          <w:lang w:val="en-GB"/>
        </w:rPr>
        <w:t xml:space="preserve"> </w:t>
      </w:r>
      <w:r w:rsidR="00EA20EE" w:rsidRPr="0001617C">
        <w:rPr>
          <w:rFonts w:cs="Times New Roman"/>
          <w:sz w:val="24"/>
          <w:szCs w:val="24"/>
          <w:lang w:val="en-GB"/>
        </w:rPr>
        <w:t>considered</w:t>
      </w:r>
      <w:r w:rsidR="00BB539D" w:rsidRPr="0001617C">
        <w:rPr>
          <w:rFonts w:cs="Times New Roman"/>
          <w:sz w:val="24"/>
          <w:szCs w:val="24"/>
          <w:lang w:val="en-GB"/>
        </w:rPr>
        <w:t xml:space="preserve"> </w:t>
      </w:r>
      <w:r w:rsidR="00025DAD" w:rsidRPr="0001617C">
        <w:rPr>
          <w:rFonts w:cs="Times New Roman"/>
          <w:sz w:val="24"/>
          <w:szCs w:val="24"/>
          <w:lang w:val="en-GB"/>
        </w:rPr>
        <w:t xml:space="preserve">that </w:t>
      </w:r>
      <w:r w:rsidR="00BB539D" w:rsidRPr="0001617C">
        <w:rPr>
          <w:rFonts w:cs="Times New Roman"/>
          <w:sz w:val="24"/>
          <w:szCs w:val="24"/>
          <w:lang w:val="en-GB"/>
        </w:rPr>
        <w:t xml:space="preserve">the arbitrators </w:t>
      </w:r>
      <w:r w:rsidR="00EA20EE" w:rsidRPr="0001617C">
        <w:rPr>
          <w:rFonts w:cs="Times New Roman"/>
          <w:sz w:val="24"/>
          <w:szCs w:val="24"/>
          <w:lang w:val="en-GB"/>
        </w:rPr>
        <w:t xml:space="preserve">did not have </w:t>
      </w:r>
      <w:r w:rsidR="00025DAD" w:rsidRPr="0001617C">
        <w:rPr>
          <w:rFonts w:cs="Times New Roman"/>
          <w:sz w:val="24"/>
          <w:szCs w:val="24"/>
          <w:lang w:val="en-GB"/>
        </w:rPr>
        <w:t>jurisdiction to issue an anti-suit injunction</w:t>
      </w:r>
      <w:r w:rsidR="00025DAD" w:rsidRPr="0001617C">
        <w:rPr>
          <w:rFonts w:cs="Times New Roman"/>
          <w:i/>
          <w:iCs/>
          <w:sz w:val="24"/>
          <w:szCs w:val="24"/>
          <w:lang w:val="en-GB"/>
        </w:rPr>
        <w:t xml:space="preserve"> </w:t>
      </w:r>
      <w:r w:rsidR="00025DAD" w:rsidRPr="0001617C">
        <w:rPr>
          <w:rFonts w:cs="Times New Roman"/>
          <w:sz w:val="24"/>
          <w:szCs w:val="24"/>
          <w:lang w:val="en-GB"/>
        </w:rPr>
        <w:t xml:space="preserve">against the Spanish and French states, </w:t>
      </w:r>
      <w:r w:rsidR="00046954" w:rsidRPr="00556E30">
        <w:rPr>
          <w:rFonts w:cs="Times New Roman"/>
          <w:sz w:val="24"/>
          <w:szCs w:val="24"/>
          <w:lang w:val="en-GB"/>
        </w:rPr>
        <w:t>which</w:t>
      </w:r>
      <w:r w:rsidR="007A7F96" w:rsidRPr="00556E30">
        <w:rPr>
          <w:rFonts w:cs="Times New Roman"/>
          <w:sz w:val="24"/>
          <w:szCs w:val="24"/>
          <w:lang w:val="en-GB"/>
        </w:rPr>
        <w:t>, in the exercise of their discretion,</w:t>
      </w:r>
      <w:r w:rsidR="00046954" w:rsidRPr="00556E30">
        <w:rPr>
          <w:rFonts w:cs="Times New Roman"/>
          <w:sz w:val="24"/>
          <w:szCs w:val="24"/>
          <w:lang w:val="en-GB"/>
        </w:rPr>
        <w:t xml:space="preserve"> they had not done, </w:t>
      </w:r>
      <w:r w:rsidR="00025DAD" w:rsidRPr="00556E30">
        <w:rPr>
          <w:rFonts w:cs="Times New Roman"/>
          <w:sz w:val="24"/>
          <w:szCs w:val="24"/>
          <w:lang w:val="en-GB"/>
        </w:rPr>
        <w:t>decid</w:t>
      </w:r>
      <w:r w:rsidR="00046954" w:rsidRPr="00556E30">
        <w:rPr>
          <w:rFonts w:cs="Times New Roman"/>
          <w:sz w:val="24"/>
          <w:szCs w:val="24"/>
          <w:lang w:val="en-GB"/>
        </w:rPr>
        <w:t>ing</w:t>
      </w:r>
      <w:r w:rsidR="00025DAD" w:rsidRPr="00556E30">
        <w:rPr>
          <w:rFonts w:cs="Times New Roman"/>
          <w:sz w:val="24"/>
          <w:szCs w:val="24"/>
          <w:lang w:val="en-GB"/>
        </w:rPr>
        <w:t xml:space="preserve"> that it was appropriate for damages to be awarded instead.</w:t>
      </w:r>
      <w:r w:rsidR="00025DAD" w:rsidRPr="0001617C">
        <w:rPr>
          <w:rFonts w:cs="Times New Roman"/>
          <w:sz w:val="24"/>
          <w:szCs w:val="24"/>
          <w:lang w:val="en-GB"/>
        </w:rPr>
        <w:t xml:space="preserve"> The High Court</w:t>
      </w:r>
      <w:r w:rsidR="00025DAD" w:rsidRPr="0001617C">
        <w:rPr>
          <w:rFonts w:cs="Times New Roman"/>
          <w:i/>
          <w:iCs/>
          <w:sz w:val="24"/>
          <w:szCs w:val="24"/>
          <w:lang w:val="en-GB"/>
        </w:rPr>
        <w:t xml:space="preserve"> </w:t>
      </w:r>
      <w:r w:rsidR="00025DAD" w:rsidRPr="0001617C">
        <w:rPr>
          <w:rFonts w:cs="Times New Roman"/>
          <w:sz w:val="24"/>
          <w:szCs w:val="24"/>
          <w:lang w:val="en-GB"/>
        </w:rPr>
        <w:t xml:space="preserve">held that the arbitrator had had no power to issue an injunction against Spain, because the court could not have done so by virtue of s. 13(2) </w:t>
      </w:r>
      <w:r w:rsidR="0070015C" w:rsidRPr="0001617C">
        <w:rPr>
          <w:rFonts w:cs="Times New Roman"/>
          <w:sz w:val="24"/>
          <w:szCs w:val="24"/>
          <w:lang w:val="en-GB"/>
        </w:rPr>
        <w:t xml:space="preserve">of the </w:t>
      </w:r>
      <w:r w:rsidR="00025DAD" w:rsidRPr="0001617C">
        <w:rPr>
          <w:rFonts w:cs="Times New Roman"/>
          <w:sz w:val="24"/>
          <w:szCs w:val="24"/>
          <w:lang w:val="en-GB"/>
        </w:rPr>
        <w:t xml:space="preserve">State Immunity Act, and s. 48(5) of the Arbitration Act did not confer a wider power on the arbitrator. Therefore, </w:t>
      </w:r>
      <w:r w:rsidR="00734F95" w:rsidRPr="0001617C">
        <w:rPr>
          <w:rFonts w:cs="Times New Roman"/>
          <w:sz w:val="24"/>
          <w:szCs w:val="24"/>
          <w:lang w:val="en-GB"/>
        </w:rPr>
        <w:t>indemnity</w:t>
      </w:r>
      <w:r w:rsidR="00025DAD" w:rsidRPr="0001617C">
        <w:rPr>
          <w:rFonts w:cs="Times New Roman"/>
          <w:sz w:val="24"/>
          <w:szCs w:val="24"/>
          <w:lang w:val="en-GB"/>
        </w:rPr>
        <w:t xml:space="preserve"> could not be awarded instead</w:t>
      </w:r>
      <w:r w:rsidR="004E2AD9" w:rsidRPr="0001617C">
        <w:rPr>
          <w:rFonts w:cs="Times New Roman"/>
          <w:sz w:val="24"/>
          <w:szCs w:val="24"/>
          <w:lang w:val="en-GB"/>
        </w:rPr>
        <w:t xml:space="preserve">. </w:t>
      </w:r>
    </w:p>
    <w:p w14:paraId="116B415D" w14:textId="77777777" w:rsidR="004A4F30" w:rsidRPr="0001617C" w:rsidRDefault="004A4F30" w:rsidP="00B7696D">
      <w:pPr>
        <w:pStyle w:val="Textonotapie"/>
        <w:spacing w:before="120" w:after="120"/>
        <w:ind w:left="1080"/>
        <w:jc w:val="both"/>
        <w:rPr>
          <w:rFonts w:cs="Times New Roman"/>
          <w:b/>
          <w:bCs/>
          <w:sz w:val="24"/>
          <w:szCs w:val="24"/>
        </w:rPr>
      </w:pPr>
      <w:bookmarkStart w:id="9" w:name="_Hlk138347248"/>
    </w:p>
    <w:p w14:paraId="762CBAE8" w14:textId="77777777" w:rsidR="00E23A92" w:rsidRPr="0001617C" w:rsidRDefault="00BB539D" w:rsidP="00D97B0D">
      <w:pPr>
        <w:pStyle w:val="Textonotapie"/>
        <w:numPr>
          <w:ilvl w:val="0"/>
          <w:numId w:val="50"/>
        </w:numPr>
        <w:spacing w:before="120" w:after="120"/>
        <w:jc w:val="both"/>
        <w:rPr>
          <w:rFonts w:cs="Times New Roman"/>
          <w:b/>
          <w:bCs/>
          <w:sz w:val="24"/>
          <w:szCs w:val="24"/>
        </w:rPr>
      </w:pPr>
      <w:r w:rsidRPr="0001617C">
        <w:rPr>
          <w:rFonts w:cs="Times New Roman"/>
          <w:b/>
          <w:bCs/>
          <w:sz w:val="24"/>
          <w:szCs w:val="24"/>
        </w:rPr>
        <w:t>CRITICAL ANALYSIS</w:t>
      </w:r>
    </w:p>
    <w:p w14:paraId="2D0B604D" w14:textId="6EDA4CEC" w:rsidR="00E23A92" w:rsidRPr="0001617C" w:rsidRDefault="00BB539D" w:rsidP="001A75E8">
      <w:pPr>
        <w:pStyle w:val="Textonotapie"/>
        <w:numPr>
          <w:ilvl w:val="1"/>
          <w:numId w:val="50"/>
        </w:numPr>
        <w:spacing w:before="120" w:after="120"/>
        <w:jc w:val="both"/>
        <w:rPr>
          <w:rFonts w:cs="Times New Roman"/>
          <w:b/>
          <w:bCs/>
          <w:sz w:val="24"/>
          <w:szCs w:val="24"/>
        </w:rPr>
      </w:pPr>
      <w:r w:rsidRPr="0001617C">
        <w:rPr>
          <w:rFonts w:cs="Times New Roman"/>
          <w:b/>
          <w:bCs/>
          <w:sz w:val="24"/>
          <w:szCs w:val="24"/>
        </w:rPr>
        <w:t xml:space="preserve">Inadequacy </w:t>
      </w:r>
      <w:r w:rsidR="00740103" w:rsidRPr="0001617C">
        <w:rPr>
          <w:rFonts w:cs="Times New Roman"/>
          <w:b/>
          <w:bCs/>
          <w:sz w:val="24"/>
          <w:szCs w:val="24"/>
        </w:rPr>
        <w:t xml:space="preserve">of international </w:t>
      </w:r>
      <w:r w:rsidR="007805A4" w:rsidRPr="0001617C">
        <w:rPr>
          <w:rFonts w:cs="Times New Roman"/>
          <w:b/>
          <w:bCs/>
          <w:sz w:val="24"/>
          <w:szCs w:val="24"/>
        </w:rPr>
        <w:t xml:space="preserve">oil pollution </w:t>
      </w:r>
      <w:r w:rsidR="00740103" w:rsidRPr="0001617C">
        <w:rPr>
          <w:rFonts w:cs="Times New Roman"/>
          <w:b/>
          <w:bCs/>
          <w:sz w:val="24"/>
          <w:szCs w:val="24"/>
        </w:rPr>
        <w:t>compensation limits</w:t>
      </w:r>
    </w:p>
    <w:p w14:paraId="287A33EE" w14:textId="124E5BCF" w:rsidR="00E23A92" w:rsidRPr="0001617C" w:rsidRDefault="00BB539D">
      <w:pPr>
        <w:pStyle w:val="Textonotapie"/>
        <w:spacing w:before="120" w:after="120"/>
        <w:jc w:val="both"/>
        <w:rPr>
          <w:rFonts w:cs="Times New Roman"/>
          <w:sz w:val="24"/>
          <w:szCs w:val="24"/>
        </w:rPr>
      </w:pPr>
      <w:r w:rsidRPr="0001617C">
        <w:rPr>
          <w:rFonts w:cs="Times New Roman"/>
          <w:sz w:val="24"/>
          <w:szCs w:val="24"/>
        </w:rPr>
        <w:t xml:space="preserve">We believe that the 1992 Civil Liability Convention should update its </w:t>
      </w:r>
      <w:r w:rsidR="00A6429D" w:rsidRPr="0001617C">
        <w:rPr>
          <w:rFonts w:cs="Times New Roman"/>
          <w:sz w:val="24"/>
          <w:szCs w:val="24"/>
        </w:rPr>
        <w:t xml:space="preserve">compensation </w:t>
      </w:r>
      <w:r w:rsidRPr="0001617C">
        <w:rPr>
          <w:rFonts w:cs="Times New Roman"/>
          <w:sz w:val="24"/>
          <w:szCs w:val="24"/>
        </w:rPr>
        <w:t xml:space="preserve">limits payable by the shipowner and the compulsory civil liability insurer for maritime oil pollution. They are </w:t>
      </w:r>
      <w:r w:rsidR="008B7106" w:rsidRPr="0001617C">
        <w:rPr>
          <w:rFonts w:cs="Times New Roman"/>
          <w:sz w:val="24"/>
          <w:szCs w:val="24"/>
        </w:rPr>
        <w:t xml:space="preserve">insufficient </w:t>
      </w:r>
      <w:r w:rsidRPr="0001617C">
        <w:rPr>
          <w:rFonts w:cs="Times New Roman"/>
          <w:sz w:val="24"/>
          <w:szCs w:val="24"/>
        </w:rPr>
        <w:t xml:space="preserve">to </w:t>
      </w:r>
      <w:r w:rsidR="00DD2857" w:rsidRPr="0001617C">
        <w:rPr>
          <w:rFonts w:cs="Times New Roman"/>
          <w:sz w:val="24"/>
          <w:szCs w:val="24"/>
        </w:rPr>
        <w:t>cover</w:t>
      </w:r>
      <w:r w:rsidRPr="0001617C">
        <w:rPr>
          <w:rFonts w:cs="Times New Roman"/>
          <w:sz w:val="24"/>
          <w:szCs w:val="24"/>
        </w:rPr>
        <w:t xml:space="preserve"> even a relevant part</w:t>
      </w:r>
      <w:r w:rsidR="00DD2857" w:rsidRPr="0001617C">
        <w:rPr>
          <w:rFonts w:cs="Times New Roman"/>
          <w:sz w:val="24"/>
          <w:szCs w:val="24"/>
        </w:rPr>
        <w:t xml:space="preserve"> of </w:t>
      </w:r>
      <w:r w:rsidRPr="0001617C">
        <w:rPr>
          <w:rFonts w:cs="Times New Roman"/>
          <w:sz w:val="24"/>
          <w:szCs w:val="24"/>
        </w:rPr>
        <w:t xml:space="preserve">the requirement of Art. 235.3 </w:t>
      </w:r>
      <w:r w:rsidR="00DD2857" w:rsidRPr="0001617C">
        <w:rPr>
          <w:rFonts w:cs="Times New Roman"/>
          <w:sz w:val="24"/>
          <w:szCs w:val="24"/>
        </w:rPr>
        <w:t xml:space="preserve">of the </w:t>
      </w:r>
      <w:r w:rsidRPr="0001617C">
        <w:rPr>
          <w:rFonts w:cs="Times New Roman"/>
          <w:sz w:val="24"/>
          <w:szCs w:val="24"/>
        </w:rPr>
        <w:t>United Nations Convention on the Law of the Sea</w:t>
      </w:r>
      <w:r w:rsidR="00194FD9" w:rsidRPr="0001617C">
        <w:rPr>
          <w:rFonts w:cs="Times New Roman"/>
          <w:sz w:val="24"/>
          <w:szCs w:val="24"/>
        </w:rPr>
        <w:t>, which sets out the objective</w:t>
      </w:r>
      <w:r w:rsidR="007E319C" w:rsidRPr="0001617C">
        <w:rPr>
          <w:rFonts w:cs="Times New Roman"/>
          <w:sz w:val="24"/>
          <w:szCs w:val="24"/>
        </w:rPr>
        <w:t xml:space="preserve"> of</w:t>
      </w:r>
      <w:r w:rsidRPr="0001617C">
        <w:rPr>
          <w:rFonts w:cs="Times New Roman"/>
          <w:sz w:val="24"/>
          <w:szCs w:val="24"/>
        </w:rPr>
        <w:t xml:space="preserve"> </w:t>
      </w:r>
      <w:r w:rsidR="0029009F" w:rsidRPr="0001617C">
        <w:rPr>
          <w:rFonts w:cs="Times New Roman"/>
          <w:sz w:val="24"/>
          <w:szCs w:val="24"/>
        </w:rPr>
        <w:t>“</w:t>
      </w:r>
      <w:r w:rsidR="00DF3C2B" w:rsidRPr="0001617C">
        <w:rPr>
          <w:i/>
          <w:iCs/>
          <w:sz w:val="24"/>
          <w:szCs w:val="24"/>
        </w:rPr>
        <w:t>assuring prompt and adequate compensation in respect of all damage caused by pollution of the marine environment</w:t>
      </w:r>
      <w:r w:rsidRPr="0001617C">
        <w:rPr>
          <w:rFonts w:cs="Times New Roman"/>
          <w:i/>
          <w:iCs/>
          <w:sz w:val="24"/>
          <w:szCs w:val="24"/>
        </w:rPr>
        <w:t xml:space="preserve">, </w:t>
      </w:r>
      <w:r w:rsidR="0080441B" w:rsidRPr="0001617C">
        <w:rPr>
          <w:i/>
          <w:iCs/>
          <w:sz w:val="24"/>
          <w:szCs w:val="24"/>
        </w:rPr>
        <w:t xml:space="preserve">States shall cooperate in </w:t>
      </w:r>
      <w:r w:rsidR="00194FD9" w:rsidRPr="0001617C">
        <w:rPr>
          <w:rFonts w:cs="Times New Roman"/>
          <w:i/>
          <w:iCs/>
          <w:sz w:val="24"/>
          <w:szCs w:val="24"/>
        </w:rPr>
        <w:t>[…]</w:t>
      </w:r>
      <w:r w:rsidR="00194FD9" w:rsidRPr="0001617C">
        <w:rPr>
          <w:i/>
          <w:iCs/>
          <w:sz w:val="24"/>
          <w:szCs w:val="24"/>
        </w:rPr>
        <w:t xml:space="preserve"> </w:t>
      </w:r>
      <w:r w:rsidR="0080441B" w:rsidRPr="0001617C">
        <w:rPr>
          <w:i/>
          <w:iCs/>
          <w:sz w:val="24"/>
          <w:szCs w:val="24"/>
        </w:rPr>
        <w:t>development of criteria and procedures for payment of adequate compensation, such as compulsory insurance or compensation funds</w:t>
      </w:r>
      <w:r w:rsidR="00194FD9" w:rsidRPr="0001617C">
        <w:rPr>
          <w:rFonts w:cs="Times New Roman"/>
          <w:sz w:val="24"/>
          <w:szCs w:val="24"/>
        </w:rPr>
        <w:t>.</w:t>
      </w:r>
      <w:r w:rsidR="0029009F" w:rsidRPr="0001617C">
        <w:rPr>
          <w:rFonts w:cs="Times New Roman"/>
          <w:sz w:val="24"/>
          <w:szCs w:val="24"/>
        </w:rPr>
        <w:t>”</w:t>
      </w:r>
    </w:p>
    <w:p w14:paraId="7326EFA6" w14:textId="62FF17E0" w:rsidR="00E23A92" w:rsidRPr="0001617C" w:rsidRDefault="003A7647">
      <w:pPr>
        <w:pStyle w:val="Textonotapie"/>
        <w:spacing w:before="120" w:after="120"/>
        <w:jc w:val="both"/>
        <w:rPr>
          <w:rFonts w:cs="Times New Roman"/>
          <w:sz w:val="24"/>
          <w:szCs w:val="24"/>
        </w:rPr>
      </w:pPr>
      <w:r w:rsidRPr="0001617C">
        <w:rPr>
          <w:rFonts w:cs="Times New Roman"/>
          <w:sz w:val="24"/>
          <w:szCs w:val="24"/>
        </w:rPr>
        <w:t xml:space="preserve">The environmental disaster caused by the massive oil </w:t>
      </w:r>
      <w:r w:rsidR="007E319C" w:rsidRPr="0001617C">
        <w:rPr>
          <w:rFonts w:cs="Times New Roman"/>
          <w:sz w:val="24"/>
          <w:szCs w:val="24"/>
        </w:rPr>
        <w:t>spill</w:t>
      </w:r>
      <w:r w:rsidRPr="0001617C">
        <w:rPr>
          <w:rFonts w:cs="Times New Roman"/>
          <w:sz w:val="24"/>
          <w:szCs w:val="24"/>
        </w:rPr>
        <w:t xml:space="preserve"> </w:t>
      </w:r>
      <w:r w:rsidR="006B4061" w:rsidRPr="0001617C">
        <w:rPr>
          <w:rFonts w:cs="Times New Roman"/>
          <w:sz w:val="24"/>
          <w:szCs w:val="24"/>
        </w:rPr>
        <w:t xml:space="preserve">has been judicially quantified at </w:t>
      </w:r>
      <w:r w:rsidR="00691BC7" w:rsidRPr="0001617C">
        <w:rPr>
          <w:rFonts w:cs="Times New Roman"/>
          <w:sz w:val="24"/>
          <w:szCs w:val="24"/>
        </w:rPr>
        <w:t xml:space="preserve">around </w:t>
      </w:r>
      <w:r w:rsidR="007E319C" w:rsidRPr="0001617C">
        <w:rPr>
          <w:rFonts w:cs="Times New Roman"/>
          <w:sz w:val="24"/>
          <w:szCs w:val="24"/>
        </w:rPr>
        <w:t xml:space="preserve">EUR </w:t>
      </w:r>
      <w:r w:rsidR="00691BC7" w:rsidRPr="0001617C">
        <w:rPr>
          <w:rFonts w:cs="Times New Roman"/>
          <w:sz w:val="24"/>
          <w:szCs w:val="24"/>
        </w:rPr>
        <w:t xml:space="preserve">2.5 </w:t>
      </w:r>
      <w:r w:rsidR="006B4061" w:rsidRPr="0001617C">
        <w:rPr>
          <w:rFonts w:cs="Times New Roman"/>
          <w:sz w:val="24"/>
          <w:szCs w:val="24"/>
        </w:rPr>
        <w:t xml:space="preserve">billion. </w:t>
      </w:r>
      <w:r w:rsidR="008B7106" w:rsidRPr="0001617C">
        <w:rPr>
          <w:rFonts w:cs="Times New Roman"/>
          <w:sz w:val="24"/>
          <w:szCs w:val="24"/>
        </w:rPr>
        <w:t xml:space="preserve">Most of the injured parties </w:t>
      </w:r>
      <w:r w:rsidR="001663B6" w:rsidRPr="0001617C">
        <w:rPr>
          <w:rFonts w:cs="Times New Roman"/>
          <w:sz w:val="24"/>
          <w:szCs w:val="24"/>
        </w:rPr>
        <w:t>have received no or only partial</w:t>
      </w:r>
      <w:r w:rsidR="008B7106" w:rsidRPr="0001617C">
        <w:rPr>
          <w:rFonts w:cs="Times New Roman"/>
          <w:sz w:val="24"/>
          <w:szCs w:val="24"/>
        </w:rPr>
        <w:t xml:space="preserve"> compensation for damages and recovery of expenses and economic losses. The P&amp;I Club, as the ship</w:t>
      </w:r>
      <w:r w:rsidR="00B84357" w:rsidRPr="0001617C">
        <w:rPr>
          <w:rFonts w:cs="Times New Roman"/>
          <w:sz w:val="24"/>
          <w:szCs w:val="24"/>
        </w:rPr>
        <w:t>’</w:t>
      </w:r>
      <w:r w:rsidR="008B7106" w:rsidRPr="0001617C">
        <w:rPr>
          <w:rFonts w:cs="Times New Roman"/>
          <w:sz w:val="24"/>
          <w:szCs w:val="24"/>
        </w:rPr>
        <w:t>s liability insurer, promptly fulfilled its obligation to pay the limits</w:t>
      </w:r>
      <w:r w:rsidR="00B60148" w:rsidRPr="0001617C">
        <w:rPr>
          <w:rFonts w:cs="Times New Roman"/>
          <w:sz w:val="24"/>
          <w:szCs w:val="24"/>
        </w:rPr>
        <w:t xml:space="preserve"> of compensation</w:t>
      </w:r>
      <w:r w:rsidR="008B7106" w:rsidRPr="0001617C">
        <w:rPr>
          <w:rFonts w:cs="Times New Roman"/>
          <w:sz w:val="24"/>
          <w:szCs w:val="24"/>
        </w:rPr>
        <w:t xml:space="preserve"> of the 1992 Civil Liability Convention</w:t>
      </w:r>
      <w:r w:rsidR="00A97945" w:rsidRPr="0001617C">
        <w:rPr>
          <w:rFonts w:cs="Times New Roman"/>
          <w:sz w:val="24"/>
          <w:szCs w:val="24"/>
        </w:rPr>
        <w:t>, in other words, EUR</w:t>
      </w:r>
      <w:r w:rsidR="008B7106" w:rsidRPr="0001617C">
        <w:rPr>
          <w:rFonts w:cs="Times New Roman"/>
          <w:sz w:val="24"/>
          <w:szCs w:val="24"/>
        </w:rPr>
        <w:t xml:space="preserve"> 22.7 million resulting from the calculation of the tonnage of the damaged ship. The IOPC Fund has also fulfilled its obligations under the 1992 Fund Convention and has paid the EUR 147.9 million corresponding to the compensation </w:t>
      </w:r>
      <w:r w:rsidR="003F1428" w:rsidRPr="0001617C">
        <w:rPr>
          <w:rFonts w:cs="Times New Roman"/>
          <w:sz w:val="24"/>
          <w:szCs w:val="24"/>
        </w:rPr>
        <w:t xml:space="preserve">limit </w:t>
      </w:r>
      <w:r w:rsidR="008B7106" w:rsidRPr="0001617C">
        <w:rPr>
          <w:rFonts w:cs="Times New Roman"/>
          <w:sz w:val="24"/>
          <w:szCs w:val="24"/>
        </w:rPr>
        <w:t xml:space="preserve">under that Convention. </w:t>
      </w:r>
      <w:r w:rsidR="000F7343" w:rsidRPr="0001617C">
        <w:rPr>
          <w:rFonts w:cs="Times New Roman"/>
          <w:sz w:val="24"/>
          <w:szCs w:val="24"/>
        </w:rPr>
        <w:t xml:space="preserve">The sum of both amounts is EUR </w:t>
      </w:r>
      <w:r w:rsidR="008B7106" w:rsidRPr="0001617C">
        <w:rPr>
          <w:rFonts w:cs="Times New Roman"/>
          <w:sz w:val="24"/>
          <w:szCs w:val="24"/>
        </w:rPr>
        <w:t xml:space="preserve">170 million, which represents only 6.8% of the </w:t>
      </w:r>
      <w:r w:rsidR="006C0686" w:rsidRPr="0001617C">
        <w:rPr>
          <w:rFonts w:cs="Times New Roman"/>
          <w:sz w:val="24"/>
          <w:szCs w:val="24"/>
        </w:rPr>
        <w:t xml:space="preserve">EUR </w:t>
      </w:r>
      <w:r w:rsidR="008B7106" w:rsidRPr="0001617C">
        <w:rPr>
          <w:rFonts w:cs="Times New Roman"/>
          <w:sz w:val="24"/>
          <w:szCs w:val="24"/>
        </w:rPr>
        <w:t xml:space="preserve">2.5 billion of legally </w:t>
      </w:r>
      <w:r w:rsidR="008B7106" w:rsidRPr="0001617C">
        <w:rPr>
          <w:rFonts w:cs="Times New Roman"/>
          <w:sz w:val="24"/>
          <w:szCs w:val="24"/>
        </w:rPr>
        <w:lastRenderedPageBreak/>
        <w:t xml:space="preserve">established damages. In short, the </w:t>
      </w:r>
      <w:r w:rsidR="00B72301" w:rsidRPr="0001617C">
        <w:rPr>
          <w:rFonts w:cs="Times New Roman"/>
          <w:sz w:val="24"/>
          <w:szCs w:val="24"/>
        </w:rPr>
        <w:t xml:space="preserve">limits </w:t>
      </w:r>
      <w:r w:rsidR="00B60148" w:rsidRPr="0001617C">
        <w:rPr>
          <w:rFonts w:cs="Times New Roman"/>
          <w:sz w:val="24"/>
          <w:szCs w:val="24"/>
        </w:rPr>
        <w:t xml:space="preserve">of compensation </w:t>
      </w:r>
      <w:r w:rsidR="006B4061" w:rsidRPr="0001617C">
        <w:rPr>
          <w:rFonts w:cs="Times New Roman"/>
          <w:sz w:val="24"/>
          <w:szCs w:val="24"/>
        </w:rPr>
        <w:t xml:space="preserve">set in favour of the shipping and insurance industry </w:t>
      </w:r>
      <w:r w:rsidR="00AD22A5" w:rsidRPr="0001617C">
        <w:rPr>
          <w:rFonts w:cs="Times New Roman"/>
          <w:sz w:val="24"/>
          <w:szCs w:val="24"/>
        </w:rPr>
        <w:t xml:space="preserve">by the </w:t>
      </w:r>
      <w:r w:rsidR="00B77E52" w:rsidRPr="0001617C">
        <w:rPr>
          <w:rFonts w:cs="Times New Roman"/>
          <w:sz w:val="24"/>
          <w:szCs w:val="24"/>
        </w:rPr>
        <w:t xml:space="preserve">1992 Civil Liability Convention </w:t>
      </w:r>
      <w:r w:rsidR="005E4242" w:rsidRPr="0001617C">
        <w:rPr>
          <w:rFonts w:cs="Times New Roman"/>
          <w:sz w:val="24"/>
          <w:szCs w:val="24"/>
        </w:rPr>
        <w:t xml:space="preserve">and </w:t>
      </w:r>
      <w:r w:rsidR="008B7106" w:rsidRPr="0001617C">
        <w:rPr>
          <w:rFonts w:cs="Times New Roman"/>
          <w:sz w:val="24"/>
          <w:szCs w:val="24"/>
        </w:rPr>
        <w:t xml:space="preserve">in favour of </w:t>
      </w:r>
      <w:r w:rsidR="006B4061" w:rsidRPr="0001617C">
        <w:rPr>
          <w:rFonts w:cs="Times New Roman"/>
          <w:sz w:val="24"/>
          <w:szCs w:val="24"/>
        </w:rPr>
        <w:t xml:space="preserve">the oil industry </w:t>
      </w:r>
      <w:r w:rsidR="00AD22A5" w:rsidRPr="0001617C">
        <w:rPr>
          <w:rFonts w:cs="Times New Roman"/>
          <w:sz w:val="24"/>
          <w:szCs w:val="24"/>
        </w:rPr>
        <w:t xml:space="preserve">by the </w:t>
      </w:r>
      <w:r w:rsidR="00B77E52" w:rsidRPr="0001617C">
        <w:rPr>
          <w:rFonts w:cs="Times New Roman"/>
          <w:sz w:val="24"/>
          <w:szCs w:val="24"/>
        </w:rPr>
        <w:t xml:space="preserve">1992 Fund Convention </w:t>
      </w:r>
      <w:r w:rsidR="005A5072" w:rsidRPr="0001617C">
        <w:rPr>
          <w:rFonts w:cs="Times New Roman"/>
          <w:sz w:val="24"/>
          <w:szCs w:val="24"/>
        </w:rPr>
        <w:t xml:space="preserve">are the main obstacle </w:t>
      </w:r>
      <w:r w:rsidR="008B7106" w:rsidRPr="0001617C">
        <w:rPr>
          <w:rFonts w:cs="Times New Roman"/>
          <w:sz w:val="24"/>
          <w:szCs w:val="24"/>
        </w:rPr>
        <w:t>to full compensation of the injured parties</w:t>
      </w:r>
      <w:r w:rsidR="005A5072" w:rsidRPr="0001617C">
        <w:rPr>
          <w:rFonts w:cs="Times New Roman"/>
          <w:sz w:val="24"/>
          <w:szCs w:val="24"/>
        </w:rPr>
        <w:t xml:space="preserve">. </w:t>
      </w:r>
    </w:p>
    <w:p w14:paraId="37C4AA5E" w14:textId="4ECCF8DB" w:rsidR="00E23A92" w:rsidRPr="0001617C" w:rsidRDefault="00750076">
      <w:pPr>
        <w:pStyle w:val="Textonotapie"/>
        <w:spacing w:before="120" w:after="120"/>
        <w:jc w:val="both"/>
        <w:rPr>
          <w:rFonts w:cs="Times New Roman"/>
          <w:b/>
          <w:bCs/>
          <w:sz w:val="24"/>
          <w:szCs w:val="24"/>
        </w:rPr>
      </w:pPr>
      <w:r w:rsidRPr="0001617C">
        <w:rPr>
          <w:rFonts w:cs="Times New Roman"/>
          <w:sz w:val="24"/>
          <w:szCs w:val="24"/>
        </w:rPr>
        <w:t xml:space="preserve">The latest update </w:t>
      </w:r>
      <w:r w:rsidR="00BF1B68" w:rsidRPr="0001617C">
        <w:rPr>
          <w:rFonts w:cs="Times New Roman"/>
          <w:sz w:val="24"/>
          <w:szCs w:val="24"/>
        </w:rPr>
        <w:t>to</w:t>
      </w:r>
      <w:r w:rsidRPr="0001617C">
        <w:rPr>
          <w:rFonts w:cs="Times New Roman"/>
          <w:sz w:val="24"/>
          <w:szCs w:val="24"/>
        </w:rPr>
        <w:t xml:space="preserve"> the limits of compensation under the 1992 Civil Liability Convention was adopted by the Legal Committee of the International Maritime Organisation </w:t>
      </w:r>
      <w:r w:rsidR="00740103" w:rsidRPr="0001617C">
        <w:rPr>
          <w:rFonts w:cs="Times New Roman"/>
          <w:sz w:val="24"/>
          <w:szCs w:val="24"/>
        </w:rPr>
        <w:t xml:space="preserve">(IMO) </w:t>
      </w:r>
      <w:r w:rsidRPr="0001617C">
        <w:rPr>
          <w:rFonts w:cs="Times New Roman"/>
          <w:sz w:val="24"/>
          <w:szCs w:val="24"/>
        </w:rPr>
        <w:t xml:space="preserve">on 18 October 2000. </w:t>
      </w:r>
      <w:r w:rsidR="00740103" w:rsidRPr="0001617C">
        <w:rPr>
          <w:rFonts w:cs="Times New Roman"/>
          <w:sz w:val="24"/>
          <w:szCs w:val="24"/>
        </w:rPr>
        <w:t>It is th</w:t>
      </w:r>
      <w:r w:rsidR="00714ECE" w:rsidRPr="0001617C">
        <w:rPr>
          <w:rFonts w:cs="Times New Roman"/>
          <w:sz w:val="24"/>
          <w:szCs w:val="24"/>
        </w:rPr>
        <w:t>erefore</w:t>
      </w:r>
      <w:r w:rsidR="00740103" w:rsidRPr="0001617C">
        <w:rPr>
          <w:rFonts w:cs="Times New Roman"/>
          <w:sz w:val="24"/>
          <w:szCs w:val="24"/>
        </w:rPr>
        <w:t xml:space="preserve"> 23 years since the States within the IMO took the decision to improve the compensation coverage. </w:t>
      </w:r>
      <w:r w:rsidRPr="0001617C">
        <w:rPr>
          <w:rFonts w:cs="Times New Roman"/>
          <w:sz w:val="24"/>
          <w:szCs w:val="24"/>
        </w:rPr>
        <w:t xml:space="preserve">Not even </w:t>
      </w:r>
      <w:r w:rsidR="00DB43DC" w:rsidRPr="0001617C">
        <w:rPr>
          <w:rFonts w:cs="Times New Roman"/>
          <w:i/>
          <w:iCs/>
          <w:sz w:val="24"/>
          <w:szCs w:val="24"/>
        </w:rPr>
        <w:t>The Prestige</w:t>
      </w:r>
      <w:r w:rsidRPr="0001617C">
        <w:rPr>
          <w:rFonts w:cs="Times New Roman"/>
          <w:sz w:val="24"/>
          <w:szCs w:val="24"/>
        </w:rPr>
        <w:t xml:space="preserve"> incident </w:t>
      </w:r>
      <w:r w:rsidR="00740103" w:rsidRPr="0001617C">
        <w:rPr>
          <w:rFonts w:cs="Times New Roman"/>
          <w:sz w:val="24"/>
          <w:szCs w:val="24"/>
        </w:rPr>
        <w:t xml:space="preserve">in 2002 </w:t>
      </w:r>
      <w:r w:rsidRPr="0001617C">
        <w:rPr>
          <w:rFonts w:cs="Times New Roman"/>
          <w:sz w:val="24"/>
          <w:szCs w:val="24"/>
        </w:rPr>
        <w:t xml:space="preserve">has prompted an update </w:t>
      </w:r>
      <w:r w:rsidR="008066B4" w:rsidRPr="0001617C">
        <w:rPr>
          <w:rFonts w:cs="Times New Roman"/>
          <w:sz w:val="24"/>
          <w:szCs w:val="24"/>
        </w:rPr>
        <w:t>to</w:t>
      </w:r>
      <w:r w:rsidRPr="0001617C">
        <w:rPr>
          <w:rFonts w:cs="Times New Roman"/>
          <w:sz w:val="24"/>
          <w:szCs w:val="24"/>
        </w:rPr>
        <w:t xml:space="preserve"> the compensation limits </w:t>
      </w:r>
      <w:r w:rsidR="00E03146" w:rsidRPr="0001617C">
        <w:rPr>
          <w:rFonts w:cs="Times New Roman"/>
          <w:sz w:val="24"/>
          <w:szCs w:val="24"/>
        </w:rPr>
        <w:t>set for</w:t>
      </w:r>
      <w:r w:rsidR="00740103" w:rsidRPr="0001617C">
        <w:rPr>
          <w:rFonts w:cs="Times New Roman"/>
          <w:sz w:val="24"/>
          <w:szCs w:val="24"/>
        </w:rPr>
        <w:t xml:space="preserve"> the shipping and insurance industry for maritime </w:t>
      </w:r>
      <w:r w:rsidR="008812BB" w:rsidRPr="0001617C">
        <w:rPr>
          <w:rFonts w:cs="Times New Roman"/>
          <w:sz w:val="24"/>
          <w:szCs w:val="24"/>
        </w:rPr>
        <w:t xml:space="preserve">oil pollution </w:t>
      </w:r>
      <w:r w:rsidR="00740103" w:rsidRPr="0001617C">
        <w:rPr>
          <w:rFonts w:cs="Times New Roman"/>
          <w:sz w:val="24"/>
          <w:szCs w:val="24"/>
        </w:rPr>
        <w:t>risks</w:t>
      </w:r>
      <w:r w:rsidRPr="0001617C">
        <w:rPr>
          <w:rFonts w:cs="Times New Roman"/>
          <w:sz w:val="24"/>
          <w:szCs w:val="24"/>
        </w:rPr>
        <w:t xml:space="preserve">. </w:t>
      </w:r>
    </w:p>
    <w:p w14:paraId="0EC8A3C1" w14:textId="034AD551" w:rsidR="00E23A92" w:rsidRPr="0001617C" w:rsidRDefault="00BB539D">
      <w:pPr>
        <w:pStyle w:val="Textonotapie"/>
        <w:spacing w:before="120" w:after="120"/>
        <w:jc w:val="both"/>
        <w:rPr>
          <w:rFonts w:cs="Times New Roman"/>
          <w:sz w:val="24"/>
          <w:szCs w:val="24"/>
        </w:rPr>
      </w:pPr>
      <w:r w:rsidRPr="0001617C">
        <w:rPr>
          <w:rFonts w:cs="Times New Roman"/>
          <w:sz w:val="24"/>
          <w:szCs w:val="24"/>
        </w:rPr>
        <w:t xml:space="preserve">The </w:t>
      </w:r>
      <w:r w:rsidR="00740103" w:rsidRPr="0001617C">
        <w:rPr>
          <w:rFonts w:cs="Times New Roman"/>
          <w:sz w:val="24"/>
          <w:szCs w:val="24"/>
        </w:rPr>
        <w:t xml:space="preserve">failure to update the limits of </w:t>
      </w:r>
      <w:r w:rsidRPr="0001617C">
        <w:rPr>
          <w:rFonts w:cs="Times New Roman"/>
          <w:sz w:val="24"/>
          <w:szCs w:val="24"/>
        </w:rPr>
        <w:t xml:space="preserve">compensation in the 1992 Civil Liability Convention is due to the </w:t>
      </w:r>
      <w:r w:rsidR="008B7106" w:rsidRPr="0001617C">
        <w:rPr>
          <w:rFonts w:cs="Times New Roman"/>
          <w:sz w:val="24"/>
          <w:szCs w:val="24"/>
        </w:rPr>
        <w:t xml:space="preserve">lack of </w:t>
      </w:r>
      <w:r w:rsidRPr="0001617C">
        <w:rPr>
          <w:rFonts w:cs="Times New Roman"/>
          <w:sz w:val="24"/>
          <w:szCs w:val="24"/>
        </w:rPr>
        <w:t xml:space="preserve">decision by </w:t>
      </w:r>
      <w:r w:rsidR="00926C10" w:rsidRPr="0001617C">
        <w:rPr>
          <w:rFonts w:cs="Times New Roman"/>
          <w:sz w:val="24"/>
          <w:szCs w:val="24"/>
        </w:rPr>
        <w:t xml:space="preserve">the Member </w:t>
      </w:r>
      <w:r w:rsidRPr="0001617C">
        <w:rPr>
          <w:rFonts w:cs="Times New Roman"/>
          <w:sz w:val="24"/>
          <w:szCs w:val="24"/>
        </w:rPr>
        <w:t xml:space="preserve">States </w:t>
      </w:r>
      <w:r w:rsidR="00926C10" w:rsidRPr="0001617C">
        <w:rPr>
          <w:rFonts w:cs="Times New Roman"/>
          <w:sz w:val="24"/>
          <w:szCs w:val="24"/>
        </w:rPr>
        <w:t>of</w:t>
      </w:r>
      <w:r w:rsidRPr="0001617C">
        <w:rPr>
          <w:rFonts w:cs="Times New Roman"/>
          <w:sz w:val="24"/>
          <w:szCs w:val="24"/>
        </w:rPr>
        <w:t xml:space="preserve"> the International Maritime Organisation</w:t>
      </w:r>
      <w:r w:rsidR="00001B10" w:rsidRPr="0001617C">
        <w:rPr>
          <w:rFonts w:cs="Times New Roman"/>
          <w:sz w:val="24"/>
          <w:szCs w:val="24"/>
        </w:rPr>
        <w:t xml:space="preserve">, in particular </w:t>
      </w:r>
      <w:r w:rsidR="00A225C2" w:rsidRPr="0001617C">
        <w:rPr>
          <w:rFonts w:cs="Times New Roman"/>
          <w:sz w:val="24"/>
          <w:szCs w:val="24"/>
        </w:rPr>
        <w:t>those on</w:t>
      </w:r>
      <w:r w:rsidR="00D87AC8" w:rsidRPr="0001617C">
        <w:rPr>
          <w:rFonts w:cs="Times New Roman"/>
          <w:sz w:val="24"/>
          <w:szCs w:val="24"/>
        </w:rPr>
        <w:t xml:space="preserve"> </w:t>
      </w:r>
      <w:r w:rsidR="00001B10" w:rsidRPr="0001617C">
        <w:rPr>
          <w:rFonts w:cs="Times New Roman"/>
          <w:sz w:val="24"/>
          <w:szCs w:val="24"/>
        </w:rPr>
        <w:t>its Legal Committee</w:t>
      </w:r>
      <w:r w:rsidRPr="0001617C">
        <w:rPr>
          <w:rFonts w:cs="Times New Roman"/>
          <w:sz w:val="24"/>
          <w:szCs w:val="24"/>
        </w:rPr>
        <w:t xml:space="preserve">. As </w:t>
      </w:r>
      <w:r w:rsidR="00001B10" w:rsidRPr="0001617C">
        <w:rPr>
          <w:rFonts w:cs="Times New Roman"/>
          <w:sz w:val="24"/>
          <w:szCs w:val="24"/>
        </w:rPr>
        <w:t xml:space="preserve">it did for the last update in 2000, </w:t>
      </w:r>
      <w:r w:rsidR="00D87AC8" w:rsidRPr="0001617C">
        <w:rPr>
          <w:rFonts w:cs="Times New Roman"/>
          <w:sz w:val="24"/>
          <w:szCs w:val="24"/>
        </w:rPr>
        <w:t xml:space="preserve">according </w:t>
      </w:r>
      <w:r w:rsidR="00001B10" w:rsidRPr="0001617C">
        <w:rPr>
          <w:rFonts w:cs="Times New Roman"/>
          <w:sz w:val="24"/>
          <w:szCs w:val="24"/>
        </w:rPr>
        <w:t xml:space="preserve">to Art. 15.4 of the 1992 </w:t>
      </w:r>
      <w:r w:rsidR="008812BB" w:rsidRPr="0001617C">
        <w:rPr>
          <w:rFonts w:cs="Times New Roman"/>
          <w:sz w:val="24"/>
          <w:szCs w:val="24"/>
        </w:rPr>
        <w:t>Civil Liability Convention</w:t>
      </w:r>
      <w:r w:rsidR="00001B10" w:rsidRPr="0001617C">
        <w:rPr>
          <w:rFonts w:cs="Times New Roman"/>
          <w:sz w:val="24"/>
          <w:szCs w:val="24"/>
        </w:rPr>
        <w:t xml:space="preserve">, the Legal Committee </w:t>
      </w:r>
      <w:r w:rsidR="00A225C2" w:rsidRPr="0001617C">
        <w:rPr>
          <w:rFonts w:cs="Times New Roman"/>
          <w:sz w:val="24"/>
          <w:szCs w:val="24"/>
        </w:rPr>
        <w:t>must</w:t>
      </w:r>
      <w:r w:rsidR="00001B10" w:rsidRPr="0001617C">
        <w:rPr>
          <w:rFonts w:cs="Times New Roman"/>
          <w:sz w:val="24"/>
          <w:szCs w:val="24"/>
        </w:rPr>
        <w:t xml:space="preserve"> approve</w:t>
      </w:r>
      <w:r w:rsidR="00A225C2" w:rsidRPr="0001617C">
        <w:rPr>
          <w:rFonts w:cs="Times New Roman"/>
          <w:sz w:val="24"/>
          <w:szCs w:val="24"/>
        </w:rPr>
        <w:t xml:space="preserve"> any</w:t>
      </w:r>
      <w:r w:rsidR="00001B10" w:rsidRPr="0001617C">
        <w:rPr>
          <w:rFonts w:cs="Times New Roman"/>
          <w:sz w:val="24"/>
          <w:szCs w:val="24"/>
        </w:rPr>
        <w:t xml:space="preserve"> amendments to the limitation amounts. According to Art. 15.7, these amendments are deemed to have been accepted within eighteen months of their notification, unless, before that date, not less than one quarter of the States which were Contracting States at the date of the adoption of the amendment by the Legal Committee have </w:t>
      </w:r>
      <w:r w:rsidR="00317611" w:rsidRPr="0001617C">
        <w:rPr>
          <w:rFonts w:cs="Times New Roman"/>
          <w:sz w:val="24"/>
          <w:szCs w:val="24"/>
        </w:rPr>
        <w:t>informed</w:t>
      </w:r>
      <w:r w:rsidR="00001B10" w:rsidRPr="0001617C">
        <w:rPr>
          <w:rFonts w:cs="Times New Roman"/>
          <w:sz w:val="24"/>
          <w:szCs w:val="24"/>
        </w:rPr>
        <w:t xml:space="preserve"> the Organisation that they do not accept them. An amendment deemed to have been accepted shall enter into force eighteen months after its acceptance (Art. 15.8</w:t>
      </w:r>
      <w:r w:rsidR="008812BB" w:rsidRPr="0001617C">
        <w:rPr>
          <w:rFonts w:cs="Times New Roman"/>
          <w:sz w:val="24"/>
          <w:szCs w:val="24"/>
        </w:rPr>
        <w:t>)</w:t>
      </w:r>
      <w:r w:rsidR="00001B10" w:rsidRPr="0001617C">
        <w:rPr>
          <w:rFonts w:cs="Times New Roman"/>
          <w:sz w:val="24"/>
          <w:szCs w:val="24"/>
        </w:rPr>
        <w:t>.</w:t>
      </w:r>
    </w:p>
    <w:p w14:paraId="423EE127" w14:textId="642EAB7B" w:rsidR="00E23A92" w:rsidRPr="0001617C" w:rsidRDefault="00BB539D">
      <w:pPr>
        <w:pStyle w:val="Textonotapie"/>
        <w:spacing w:before="120" w:after="120"/>
        <w:jc w:val="both"/>
        <w:rPr>
          <w:rFonts w:cs="Times New Roman"/>
          <w:sz w:val="24"/>
          <w:szCs w:val="24"/>
        </w:rPr>
      </w:pPr>
      <w:r w:rsidRPr="0001617C">
        <w:rPr>
          <w:rFonts w:cs="Times New Roman"/>
          <w:sz w:val="24"/>
          <w:szCs w:val="24"/>
        </w:rPr>
        <w:t xml:space="preserve">Article 15.5 </w:t>
      </w:r>
      <w:r w:rsidR="00F447F9" w:rsidRPr="0001617C">
        <w:rPr>
          <w:rFonts w:cs="Times New Roman"/>
          <w:sz w:val="24"/>
          <w:szCs w:val="24"/>
        </w:rPr>
        <w:t xml:space="preserve">of the </w:t>
      </w:r>
      <w:r w:rsidRPr="0001617C">
        <w:rPr>
          <w:rFonts w:cs="Times New Roman"/>
          <w:sz w:val="24"/>
          <w:szCs w:val="24"/>
        </w:rPr>
        <w:t xml:space="preserve">1992 </w:t>
      </w:r>
      <w:r w:rsidR="00F447F9" w:rsidRPr="0001617C">
        <w:rPr>
          <w:rFonts w:cs="Times New Roman"/>
          <w:sz w:val="24"/>
          <w:szCs w:val="24"/>
        </w:rPr>
        <w:t xml:space="preserve">Civil </w:t>
      </w:r>
      <w:r w:rsidRPr="0001617C">
        <w:rPr>
          <w:rFonts w:cs="Times New Roman"/>
          <w:sz w:val="24"/>
          <w:szCs w:val="24"/>
        </w:rPr>
        <w:t xml:space="preserve">Liability </w:t>
      </w:r>
      <w:r w:rsidR="008812BB" w:rsidRPr="0001617C">
        <w:rPr>
          <w:rFonts w:cs="Times New Roman"/>
          <w:sz w:val="24"/>
          <w:szCs w:val="24"/>
        </w:rPr>
        <w:t xml:space="preserve">Convention </w:t>
      </w:r>
      <w:r w:rsidRPr="0001617C">
        <w:rPr>
          <w:rFonts w:cs="Times New Roman"/>
          <w:sz w:val="24"/>
          <w:szCs w:val="24"/>
        </w:rPr>
        <w:t xml:space="preserve">states that </w:t>
      </w:r>
      <w:r w:rsidR="0029009F" w:rsidRPr="0001617C">
        <w:rPr>
          <w:rFonts w:cs="Times New Roman"/>
          <w:sz w:val="24"/>
          <w:szCs w:val="24"/>
        </w:rPr>
        <w:t>“</w:t>
      </w:r>
      <w:r w:rsidR="005E6B1C" w:rsidRPr="0001617C">
        <w:rPr>
          <w:i/>
          <w:iCs/>
          <w:sz w:val="24"/>
          <w:szCs w:val="24"/>
        </w:rPr>
        <w:t>When acting on a proposal to amend the limits, the Legal Committee shall take into account the experience of incidents and in particular the amount of damage resulting therefrom, changes in the monetary values and the effect of the proposed amendment on the cost of insurance</w:t>
      </w:r>
      <w:r w:rsidR="005E6B1C" w:rsidRPr="0001617C">
        <w:rPr>
          <w:rFonts w:cs="Times New Roman"/>
          <w:sz w:val="24"/>
          <w:szCs w:val="24"/>
        </w:rPr>
        <w:t>.</w:t>
      </w:r>
      <w:r w:rsidR="0029009F" w:rsidRPr="0001617C">
        <w:rPr>
          <w:rFonts w:cs="Times New Roman"/>
          <w:sz w:val="24"/>
          <w:szCs w:val="24"/>
        </w:rPr>
        <w:t>”</w:t>
      </w:r>
    </w:p>
    <w:p w14:paraId="01507E4C" w14:textId="0CAC4854" w:rsidR="00E23A92" w:rsidRPr="0001617C" w:rsidRDefault="00BB539D">
      <w:pPr>
        <w:pStyle w:val="Textonotapie"/>
        <w:spacing w:before="120" w:after="120"/>
        <w:jc w:val="both"/>
        <w:rPr>
          <w:rFonts w:cs="Times New Roman"/>
          <w:sz w:val="24"/>
          <w:szCs w:val="24"/>
        </w:rPr>
      </w:pPr>
      <w:r w:rsidRPr="0001617C">
        <w:rPr>
          <w:rFonts w:cs="Times New Roman"/>
          <w:sz w:val="24"/>
          <w:szCs w:val="24"/>
        </w:rPr>
        <w:t xml:space="preserve">With regard to the </w:t>
      </w:r>
      <w:r w:rsidR="0029009F" w:rsidRPr="0001617C">
        <w:rPr>
          <w:rFonts w:cs="Times New Roman"/>
          <w:sz w:val="24"/>
          <w:szCs w:val="24"/>
        </w:rPr>
        <w:t>“</w:t>
      </w:r>
      <w:r w:rsidR="00001B10" w:rsidRPr="0001617C">
        <w:rPr>
          <w:rFonts w:cs="Times New Roman"/>
          <w:i/>
          <w:iCs/>
          <w:sz w:val="24"/>
          <w:szCs w:val="24"/>
        </w:rPr>
        <w:t>cost of insurance</w:t>
      </w:r>
      <w:r w:rsidR="0005248A" w:rsidRPr="0001617C">
        <w:rPr>
          <w:rFonts w:cs="Times New Roman"/>
          <w:i/>
          <w:iCs/>
          <w:sz w:val="24"/>
          <w:szCs w:val="24"/>
        </w:rPr>
        <w:t>,</w:t>
      </w:r>
      <w:r w:rsidR="0029009F" w:rsidRPr="0001617C">
        <w:rPr>
          <w:rFonts w:cs="Times New Roman"/>
          <w:sz w:val="24"/>
          <w:szCs w:val="24"/>
        </w:rPr>
        <w:t>”</w:t>
      </w:r>
      <w:r w:rsidR="006840E4" w:rsidRPr="0001617C">
        <w:rPr>
          <w:rFonts w:cs="Times New Roman"/>
          <w:sz w:val="24"/>
          <w:szCs w:val="24"/>
        </w:rPr>
        <w:t xml:space="preserve"> the International Maritime Organisation relies on </w:t>
      </w:r>
      <w:r w:rsidR="008812BB" w:rsidRPr="0001617C">
        <w:rPr>
          <w:rFonts w:cs="Times New Roman"/>
          <w:sz w:val="24"/>
          <w:szCs w:val="24"/>
        </w:rPr>
        <w:t xml:space="preserve">information that can be provided directly by the </w:t>
      </w:r>
      <w:r w:rsidR="006840E4" w:rsidRPr="0001617C">
        <w:rPr>
          <w:rFonts w:cs="Times New Roman"/>
          <w:sz w:val="24"/>
          <w:szCs w:val="24"/>
        </w:rPr>
        <w:t>International Group of P&amp;I Clubs</w:t>
      </w:r>
      <w:r w:rsidR="006840E4" w:rsidRPr="0001617C">
        <w:rPr>
          <w:rFonts w:cs="Times New Roman"/>
          <w:i/>
          <w:iCs/>
          <w:sz w:val="24"/>
          <w:szCs w:val="24"/>
        </w:rPr>
        <w:t xml:space="preserve"> </w:t>
      </w:r>
      <w:r w:rsidR="006840E4" w:rsidRPr="0001617C">
        <w:rPr>
          <w:rFonts w:cs="Times New Roman"/>
          <w:sz w:val="24"/>
          <w:szCs w:val="24"/>
        </w:rPr>
        <w:t>(IGP&amp;I)</w:t>
      </w:r>
      <w:r w:rsidR="00067428" w:rsidRPr="0001617C">
        <w:rPr>
          <w:rFonts w:cs="Times New Roman"/>
          <w:sz w:val="24"/>
          <w:szCs w:val="24"/>
        </w:rPr>
        <w:t>.</w:t>
      </w:r>
      <w:r w:rsidR="006840E4" w:rsidRPr="0001617C">
        <w:rPr>
          <w:rStyle w:val="Refdenotaalpie"/>
          <w:rFonts w:cs="Times New Roman"/>
          <w:sz w:val="24"/>
          <w:szCs w:val="24"/>
        </w:rPr>
        <w:footnoteReference w:id="24"/>
      </w:r>
      <w:r w:rsidR="008812BB" w:rsidRPr="0001617C">
        <w:rPr>
          <w:rFonts w:cs="Times New Roman"/>
          <w:sz w:val="24"/>
          <w:szCs w:val="24"/>
        </w:rPr>
        <w:t xml:space="preserve"> This is a </w:t>
      </w:r>
      <w:r w:rsidR="007659A5" w:rsidRPr="0001617C">
        <w:rPr>
          <w:rFonts w:cs="Times New Roman"/>
          <w:sz w:val="24"/>
          <w:szCs w:val="24"/>
        </w:rPr>
        <w:t xml:space="preserve">non-governmental organisation </w:t>
      </w:r>
      <w:r w:rsidR="006840E4" w:rsidRPr="0001617C">
        <w:rPr>
          <w:rFonts w:cs="Times New Roman"/>
          <w:sz w:val="24"/>
          <w:szCs w:val="24"/>
        </w:rPr>
        <w:t xml:space="preserve">with advisory status </w:t>
      </w:r>
      <w:r w:rsidR="008812BB" w:rsidRPr="0001617C">
        <w:rPr>
          <w:rFonts w:cs="Times New Roman"/>
          <w:sz w:val="24"/>
          <w:szCs w:val="24"/>
        </w:rPr>
        <w:t xml:space="preserve">to </w:t>
      </w:r>
      <w:r w:rsidR="00741759" w:rsidRPr="0001617C">
        <w:rPr>
          <w:rFonts w:cs="Times New Roman"/>
          <w:sz w:val="24"/>
          <w:szCs w:val="24"/>
        </w:rPr>
        <w:t xml:space="preserve">the </w:t>
      </w:r>
      <w:r w:rsidR="008812BB" w:rsidRPr="0001617C">
        <w:rPr>
          <w:rFonts w:cs="Times New Roman"/>
          <w:sz w:val="24"/>
          <w:szCs w:val="24"/>
        </w:rPr>
        <w:t>IMO</w:t>
      </w:r>
      <w:r w:rsidR="00741759" w:rsidRPr="0001617C">
        <w:rPr>
          <w:rFonts w:cs="Times New Roman"/>
          <w:sz w:val="24"/>
          <w:szCs w:val="24"/>
        </w:rPr>
        <w:t>.</w:t>
      </w:r>
      <w:r w:rsidR="006840E4" w:rsidRPr="0001617C">
        <w:rPr>
          <w:rStyle w:val="Refdenotaalpie"/>
          <w:rFonts w:cs="Times New Roman"/>
          <w:sz w:val="24"/>
          <w:szCs w:val="24"/>
        </w:rPr>
        <w:footnoteReference w:id="25"/>
      </w:r>
      <w:r w:rsidR="006840E4" w:rsidRPr="0001617C">
        <w:rPr>
          <w:rFonts w:cs="Times New Roman"/>
          <w:sz w:val="24"/>
          <w:szCs w:val="24"/>
        </w:rPr>
        <w:t xml:space="preserve"> </w:t>
      </w:r>
      <w:r w:rsidR="00D87AC8" w:rsidRPr="0001617C">
        <w:rPr>
          <w:rFonts w:cs="Times New Roman"/>
          <w:sz w:val="24"/>
          <w:szCs w:val="24"/>
        </w:rPr>
        <w:t>IGP&amp;I operates as the industry</w:t>
      </w:r>
      <w:r w:rsidR="00B84357" w:rsidRPr="0001617C">
        <w:rPr>
          <w:rFonts w:cs="Times New Roman"/>
          <w:sz w:val="24"/>
          <w:szCs w:val="24"/>
        </w:rPr>
        <w:t>’</w:t>
      </w:r>
      <w:r w:rsidR="00D87AC8" w:rsidRPr="0001617C">
        <w:rPr>
          <w:rFonts w:cs="Times New Roman"/>
          <w:sz w:val="24"/>
          <w:szCs w:val="24"/>
        </w:rPr>
        <w:t xml:space="preserve">s representative and lobby group in defence of the interests of its member </w:t>
      </w:r>
      <w:r w:rsidR="005A10DF" w:rsidRPr="0001617C">
        <w:rPr>
          <w:rFonts w:cs="Times New Roman"/>
          <w:sz w:val="24"/>
          <w:szCs w:val="24"/>
        </w:rPr>
        <w:t>P&amp;I Club</w:t>
      </w:r>
      <w:r w:rsidR="00D87AC8" w:rsidRPr="0001617C">
        <w:rPr>
          <w:rFonts w:cs="Times New Roman"/>
          <w:sz w:val="24"/>
          <w:szCs w:val="24"/>
        </w:rPr>
        <w:t xml:space="preserve">s. </w:t>
      </w:r>
      <w:r w:rsidR="008404B8" w:rsidRPr="0001617C">
        <w:rPr>
          <w:rFonts w:cs="Times New Roman"/>
          <w:sz w:val="24"/>
          <w:szCs w:val="24"/>
        </w:rPr>
        <w:t xml:space="preserve">Equasis statistics </w:t>
      </w:r>
      <w:r w:rsidR="00CB058F" w:rsidRPr="0001617C">
        <w:rPr>
          <w:rFonts w:cs="Times New Roman"/>
          <w:sz w:val="24"/>
          <w:szCs w:val="24"/>
        </w:rPr>
        <w:t xml:space="preserve">show that </w:t>
      </w:r>
      <w:r w:rsidR="00F8010B" w:rsidRPr="0001617C">
        <w:rPr>
          <w:rFonts w:cs="Times New Roman"/>
          <w:sz w:val="24"/>
          <w:szCs w:val="24"/>
        </w:rPr>
        <w:t xml:space="preserve">most of </w:t>
      </w:r>
      <w:r w:rsidR="00585874" w:rsidRPr="0001617C">
        <w:rPr>
          <w:rFonts w:cs="Times New Roman"/>
          <w:sz w:val="24"/>
          <w:szCs w:val="24"/>
        </w:rPr>
        <w:t xml:space="preserve">the oil and chemical tankers </w:t>
      </w:r>
      <w:r w:rsidR="00335A68" w:rsidRPr="0001617C">
        <w:rPr>
          <w:rFonts w:cs="Times New Roman"/>
          <w:sz w:val="24"/>
          <w:szCs w:val="24"/>
        </w:rPr>
        <w:t>with a</w:t>
      </w:r>
      <w:r w:rsidR="00585874" w:rsidRPr="0001617C">
        <w:rPr>
          <w:rFonts w:cs="Times New Roman"/>
          <w:sz w:val="24"/>
          <w:szCs w:val="24"/>
        </w:rPr>
        <w:t xml:space="preserve"> gross tonnage</w:t>
      </w:r>
      <w:r w:rsidR="00335A68" w:rsidRPr="0001617C">
        <w:rPr>
          <w:rFonts w:cs="Times New Roman"/>
          <w:sz w:val="24"/>
          <w:szCs w:val="24"/>
        </w:rPr>
        <w:t xml:space="preserve"> of over 500</w:t>
      </w:r>
      <w:r w:rsidR="00585874" w:rsidRPr="0001617C">
        <w:rPr>
          <w:rFonts w:cs="Times New Roman"/>
          <w:sz w:val="24"/>
          <w:szCs w:val="24"/>
        </w:rPr>
        <w:t>, which are those engaged in international shipping</w:t>
      </w:r>
      <w:r w:rsidR="00F024E4" w:rsidRPr="0001617C">
        <w:rPr>
          <w:rFonts w:cs="Times New Roman"/>
          <w:sz w:val="24"/>
          <w:szCs w:val="24"/>
        </w:rPr>
        <w:t>,</w:t>
      </w:r>
      <w:r w:rsidR="00585874" w:rsidRPr="0001617C">
        <w:rPr>
          <w:rFonts w:cs="Times New Roman"/>
          <w:sz w:val="24"/>
          <w:szCs w:val="24"/>
        </w:rPr>
        <w:t xml:space="preserve"> </w:t>
      </w:r>
      <w:r w:rsidR="00F024E4" w:rsidRPr="0001617C">
        <w:rPr>
          <w:rFonts w:cs="Times New Roman"/>
          <w:sz w:val="24"/>
          <w:szCs w:val="24"/>
        </w:rPr>
        <w:t>are insured by one</w:t>
      </w:r>
      <w:r w:rsidR="00D87AC8" w:rsidRPr="0001617C">
        <w:rPr>
          <w:rFonts w:cs="Times New Roman"/>
          <w:sz w:val="24"/>
          <w:szCs w:val="24"/>
        </w:rPr>
        <w:t xml:space="preserve"> of the thirteen </w:t>
      </w:r>
      <w:r w:rsidR="005A10DF" w:rsidRPr="0001617C">
        <w:rPr>
          <w:rFonts w:cs="Times New Roman"/>
          <w:sz w:val="24"/>
          <w:szCs w:val="24"/>
        </w:rPr>
        <w:t>P&amp;I Club</w:t>
      </w:r>
      <w:r w:rsidR="00D87AC8" w:rsidRPr="0001617C">
        <w:rPr>
          <w:rFonts w:cs="Times New Roman"/>
          <w:sz w:val="24"/>
          <w:szCs w:val="24"/>
        </w:rPr>
        <w:t xml:space="preserve">s that are members of the </w:t>
      </w:r>
      <w:r w:rsidR="00CB058F" w:rsidRPr="0001617C">
        <w:rPr>
          <w:rFonts w:cs="Times New Roman"/>
          <w:sz w:val="24"/>
          <w:szCs w:val="24"/>
        </w:rPr>
        <w:t>IGP&amp;I</w:t>
      </w:r>
      <w:r w:rsidR="008404B8" w:rsidRPr="0001617C">
        <w:rPr>
          <w:rFonts w:cs="Times New Roman"/>
          <w:sz w:val="24"/>
          <w:szCs w:val="24"/>
        </w:rPr>
        <w:t xml:space="preserve">. For smaller vessels, </w:t>
      </w:r>
      <w:r w:rsidR="000704AE" w:rsidRPr="0001617C">
        <w:rPr>
          <w:rFonts w:cs="Times New Roman"/>
          <w:sz w:val="24"/>
          <w:szCs w:val="24"/>
        </w:rPr>
        <w:t>the market is shared more</w:t>
      </w:r>
      <w:r w:rsidR="008404B8" w:rsidRPr="0001617C">
        <w:rPr>
          <w:rFonts w:cs="Times New Roman"/>
          <w:sz w:val="24"/>
          <w:szCs w:val="24"/>
        </w:rPr>
        <w:t xml:space="preserve"> </w:t>
      </w:r>
      <w:r w:rsidR="00D0752B" w:rsidRPr="0001617C">
        <w:rPr>
          <w:rFonts w:cs="Times New Roman"/>
          <w:sz w:val="24"/>
          <w:szCs w:val="24"/>
        </w:rPr>
        <w:t xml:space="preserve">evenly </w:t>
      </w:r>
      <w:r w:rsidR="008404B8" w:rsidRPr="0001617C">
        <w:rPr>
          <w:rFonts w:cs="Times New Roman"/>
          <w:sz w:val="24"/>
          <w:szCs w:val="24"/>
        </w:rPr>
        <w:t>with insurers outside the IGP&amp;I</w:t>
      </w:r>
      <w:r w:rsidR="0085418B" w:rsidRPr="0001617C">
        <w:rPr>
          <w:rFonts w:cs="Times New Roman"/>
          <w:sz w:val="24"/>
          <w:szCs w:val="24"/>
        </w:rPr>
        <w:t>,</w:t>
      </w:r>
      <w:r w:rsidR="008404B8" w:rsidRPr="0001617C">
        <w:rPr>
          <w:rStyle w:val="Refdenotaalpie"/>
          <w:rFonts w:cs="Times New Roman"/>
          <w:sz w:val="24"/>
          <w:szCs w:val="24"/>
        </w:rPr>
        <w:footnoteReference w:id="26"/>
      </w:r>
      <w:r w:rsidR="008404B8" w:rsidRPr="0001617C">
        <w:rPr>
          <w:rFonts w:cs="Times New Roman"/>
          <w:sz w:val="24"/>
          <w:szCs w:val="24"/>
        </w:rPr>
        <w:t xml:space="preserve"> while extra-large vessels are almost always insured by </w:t>
      </w:r>
      <w:r w:rsidR="006D1C6B" w:rsidRPr="0001617C">
        <w:rPr>
          <w:rFonts w:cs="Times New Roman"/>
          <w:sz w:val="24"/>
          <w:szCs w:val="24"/>
        </w:rPr>
        <w:t>an</w:t>
      </w:r>
      <w:r w:rsidR="008404B8" w:rsidRPr="0001617C">
        <w:rPr>
          <w:rFonts w:cs="Times New Roman"/>
          <w:sz w:val="24"/>
          <w:szCs w:val="24"/>
        </w:rPr>
        <w:t xml:space="preserve"> IGP&amp;I </w:t>
      </w:r>
      <w:r w:rsidR="006D1C6B" w:rsidRPr="0001617C">
        <w:rPr>
          <w:rFonts w:cs="Times New Roman"/>
          <w:sz w:val="24"/>
          <w:szCs w:val="24"/>
        </w:rPr>
        <w:t>member.</w:t>
      </w:r>
      <w:r w:rsidR="00CB058F" w:rsidRPr="0001617C">
        <w:rPr>
          <w:rStyle w:val="Refdenotaalpie"/>
          <w:rFonts w:cs="Times New Roman"/>
          <w:sz w:val="24"/>
          <w:szCs w:val="24"/>
        </w:rPr>
        <w:footnoteReference w:id="27"/>
      </w:r>
      <w:r w:rsidR="00CB058F" w:rsidRPr="0001617C">
        <w:rPr>
          <w:rFonts w:cs="Times New Roman"/>
          <w:sz w:val="24"/>
          <w:szCs w:val="24"/>
        </w:rPr>
        <w:t xml:space="preserve"> </w:t>
      </w:r>
      <w:r w:rsidR="00D11319" w:rsidRPr="0001617C">
        <w:rPr>
          <w:rFonts w:cs="Times New Roman"/>
          <w:sz w:val="24"/>
          <w:szCs w:val="24"/>
        </w:rPr>
        <w:t xml:space="preserve">Of the thirteen, eight </w:t>
      </w:r>
      <w:r w:rsidR="005A10DF" w:rsidRPr="0001617C">
        <w:rPr>
          <w:rFonts w:cs="Times New Roman"/>
          <w:sz w:val="24"/>
          <w:szCs w:val="24"/>
        </w:rPr>
        <w:t>P&amp;I Club</w:t>
      </w:r>
      <w:r w:rsidR="00D11319" w:rsidRPr="0001617C">
        <w:rPr>
          <w:rFonts w:cs="Times New Roman"/>
          <w:sz w:val="24"/>
          <w:szCs w:val="24"/>
        </w:rPr>
        <w:t xml:space="preserve">s are based in the UK, two are Norwegian, one American, one Japanese and one Swedish. The London P&amp;I Club, which insured </w:t>
      </w:r>
      <w:r w:rsidR="00DB43DC" w:rsidRPr="0001617C">
        <w:rPr>
          <w:rFonts w:cs="Times New Roman"/>
          <w:i/>
          <w:iCs/>
          <w:sz w:val="24"/>
          <w:szCs w:val="24"/>
        </w:rPr>
        <w:t>The Prestige</w:t>
      </w:r>
      <w:r w:rsidR="00B047D1" w:rsidRPr="0001617C">
        <w:rPr>
          <w:rFonts w:cs="Times New Roman"/>
          <w:sz w:val="24"/>
          <w:szCs w:val="24"/>
        </w:rPr>
        <w:t>,</w:t>
      </w:r>
      <w:r w:rsidR="00D11319" w:rsidRPr="0001617C">
        <w:rPr>
          <w:rFonts w:cs="Times New Roman"/>
          <w:sz w:val="24"/>
          <w:szCs w:val="24"/>
        </w:rPr>
        <w:t xml:space="preserve"> is a member of the IGP&amp;I. None is Spanish and</w:t>
      </w:r>
      <w:r w:rsidR="006840E4" w:rsidRPr="0001617C">
        <w:rPr>
          <w:rFonts w:cs="Times New Roman"/>
          <w:sz w:val="24"/>
          <w:szCs w:val="24"/>
        </w:rPr>
        <w:t xml:space="preserve">, with the </w:t>
      </w:r>
      <w:r w:rsidR="00D11319" w:rsidRPr="0001617C">
        <w:rPr>
          <w:rFonts w:cs="Times New Roman"/>
          <w:sz w:val="24"/>
          <w:szCs w:val="24"/>
        </w:rPr>
        <w:t>exception of The Swedish P&amp;I Club</w:t>
      </w:r>
      <w:r w:rsidR="006840E4" w:rsidRPr="0001617C">
        <w:rPr>
          <w:rFonts w:cs="Times New Roman"/>
          <w:sz w:val="24"/>
          <w:szCs w:val="24"/>
        </w:rPr>
        <w:t xml:space="preserve">, </w:t>
      </w:r>
      <w:r w:rsidR="00DF0ADE" w:rsidRPr="0001617C">
        <w:rPr>
          <w:rFonts w:cs="Times New Roman"/>
          <w:sz w:val="24"/>
          <w:szCs w:val="24"/>
        </w:rPr>
        <w:t xml:space="preserve">no insurer is </w:t>
      </w:r>
      <w:r w:rsidR="00D11319" w:rsidRPr="0001617C">
        <w:rPr>
          <w:rFonts w:cs="Times New Roman"/>
          <w:sz w:val="24"/>
          <w:szCs w:val="24"/>
        </w:rPr>
        <w:t xml:space="preserve">domiciled in the European Union. </w:t>
      </w:r>
    </w:p>
    <w:p w14:paraId="6C6B70FF" w14:textId="5EB7128F" w:rsidR="00E23A92" w:rsidRPr="0001617C" w:rsidRDefault="00BB539D">
      <w:pPr>
        <w:spacing w:before="120" w:after="120" w:line="240" w:lineRule="auto"/>
        <w:jc w:val="both"/>
        <w:rPr>
          <w:rFonts w:cs="Times New Roman"/>
          <w:sz w:val="24"/>
          <w:szCs w:val="24"/>
          <w:lang w:val="en-GB"/>
        </w:rPr>
      </w:pPr>
      <w:r w:rsidRPr="0001617C">
        <w:rPr>
          <w:rFonts w:cs="Times New Roman"/>
          <w:sz w:val="24"/>
          <w:szCs w:val="24"/>
          <w:lang w:val="en-GB"/>
        </w:rPr>
        <w:t xml:space="preserve">Each </w:t>
      </w:r>
      <w:r w:rsidR="005A10DF" w:rsidRPr="0001617C">
        <w:rPr>
          <w:rFonts w:cs="Times New Roman"/>
          <w:sz w:val="24"/>
          <w:szCs w:val="24"/>
          <w:lang w:val="en-GB"/>
        </w:rPr>
        <w:t>P&amp;I Club</w:t>
      </w:r>
      <w:r w:rsidRPr="0001617C">
        <w:rPr>
          <w:rFonts w:cs="Times New Roman"/>
          <w:sz w:val="24"/>
          <w:szCs w:val="24"/>
          <w:lang w:val="en-GB"/>
        </w:rPr>
        <w:t xml:space="preserve"> member of the IGP&amp;I is an independent insurer. However, they have common practices in the conditions </w:t>
      </w:r>
      <w:r w:rsidR="008059E5" w:rsidRPr="0001617C">
        <w:rPr>
          <w:rFonts w:cs="Times New Roman"/>
          <w:sz w:val="24"/>
          <w:szCs w:val="24"/>
          <w:lang w:val="en-GB"/>
        </w:rPr>
        <w:t>regarding</w:t>
      </w:r>
      <w:r w:rsidRPr="0001617C">
        <w:rPr>
          <w:rFonts w:cs="Times New Roman"/>
          <w:sz w:val="24"/>
          <w:szCs w:val="24"/>
          <w:lang w:val="en-GB"/>
        </w:rPr>
        <w:t xml:space="preserve"> covered and excluded risks. One only has to compare the rules</w:t>
      </w:r>
      <w:r w:rsidRPr="0001617C">
        <w:rPr>
          <w:rFonts w:cs="Times New Roman"/>
          <w:i/>
          <w:iCs/>
          <w:sz w:val="24"/>
          <w:szCs w:val="24"/>
          <w:lang w:val="en-GB"/>
        </w:rPr>
        <w:t xml:space="preserve"> </w:t>
      </w:r>
      <w:r w:rsidRPr="0001617C">
        <w:rPr>
          <w:rFonts w:cs="Times New Roman"/>
          <w:sz w:val="24"/>
          <w:szCs w:val="24"/>
          <w:lang w:val="en-GB"/>
        </w:rPr>
        <w:t xml:space="preserve">of each </w:t>
      </w:r>
      <w:r w:rsidR="005A10DF" w:rsidRPr="0001617C">
        <w:rPr>
          <w:rFonts w:cs="Times New Roman"/>
          <w:sz w:val="24"/>
          <w:szCs w:val="24"/>
          <w:lang w:val="en-GB"/>
        </w:rPr>
        <w:t>P&amp;I Club</w:t>
      </w:r>
      <w:r w:rsidRPr="0001617C">
        <w:rPr>
          <w:rFonts w:cs="Times New Roman"/>
          <w:sz w:val="24"/>
          <w:szCs w:val="24"/>
          <w:lang w:val="en-GB"/>
        </w:rPr>
        <w:t xml:space="preserve"> to see the similarities in coverage. Moreover, </w:t>
      </w:r>
      <w:r w:rsidRPr="0001617C">
        <w:rPr>
          <w:rFonts w:cs="Times New Roman"/>
          <w:sz w:val="24"/>
          <w:szCs w:val="24"/>
          <w:lang w:val="en-GB"/>
        </w:rPr>
        <w:lastRenderedPageBreak/>
        <w:t xml:space="preserve">through this association of insurers, the member </w:t>
      </w:r>
      <w:r w:rsidR="005A10DF" w:rsidRPr="0001617C">
        <w:rPr>
          <w:rFonts w:cs="Times New Roman"/>
          <w:sz w:val="24"/>
          <w:szCs w:val="24"/>
          <w:lang w:val="en-GB"/>
        </w:rPr>
        <w:t>P&amp;I Club</w:t>
      </w:r>
      <w:r w:rsidRPr="0001617C">
        <w:rPr>
          <w:rFonts w:cs="Times New Roman"/>
          <w:sz w:val="24"/>
          <w:szCs w:val="24"/>
          <w:lang w:val="en-GB"/>
        </w:rPr>
        <w:t xml:space="preserve">s also act jointly in certain respects by virtue of contracts to which they are signatories. Thus, they pool certain risks so that in the event </w:t>
      </w:r>
      <w:r w:rsidR="00A9041F" w:rsidRPr="0001617C">
        <w:rPr>
          <w:rFonts w:cs="Times New Roman"/>
          <w:sz w:val="24"/>
          <w:szCs w:val="24"/>
          <w:lang w:val="en-GB"/>
        </w:rPr>
        <w:t xml:space="preserve">that one of the member </w:t>
      </w:r>
      <w:r w:rsidR="00AC6532" w:rsidRPr="0001617C">
        <w:rPr>
          <w:rFonts w:cs="Times New Roman"/>
          <w:sz w:val="24"/>
          <w:szCs w:val="24"/>
          <w:lang w:val="en-GB"/>
        </w:rPr>
        <w:t>c</w:t>
      </w:r>
      <w:r w:rsidR="00A9041F" w:rsidRPr="0001617C">
        <w:rPr>
          <w:rFonts w:cs="Times New Roman"/>
          <w:sz w:val="24"/>
          <w:szCs w:val="24"/>
          <w:lang w:val="en-GB"/>
        </w:rPr>
        <w:t>lubs</w:t>
      </w:r>
      <w:r w:rsidRPr="0001617C">
        <w:rPr>
          <w:rFonts w:cs="Times New Roman"/>
          <w:sz w:val="24"/>
          <w:szCs w:val="24"/>
          <w:lang w:val="en-GB"/>
        </w:rPr>
        <w:t xml:space="preserve"> </w:t>
      </w:r>
      <w:r w:rsidR="00A9041F" w:rsidRPr="0001617C">
        <w:rPr>
          <w:rFonts w:cs="Times New Roman"/>
          <w:sz w:val="24"/>
          <w:szCs w:val="24"/>
          <w:lang w:val="en-GB"/>
        </w:rPr>
        <w:t xml:space="preserve">is required to pay </w:t>
      </w:r>
      <w:r w:rsidRPr="0001617C">
        <w:rPr>
          <w:rFonts w:cs="Times New Roman"/>
          <w:sz w:val="24"/>
          <w:szCs w:val="24"/>
          <w:lang w:val="en-GB"/>
        </w:rPr>
        <w:t xml:space="preserve">a large claim, it can claim a solidarity share from the others. In addition, the IGP&amp;I facilitates the taking out of </w:t>
      </w:r>
      <w:r w:rsidR="007968B5" w:rsidRPr="0001617C">
        <w:rPr>
          <w:rFonts w:cs="Times New Roman"/>
          <w:sz w:val="24"/>
          <w:szCs w:val="24"/>
          <w:lang w:val="en-GB"/>
        </w:rPr>
        <w:t xml:space="preserve">collective </w:t>
      </w:r>
      <w:r w:rsidRPr="0001617C">
        <w:rPr>
          <w:rFonts w:cs="Times New Roman"/>
          <w:sz w:val="24"/>
          <w:szCs w:val="24"/>
          <w:lang w:val="en-GB"/>
        </w:rPr>
        <w:t xml:space="preserve">reinsurance </w:t>
      </w:r>
      <w:r w:rsidR="007968B5" w:rsidRPr="0001617C">
        <w:rPr>
          <w:rFonts w:cs="Times New Roman"/>
          <w:sz w:val="24"/>
          <w:szCs w:val="24"/>
          <w:lang w:val="en-GB"/>
        </w:rPr>
        <w:t>contracts</w:t>
      </w:r>
      <w:r w:rsidRPr="0001617C">
        <w:rPr>
          <w:rFonts w:cs="Times New Roman"/>
          <w:sz w:val="24"/>
          <w:szCs w:val="24"/>
          <w:lang w:val="en-GB"/>
        </w:rPr>
        <w:t xml:space="preserve"> for all member </w:t>
      </w:r>
      <w:r w:rsidR="00AC6532" w:rsidRPr="0001617C">
        <w:rPr>
          <w:rFonts w:cs="Times New Roman"/>
          <w:sz w:val="24"/>
          <w:szCs w:val="24"/>
          <w:lang w:val="en-GB"/>
        </w:rPr>
        <w:t>c</w:t>
      </w:r>
      <w:r w:rsidR="005A10DF" w:rsidRPr="0001617C">
        <w:rPr>
          <w:rFonts w:cs="Times New Roman"/>
          <w:sz w:val="24"/>
          <w:szCs w:val="24"/>
          <w:lang w:val="en-GB"/>
        </w:rPr>
        <w:t>lub</w:t>
      </w:r>
      <w:r w:rsidRPr="0001617C">
        <w:rPr>
          <w:rFonts w:cs="Times New Roman"/>
          <w:sz w:val="24"/>
          <w:szCs w:val="24"/>
          <w:lang w:val="en-GB"/>
        </w:rPr>
        <w:t xml:space="preserve">s. The European </w:t>
      </w:r>
      <w:r w:rsidR="00C84BEF" w:rsidRPr="0001617C">
        <w:rPr>
          <w:rFonts w:cs="Times New Roman"/>
          <w:sz w:val="24"/>
          <w:szCs w:val="24"/>
          <w:lang w:val="en-GB"/>
        </w:rPr>
        <w:t>c</w:t>
      </w:r>
      <w:r w:rsidRPr="0001617C">
        <w:rPr>
          <w:rFonts w:cs="Times New Roman"/>
          <w:sz w:val="24"/>
          <w:szCs w:val="24"/>
          <w:lang w:val="en-GB"/>
        </w:rPr>
        <w:t xml:space="preserve">ompetition </w:t>
      </w:r>
      <w:r w:rsidR="00C84BEF" w:rsidRPr="0001617C">
        <w:rPr>
          <w:rFonts w:cs="Times New Roman"/>
          <w:sz w:val="24"/>
          <w:szCs w:val="24"/>
          <w:lang w:val="en-GB"/>
        </w:rPr>
        <w:t>a</w:t>
      </w:r>
      <w:r w:rsidRPr="0001617C">
        <w:rPr>
          <w:rFonts w:cs="Times New Roman"/>
          <w:sz w:val="24"/>
          <w:szCs w:val="24"/>
          <w:lang w:val="en-GB"/>
        </w:rPr>
        <w:t>uthorities examined the IGP&amp;I</w:t>
      </w:r>
      <w:r w:rsidRPr="0001617C">
        <w:rPr>
          <w:rStyle w:val="Refdenotaalpie"/>
          <w:rFonts w:cs="Times New Roman"/>
          <w:sz w:val="24"/>
          <w:szCs w:val="24"/>
          <w:lang w:val="en-GB"/>
        </w:rPr>
        <w:footnoteReference w:id="28"/>
      </w:r>
      <w:r w:rsidRPr="0001617C">
        <w:rPr>
          <w:rFonts w:cs="Times New Roman"/>
          <w:sz w:val="24"/>
          <w:szCs w:val="24"/>
          <w:lang w:val="en-GB"/>
        </w:rPr>
        <w:t xml:space="preserve"> and its compliance with European competition law. After several exemptions, they found </w:t>
      </w:r>
      <w:r w:rsidR="00475B57" w:rsidRPr="0001617C">
        <w:rPr>
          <w:rFonts w:cs="Times New Roman"/>
          <w:sz w:val="24"/>
          <w:szCs w:val="24"/>
          <w:lang w:val="en-GB"/>
        </w:rPr>
        <w:t>th</w:t>
      </w:r>
      <w:r w:rsidR="00BC69F8" w:rsidRPr="0001617C">
        <w:rPr>
          <w:rFonts w:cs="Times New Roman"/>
          <w:sz w:val="24"/>
          <w:szCs w:val="24"/>
          <w:lang w:val="en-GB"/>
        </w:rPr>
        <w:t>e</w:t>
      </w:r>
      <w:r w:rsidR="00475B57" w:rsidRPr="0001617C">
        <w:rPr>
          <w:rFonts w:cs="Times New Roman"/>
          <w:sz w:val="24"/>
          <w:szCs w:val="24"/>
          <w:lang w:val="en-GB"/>
        </w:rPr>
        <w:t xml:space="preserve"> association </w:t>
      </w:r>
      <w:r w:rsidRPr="0001617C">
        <w:rPr>
          <w:rFonts w:cs="Times New Roman"/>
          <w:sz w:val="24"/>
          <w:szCs w:val="24"/>
          <w:lang w:val="en-GB"/>
        </w:rPr>
        <w:t>to be compatible with EU law</w:t>
      </w:r>
      <w:r w:rsidR="00475B57" w:rsidRPr="0001617C">
        <w:rPr>
          <w:rFonts w:cs="Times New Roman"/>
          <w:sz w:val="24"/>
          <w:szCs w:val="24"/>
          <w:lang w:val="en-GB"/>
        </w:rPr>
        <w:t xml:space="preserve">. </w:t>
      </w:r>
      <w:r w:rsidRPr="0001617C">
        <w:rPr>
          <w:rFonts w:cs="Times New Roman"/>
          <w:sz w:val="24"/>
          <w:szCs w:val="24"/>
          <w:lang w:val="en-GB"/>
        </w:rPr>
        <w:t xml:space="preserve">In addition, </w:t>
      </w:r>
      <w:r w:rsidR="00475B57" w:rsidRPr="0001617C">
        <w:rPr>
          <w:rFonts w:cs="Times New Roman"/>
          <w:sz w:val="24"/>
          <w:szCs w:val="24"/>
          <w:lang w:val="en-GB"/>
        </w:rPr>
        <w:t>the European Union considered it to be a</w:t>
      </w:r>
      <w:r w:rsidR="00342485" w:rsidRPr="0001617C">
        <w:rPr>
          <w:rFonts w:cs="Times New Roman"/>
          <w:sz w:val="24"/>
          <w:szCs w:val="24"/>
          <w:lang w:val="en-GB"/>
        </w:rPr>
        <w:t>n organisation of</w:t>
      </w:r>
      <w:r w:rsidR="00475B57" w:rsidRPr="0001617C">
        <w:rPr>
          <w:rFonts w:cs="Times New Roman"/>
          <w:sz w:val="24"/>
          <w:szCs w:val="24"/>
          <w:lang w:val="en-GB"/>
        </w:rPr>
        <w:t xml:space="preserve"> </w:t>
      </w:r>
      <w:r w:rsidRPr="0001617C">
        <w:rPr>
          <w:rFonts w:cs="Times New Roman"/>
          <w:sz w:val="24"/>
          <w:szCs w:val="24"/>
          <w:lang w:val="en-GB"/>
        </w:rPr>
        <w:t>public interest</w:t>
      </w:r>
      <w:r w:rsidR="006840E4" w:rsidRPr="0001617C">
        <w:rPr>
          <w:rFonts w:cs="Times New Roman"/>
          <w:sz w:val="24"/>
          <w:szCs w:val="24"/>
          <w:lang w:val="en-GB"/>
        </w:rPr>
        <w:t xml:space="preserve">, as </w:t>
      </w:r>
      <w:r w:rsidRPr="0001617C">
        <w:rPr>
          <w:rFonts w:cs="Times New Roman"/>
          <w:sz w:val="24"/>
          <w:szCs w:val="24"/>
          <w:lang w:val="en-GB"/>
        </w:rPr>
        <w:t xml:space="preserve">this cooperation enables the member </w:t>
      </w:r>
      <w:r w:rsidR="005A10DF" w:rsidRPr="0001617C">
        <w:rPr>
          <w:rFonts w:cs="Times New Roman"/>
          <w:sz w:val="24"/>
          <w:szCs w:val="24"/>
          <w:lang w:val="en-GB"/>
        </w:rPr>
        <w:t>P&amp;I Club</w:t>
      </w:r>
      <w:r w:rsidRPr="0001617C">
        <w:rPr>
          <w:rFonts w:cs="Times New Roman"/>
          <w:sz w:val="24"/>
          <w:szCs w:val="24"/>
          <w:lang w:val="en-GB"/>
        </w:rPr>
        <w:t xml:space="preserve">s to offer the insurance market comprehensive cover </w:t>
      </w:r>
      <w:r w:rsidR="00FB3A32" w:rsidRPr="0001617C">
        <w:rPr>
          <w:rFonts w:cs="Times New Roman"/>
          <w:sz w:val="24"/>
          <w:szCs w:val="24"/>
          <w:lang w:val="en-GB"/>
        </w:rPr>
        <w:t>for large claims</w:t>
      </w:r>
      <w:r w:rsidRPr="0001617C">
        <w:rPr>
          <w:rFonts w:cs="Times New Roman"/>
          <w:sz w:val="24"/>
          <w:szCs w:val="24"/>
          <w:lang w:val="en-GB"/>
        </w:rPr>
        <w:t xml:space="preserve">. </w:t>
      </w:r>
    </w:p>
    <w:p w14:paraId="14A947F7" w14:textId="7050084A" w:rsidR="00E23A92" w:rsidRPr="0001617C" w:rsidRDefault="00BB539D">
      <w:pPr>
        <w:pStyle w:val="Textonotapie"/>
        <w:spacing w:before="120" w:after="120"/>
        <w:jc w:val="both"/>
        <w:rPr>
          <w:rFonts w:cs="Times New Roman"/>
          <w:sz w:val="24"/>
          <w:szCs w:val="24"/>
        </w:rPr>
      </w:pPr>
      <w:r w:rsidRPr="0001617C">
        <w:rPr>
          <w:rFonts w:cs="Times New Roman"/>
          <w:sz w:val="24"/>
          <w:szCs w:val="24"/>
        </w:rPr>
        <w:t xml:space="preserve">The question arises as to which insurer would be willing to pay for the incident if </w:t>
      </w:r>
      <w:r w:rsidR="00775ED5" w:rsidRPr="0001617C">
        <w:rPr>
          <w:rFonts w:cs="Times New Roman"/>
          <w:sz w:val="24"/>
          <w:szCs w:val="24"/>
        </w:rPr>
        <w:t>they</w:t>
      </w:r>
      <w:r w:rsidRPr="0001617C">
        <w:rPr>
          <w:rFonts w:cs="Times New Roman"/>
          <w:sz w:val="24"/>
          <w:szCs w:val="24"/>
        </w:rPr>
        <w:t xml:space="preserve"> have agreed </w:t>
      </w:r>
      <w:r w:rsidR="00E32578" w:rsidRPr="0001617C">
        <w:rPr>
          <w:rFonts w:cs="Times New Roman"/>
          <w:sz w:val="24"/>
          <w:szCs w:val="24"/>
        </w:rPr>
        <w:t xml:space="preserve">the </w:t>
      </w:r>
      <w:r w:rsidR="00C647F4" w:rsidRPr="0001617C">
        <w:rPr>
          <w:rFonts w:cs="Times New Roman"/>
          <w:sz w:val="24"/>
          <w:szCs w:val="24"/>
        </w:rPr>
        <w:t xml:space="preserve">foundations of the business </w:t>
      </w:r>
      <w:r w:rsidRPr="0001617C">
        <w:rPr>
          <w:rFonts w:cs="Times New Roman"/>
          <w:sz w:val="24"/>
          <w:szCs w:val="24"/>
        </w:rPr>
        <w:t xml:space="preserve">with </w:t>
      </w:r>
      <w:r w:rsidR="00E32578" w:rsidRPr="0001617C">
        <w:rPr>
          <w:rFonts w:cs="Times New Roman"/>
          <w:sz w:val="24"/>
          <w:szCs w:val="24"/>
        </w:rPr>
        <w:t xml:space="preserve">their </w:t>
      </w:r>
      <w:r w:rsidRPr="0001617C">
        <w:rPr>
          <w:rFonts w:cs="Times New Roman"/>
          <w:sz w:val="24"/>
          <w:szCs w:val="24"/>
        </w:rPr>
        <w:t xml:space="preserve">competitors and the States </w:t>
      </w:r>
      <w:r w:rsidR="009732C9" w:rsidRPr="0001617C">
        <w:rPr>
          <w:rFonts w:cs="Times New Roman"/>
          <w:sz w:val="24"/>
          <w:szCs w:val="24"/>
        </w:rPr>
        <w:t xml:space="preserve">themselves </w:t>
      </w:r>
      <w:r w:rsidR="00775ED5" w:rsidRPr="0001617C">
        <w:rPr>
          <w:rFonts w:cs="Times New Roman"/>
          <w:sz w:val="24"/>
          <w:szCs w:val="24"/>
        </w:rPr>
        <w:t>have not made any move</w:t>
      </w:r>
      <w:r w:rsidRPr="0001617C">
        <w:rPr>
          <w:rFonts w:cs="Times New Roman"/>
          <w:sz w:val="24"/>
          <w:szCs w:val="24"/>
        </w:rPr>
        <w:t xml:space="preserve"> to update the limits of compensation, which </w:t>
      </w:r>
      <w:r w:rsidR="00AD10B0" w:rsidRPr="0001617C">
        <w:rPr>
          <w:rFonts w:cs="Times New Roman"/>
          <w:sz w:val="24"/>
          <w:szCs w:val="24"/>
        </w:rPr>
        <w:t xml:space="preserve">are </w:t>
      </w:r>
      <w:r w:rsidRPr="0001617C">
        <w:rPr>
          <w:rFonts w:cs="Times New Roman"/>
          <w:sz w:val="24"/>
          <w:szCs w:val="24"/>
        </w:rPr>
        <w:t xml:space="preserve">outdated after </w:t>
      </w:r>
      <w:r w:rsidR="00AD10B0" w:rsidRPr="0001617C">
        <w:rPr>
          <w:rFonts w:cs="Times New Roman"/>
          <w:sz w:val="24"/>
          <w:szCs w:val="24"/>
        </w:rPr>
        <w:t xml:space="preserve">not having been modified for </w:t>
      </w:r>
      <w:r w:rsidRPr="0001617C">
        <w:rPr>
          <w:rFonts w:cs="Times New Roman"/>
          <w:sz w:val="24"/>
          <w:szCs w:val="24"/>
        </w:rPr>
        <w:t xml:space="preserve">23 years. Between the compensation limits of the </w:t>
      </w:r>
      <w:r w:rsidR="006840E4" w:rsidRPr="0001617C">
        <w:rPr>
          <w:rFonts w:cs="Times New Roman"/>
          <w:sz w:val="24"/>
          <w:szCs w:val="24"/>
        </w:rPr>
        <w:t xml:space="preserve">1992 </w:t>
      </w:r>
      <w:r w:rsidR="00DF0ADE" w:rsidRPr="0001617C">
        <w:rPr>
          <w:rFonts w:cs="Times New Roman"/>
          <w:sz w:val="24"/>
          <w:szCs w:val="24"/>
        </w:rPr>
        <w:t>Civil Liability Convention</w:t>
      </w:r>
      <w:r w:rsidRPr="0001617C">
        <w:rPr>
          <w:rFonts w:cs="Times New Roman"/>
          <w:sz w:val="24"/>
          <w:szCs w:val="24"/>
        </w:rPr>
        <w:t xml:space="preserve"> according to the tonnage of the damaged ship (22.7 million in the case of </w:t>
      </w:r>
      <w:r w:rsidR="00DB43DC" w:rsidRPr="0001617C">
        <w:rPr>
          <w:rFonts w:cs="Times New Roman"/>
          <w:i/>
          <w:iCs/>
          <w:sz w:val="24"/>
          <w:szCs w:val="24"/>
        </w:rPr>
        <w:t>The Prestige</w:t>
      </w:r>
      <w:r w:rsidRPr="0001617C">
        <w:rPr>
          <w:rFonts w:cs="Times New Roman"/>
          <w:sz w:val="24"/>
          <w:szCs w:val="24"/>
        </w:rPr>
        <w:t xml:space="preserve">) and the </w:t>
      </w:r>
      <w:r w:rsidR="00D5308E" w:rsidRPr="0001617C">
        <w:rPr>
          <w:rFonts w:cs="Times New Roman"/>
          <w:sz w:val="24"/>
          <w:szCs w:val="24"/>
        </w:rPr>
        <w:t>US</w:t>
      </w:r>
      <w:r w:rsidRPr="0001617C">
        <w:rPr>
          <w:rFonts w:cs="Times New Roman"/>
          <w:sz w:val="24"/>
          <w:szCs w:val="24"/>
        </w:rPr>
        <w:t xml:space="preserve">$1 billion sum </w:t>
      </w:r>
      <w:r w:rsidR="006D63D2" w:rsidRPr="0001617C">
        <w:rPr>
          <w:rFonts w:cs="Times New Roman"/>
          <w:sz w:val="24"/>
          <w:szCs w:val="24"/>
        </w:rPr>
        <w:t>insured</w:t>
      </w:r>
      <w:r w:rsidRPr="0001617C">
        <w:rPr>
          <w:rFonts w:cs="Times New Roman"/>
          <w:sz w:val="24"/>
          <w:szCs w:val="24"/>
        </w:rPr>
        <w:t xml:space="preserve"> in the P&amp;I insurance rules for oil tankers</w:t>
      </w:r>
      <w:r w:rsidR="001A75AA" w:rsidRPr="0001617C">
        <w:rPr>
          <w:rFonts w:cs="Times New Roman"/>
          <w:sz w:val="24"/>
          <w:szCs w:val="24"/>
        </w:rPr>
        <w:t>,</w:t>
      </w:r>
      <w:r w:rsidRPr="0001617C">
        <w:rPr>
          <w:rStyle w:val="Refdenotaalpie"/>
          <w:rFonts w:cs="Times New Roman"/>
          <w:sz w:val="24"/>
          <w:szCs w:val="24"/>
        </w:rPr>
        <w:footnoteReference w:id="29"/>
      </w:r>
      <w:r w:rsidRPr="0001617C">
        <w:rPr>
          <w:rFonts w:cs="Times New Roman"/>
          <w:sz w:val="24"/>
          <w:szCs w:val="24"/>
        </w:rPr>
        <w:t xml:space="preserve"> there is ample room to reconcile the interests of insurers and injured third parties. The proactive work of </w:t>
      </w:r>
      <w:r w:rsidR="003332E7" w:rsidRPr="0001617C">
        <w:rPr>
          <w:rFonts w:cs="Times New Roman"/>
          <w:sz w:val="24"/>
          <w:szCs w:val="24"/>
        </w:rPr>
        <w:t xml:space="preserve">the </w:t>
      </w:r>
      <w:r w:rsidR="0002592B" w:rsidRPr="0001617C">
        <w:rPr>
          <w:rFonts w:cs="Times New Roman"/>
          <w:sz w:val="24"/>
          <w:szCs w:val="24"/>
        </w:rPr>
        <w:t>S</w:t>
      </w:r>
      <w:r w:rsidRPr="0001617C">
        <w:rPr>
          <w:rFonts w:cs="Times New Roman"/>
          <w:sz w:val="24"/>
          <w:szCs w:val="24"/>
        </w:rPr>
        <w:t xml:space="preserve">tates within the International Maritime Organisation will be essential in this proposed regulatory change. </w:t>
      </w:r>
    </w:p>
    <w:p w14:paraId="44C55393" w14:textId="77777777" w:rsidR="00ED68FB" w:rsidRPr="0001617C" w:rsidRDefault="00ED68FB" w:rsidP="00E17EC6">
      <w:pPr>
        <w:pStyle w:val="Textonotapie"/>
        <w:spacing w:before="120" w:after="120"/>
        <w:jc w:val="both"/>
        <w:rPr>
          <w:rFonts w:cs="Times New Roman"/>
          <w:sz w:val="24"/>
          <w:szCs w:val="24"/>
        </w:rPr>
      </w:pPr>
    </w:p>
    <w:p w14:paraId="09657423" w14:textId="0F7CD124" w:rsidR="00E23A92" w:rsidRPr="0001617C" w:rsidRDefault="00BB539D" w:rsidP="001A75E8">
      <w:pPr>
        <w:pStyle w:val="Textonotapie"/>
        <w:numPr>
          <w:ilvl w:val="1"/>
          <w:numId w:val="50"/>
        </w:numPr>
        <w:spacing w:before="120" w:after="120"/>
        <w:jc w:val="both"/>
        <w:rPr>
          <w:rFonts w:cs="Times New Roman"/>
          <w:b/>
          <w:bCs/>
          <w:sz w:val="24"/>
          <w:szCs w:val="24"/>
        </w:rPr>
      </w:pPr>
      <w:r w:rsidRPr="0001617C">
        <w:rPr>
          <w:rFonts w:cs="Times New Roman"/>
          <w:b/>
          <w:bCs/>
          <w:sz w:val="24"/>
          <w:szCs w:val="24"/>
        </w:rPr>
        <w:t xml:space="preserve">The extension of the </w:t>
      </w:r>
      <w:r w:rsidR="00C63CAC" w:rsidRPr="0001617C">
        <w:rPr>
          <w:rFonts w:cs="Times New Roman"/>
          <w:b/>
          <w:bCs/>
          <w:sz w:val="24"/>
          <w:szCs w:val="24"/>
        </w:rPr>
        <w:t xml:space="preserve">maritime </w:t>
      </w:r>
      <w:r w:rsidR="00A04FBA" w:rsidRPr="0001617C">
        <w:rPr>
          <w:rFonts w:cs="Times New Roman"/>
          <w:b/>
          <w:bCs/>
          <w:sz w:val="24"/>
          <w:szCs w:val="24"/>
        </w:rPr>
        <w:t xml:space="preserve">civil </w:t>
      </w:r>
      <w:r w:rsidR="00C63CAC" w:rsidRPr="0001617C">
        <w:rPr>
          <w:rFonts w:cs="Times New Roman"/>
          <w:b/>
          <w:bCs/>
          <w:sz w:val="24"/>
          <w:szCs w:val="24"/>
        </w:rPr>
        <w:t xml:space="preserve">liability insurance </w:t>
      </w:r>
      <w:r w:rsidR="00A04FBA" w:rsidRPr="0001617C">
        <w:rPr>
          <w:rFonts w:cs="Times New Roman"/>
          <w:b/>
          <w:bCs/>
          <w:sz w:val="24"/>
          <w:szCs w:val="24"/>
        </w:rPr>
        <w:t xml:space="preserve">contract </w:t>
      </w:r>
      <w:r w:rsidRPr="0001617C">
        <w:rPr>
          <w:rFonts w:cs="Times New Roman"/>
          <w:b/>
          <w:bCs/>
          <w:sz w:val="24"/>
          <w:szCs w:val="24"/>
        </w:rPr>
        <w:t xml:space="preserve">arbitration </w:t>
      </w:r>
      <w:r w:rsidR="00C63CAC" w:rsidRPr="0001617C">
        <w:rPr>
          <w:rFonts w:cs="Times New Roman"/>
          <w:b/>
          <w:bCs/>
          <w:sz w:val="24"/>
          <w:szCs w:val="24"/>
        </w:rPr>
        <w:t>clause</w:t>
      </w:r>
      <w:r w:rsidRPr="0001617C">
        <w:rPr>
          <w:rFonts w:cs="Times New Roman"/>
          <w:b/>
          <w:bCs/>
          <w:sz w:val="24"/>
          <w:szCs w:val="24"/>
        </w:rPr>
        <w:t xml:space="preserve"> to injured third part</w:t>
      </w:r>
      <w:r w:rsidR="00C63CAC" w:rsidRPr="0001617C">
        <w:rPr>
          <w:rFonts w:cs="Times New Roman"/>
          <w:b/>
          <w:bCs/>
          <w:sz w:val="24"/>
          <w:szCs w:val="24"/>
        </w:rPr>
        <w:t>ies</w:t>
      </w:r>
      <w:r w:rsidRPr="0001617C">
        <w:rPr>
          <w:rFonts w:cs="Times New Roman"/>
          <w:b/>
          <w:bCs/>
          <w:sz w:val="24"/>
          <w:szCs w:val="24"/>
        </w:rPr>
        <w:t xml:space="preserve"> </w:t>
      </w:r>
    </w:p>
    <w:p w14:paraId="14250A0E" w14:textId="1A375670" w:rsidR="00E23A92" w:rsidRPr="0001617C" w:rsidRDefault="00BB539D">
      <w:pPr>
        <w:pStyle w:val="Textoindependiente"/>
        <w:spacing w:before="106" w:line="256" w:lineRule="auto"/>
        <w:ind w:right="114"/>
        <w:jc w:val="both"/>
        <w:rPr>
          <w:lang w:val="en-GB"/>
        </w:rPr>
      </w:pPr>
      <w:r w:rsidRPr="0001617C">
        <w:rPr>
          <w:lang w:val="en-GB"/>
        </w:rPr>
        <w:t xml:space="preserve">Rule 43 of the P&amp;I Insurance Rules 2023-2024 of The London </w:t>
      </w:r>
      <w:r w:rsidRPr="0001617C">
        <w:rPr>
          <w:spacing w:val="-1"/>
          <w:lang w:val="en-GB"/>
        </w:rPr>
        <w:t>Steam-Ship Owners</w:t>
      </w:r>
      <w:r w:rsidR="00B84357" w:rsidRPr="0001617C">
        <w:rPr>
          <w:spacing w:val="-1"/>
          <w:lang w:val="en-GB"/>
        </w:rPr>
        <w:t>’</w:t>
      </w:r>
      <w:r w:rsidRPr="0001617C">
        <w:rPr>
          <w:spacing w:val="-1"/>
          <w:lang w:val="en-GB"/>
        </w:rPr>
        <w:t xml:space="preserve"> </w:t>
      </w:r>
      <w:r w:rsidR="00C508F6" w:rsidRPr="0001617C">
        <w:rPr>
          <w:lang w:val="en-GB"/>
        </w:rPr>
        <w:t xml:space="preserve">Mutual </w:t>
      </w:r>
      <w:r w:rsidRPr="0001617C">
        <w:rPr>
          <w:lang w:val="en-GB"/>
        </w:rPr>
        <w:t>Insurance Association Limited, trading as The London P&amp;I Club, provides as follows</w:t>
      </w:r>
      <w:r w:rsidR="00F042F6" w:rsidRPr="0001617C">
        <w:rPr>
          <w:lang w:val="en-GB"/>
        </w:rPr>
        <w:t>:</w:t>
      </w:r>
      <w:r w:rsidRPr="0001617C">
        <w:rPr>
          <w:rStyle w:val="Refdenotaalpie"/>
          <w:lang w:val="en-GB"/>
        </w:rPr>
        <w:footnoteReference w:id="30"/>
      </w:r>
      <w:r w:rsidRPr="0001617C">
        <w:rPr>
          <w:lang w:val="en-GB"/>
        </w:rPr>
        <w:t xml:space="preserve"> </w:t>
      </w:r>
    </w:p>
    <w:p w14:paraId="699D0877" w14:textId="77777777" w:rsidR="009666AA" w:rsidRPr="0001617C" w:rsidRDefault="009666AA" w:rsidP="009666AA">
      <w:pPr>
        <w:pStyle w:val="Textoindependiente"/>
        <w:spacing w:before="2"/>
        <w:rPr>
          <w:sz w:val="23"/>
          <w:lang w:val="en-GB"/>
        </w:rPr>
      </w:pPr>
    </w:p>
    <w:p w14:paraId="4355240F" w14:textId="1F341592" w:rsidR="00E23A92" w:rsidRPr="0001617C" w:rsidRDefault="0029009F">
      <w:pPr>
        <w:spacing w:before="1" w:line="261" w:lineRule="auto"/>
        <w:ind w:left="825" w:right="115" w:firstLine="453"/>
        <w:jc w:val="both"/>
        <w:rPr>
          <w:sz w:val="24"/>
          <w:szCs w:val="24"/>
          <w:lang w:val="en-GB"/>
        </w:rPr>
      </w:pPr>
      <w:r w:rsidRPr="0001617C">
        <w:rPr>
          <w:i/>
          <w:sz w:val="24"/>
          <w:szCs w:val="24"/>
          <w:lang w:val="en-GB"/>
        </w:rPr>
        <w:t>“</w:t>
      </w:r>
      <w:r w:rsidR="00BB539D" w:rsidRPr="0001617C">
        <w:rPr>
          <w:i/>
          <w:sz w:val="24"/>
          <w:szCs w:val="24"/>
          <w:lang w:val="en-GB"/>
        </w:rPr>
        <w:t xml:space="preserve">These Rules and any contract of insurance entered into by the </w:t>
      </w:r>
      <w:r w:rsidR="000F7266" w:rsidRPr="0001617C">
        <w:rPr>
          <w:i/>
          <w:sz w:val="24"/>
          <w:szCs w:val="24"/>
          <w:lang w:val="en-GB"/>
        </w:rPr>
        <w:t>A</w:t>
      </w:r>
      <w:r w:rsidR="00BB539D" w:rsidRPr="0001617C">
        <w:rPr>
          <w:i/>
          <w:sz w:val="24"/>
          <w:szCs w:val="24"/>
          <w:lang w:val="en-GB"/>
        </w:rPr>
        <w:t xml:space="preserve">ssociation shall be governed by and construed </w:t>
      </w:r>
      <w:r w:rsidR="00BB539D" w:rsidRPr="0001617C">
        <w:rPr>
          <w:i/>
          <w:spacing w:val="-1"/>
          <w:sz w:val="24"/>
          <w:szCs w:val="24"/>
          <w:lang w:val="en-GB"/>
        </w:rPr>
        <w:t xml:space="preserve">in </w:t>
      </w:r>
      <w:r w:rsidR="00BB539D" w:rsidRPr="0001617C">
        <w:rPr>
          <w:i/>
          <w:sz w:val="24"/>
          <w:szCs w:val="24"/>
          <w:lang w:val="en-GB"/>
        </w:rPr>
        <w:t>accordance with English law</w:t>
      </w:r>
      <w:r w:rsidR="0024359E" w:rsidRPr="0001617C">
        <w:rPr>
          <w:i/>
          <w:sz w:val="24"/>
          <w:szCs w:val="24"/>
          <w:lang w:val="en-GB"/>
        </w:rPr>
        <w:t>.</w:t>
      </w:r>
      <w:r w:rsidRPr="0001617C">
        <w:rPr>
          <w:sz w:val="24"/>
          <w:szCs w:val="24"/>
          <w:lang w:val="en-GB"/>
        </w:rPr>
        <w:t>”</w:t>
      </w:r>
    </w:p>
    <w:p w14:paraId="345531C9" w14:textId="36A6915B" w:rsidR="00E23A92" w:rsidRPr="0001617C" w:rsidRDefault="0029009F">
      <w:pPr>
        <w:spacing w:line="261" w:lineRule="auto"/>
        <w:ind w:left="825" w:right="112" w:firstLine="453"/>
        <w:jc w:val="both"/>
        <w:rPr>
          <w:i/>
          <w:iCs/>
          <w:sz w:val="24"/>
          <w:szCs w:val="24"/>
          <w:lang w:val="en-GB"/>
        </w:rPr>
      </w:pPr>
      <w:r w:rsidRPr="0001617C">
        <w:rPr>
          <w:lang w:val="en-GB"/>
        </w:rPr>
        <w:t>“</w:t>
      </w:r>
      <w:r w:rsidR="0024359E" w:rsidRPr="0001617C">
        <w:rPr>
          <w:i/>
          <w:iCs/>
          <w:sz w:val="24"/>
          <w:szCs w:val="24"/>
          <w:lang w:val="en-GB"/>
        </w:rPr>
        <w:t>If any difference or dispute shall arise between an Assured (or any other person) and the Association out of or in connection with these Rules, or out of any contract between the Assured and the Association, or as to the rights or obligations of the Association or the Assured thereunder, or in connection therewith, or as to any other matter whatsoever, such difference or dispute shall be referred to arbitration in London in accordance with the Arbitration Act 1996 and any statutory modification or re-enactment thereof save to the extent necessary to give effect to the provisions of this Rule. The arbitration shall be conducted in accordance with the London Maritime Arbitrators’ Association (LMAA).</w:t>
      </w:r>
      <w:r w:rsidRPr="0001617C">
        <w:rPr>
          <w:i/>
          <w:iCs/>
          <w:sz w:val="24"/>
          <w:szCs w:val="24"/>
          <w:lang w:val="en-GB"/>
        </w:rPr>
        <w:t>”</w:t>
      </w:r>
    </w:p>
    <w:p w14:paraId="4363B9CC" w14:textId="480606C5" w:rsidR="00E23A92" w:rsidRPr="0001617C" w:rsidRDefault="00BB539D">
      <w:pPr>
        <w:widowControl w:val="0"/>
        <w:tabs>
          <w:tab w:val="left" w:pos="1058"/>
        </w:tabs>
        <w:autoSpaceDE w:val="0"/>
        <w:autoSpaceDN w:val="0"/>
        <w:spacing w:after="0" w:line="256" w:lineRule="auto"/>
        <w:ind w:right="114"/>
        <w:jc w:val="both"/>
        <w:rPr>
          <w:sz w:val="24"/>
          <w:szCs w:val="24"/>
          <w:lang w:val="en-GB"/>
        </w:rPr>
      </w:pPr>
      <w:r w:rsidRPr="0001617C">
        <w:rPr>
          <w:sz w:val="24"/>
          <w:szCs w:val="24"/>
          <w:lang w:val="en-GB"/>
        </w:rPr>
        <w:lastRenderedPageBreak/>
        <w:t xml:space="preserve">This is the P&amp;I </w:t>
      </w:r>
      <w:r w:rsidR="004A7F4D" w:rsidRPr="0001617C">
        <w:rPr>
          <w:sz w:val="24"/>
          <w:szCs w:val="24"/>
          <w:lang w:val="en-GB"/>
        </w:rPr>
        <w:t>C</w:t>
      </w:r>
      <w:r w:rsidRPr="0001617C">
        <w:rPr>
          <w:sz w:val="24"/>
          <w:szCs w:val="24"/>
          <w:lang w:val="en-GB"/>
        </w:rPr>
        <w:t xml:space="preserve">lub which insured the civil liability of the ship </w:t>
      </w:r>
      <w:r w:rsidR="0024359E" w:rsidRPr="0001617C">
        <w:rPr>
          <w:i/>
          <w:iCs/>
          <w:sz w:val="24"/>
          <w:szCs w:val="24"/>
          <w:lang w:val="en-GB"/>
        </w:rPr>
        <w:t xml:space="preserve">The </w:t>
      </w:r>
      <w:r w:rsidRPr="0001617C">
        <w:rPr>
          <w:i/>
          <w:iCs/>
          <w:sz w:val="24"/>
          <w:szCs w:val="24"/>
          <w:lang w:val="en-GB"/>
        </w:rPr>
        <w:t>Prestige</w:t>
      </w:r>
      <w:r w:rsidRPr="0001617C">
        <w:rPr>
          <w:sz w:val="24"/>
          <w:szCs w:val="24"/>
          <w:lang w:val="en-GB"/>
        </w:rPr>
        <w:t xml:space="preserve">. </w:t>
      </w:r>
      <w:r w:rsidR="00FB4A21" w:rsidRPr="0001617C">
        <w:rPr>
          <w:sz w:val="24"/>
          <w:szCs w:val="24"/>
          <w:lang w:val="en-GB"/>
        </w:rPr>
        <w:t>At the time, t</w:t>
      </w:r>
      <w:r w:rsidRPr="0001617C">
        <w:rPr>
          <w:sz w:val="24"/>
          <w:szCs w:val="24"/>
          <w:lang w:val="en-GB"/>
        </w:rPr>
        <w:t xml:space="preserve">he P&amp;I insurance clause of the London P&amp;I </w:t>
      </w:r>
      <w:r w:rsidR="00D754B2" w:rsidRPr="0001617C">
        <w:rPr>
          <w:sz w:val="24"/>
          <w:szCs w:val="24"/>
          <w:lang w:val="en-GB"/>
        </w:rPr>
        <w:t>C</w:t>
      </w:r>
      <w:r w:rsidRPr="0001617C">
        <w:rPr>
          <w:sz w:val="24"/>
          <w:szCs w:val="24"/>
          <w:lang w:val="en-GB"/>
        </w:rPr>
        <w:t xml:space="preserve">lub had a slightly different wording, but the same purpose: submission to arbitration in London and </w:t>
      </w:r>
      <w:r w:rsidR="0023028E" w:rsidRPr="0001617C">
        <w:rPr>
          <w:sz w:val="24"/>
          <w:szCs w:val="24"/>
          <w:lang w:val="en-GB"/>
        </w:rPr>
        <w:t xml:space="preserve">the </w:t>
      </w:r>
      <w:r w:rsidRPr="0001617C">
        <w:rPr>
          <w:sz w:val="24"/>
          <w:szCs w:val="24"/>
          <w:lang w:val="en-GB"/>
        </w:rPr>
        <w:t xml:space="preserve">selection of English law to settle disputes between the insured and the P&amp;I </w:t>
      </w:r>
      <w:r w:rsidR="0023028E" w:rsidRPr="0001617C">
        <w:rPr>
          <w:sz w:val="24"/>
          <w:szCs w:val="24"/>
          <w:lang w:val="en-GB"/>
        </w:rPr>
        <w:t>C</w:t>
      </w:r>
      <w:r w:rsidRPr="0001617C">
        <w:rPr>
          <w:sz w:val="24"/>
          <w:szCs w:val="24"/>
          <w:lang w:val="en-GB"/>
        </w:rPr>
        <w:t xml:space="preserve">lub as insurer. The sensitive and contentious issue is the subjective extension of the P&amp;I insurance arbitration </w:t>
      </w:r>
      <w:r w:rsidR="0036095F" w:rsidRPr="0001617C">
        <w:rPr>
          <w:sz w:val="24"/>
          <w:szCs w:val="24"/>
          <w:lang w:val="en-GB"/>
        </w:rPr>
        <w:t>clause</w:t>
      </w:r>
      <w:r w:rsidRPr="0001617C">
        <w:rPr>
          <w:sz w:val="24"/>
          <w:szCs w:val="24"/>
          <w:lang w:val="en-GB"/>
        </w:rPr>
        <w:t xml:space="preserve"> to the third party bringing a direct action against the </w:t>
      </w:r>
      <w:r w:rsidR="005A10DF" w:rsidRPr="0001617C">
        <w:rPr>
          <w:sz w:val="24"/>
          <w:szCs w:val="24"/>
          <w:lang w:val="en-GB"/>
        </w:rPr>
        <w:t>P&amp;I Club</w:t>
      </w:r>
      <w:r w:rsidRPr="0001617C">
        <w:rPr>
          <w:sz w:val="24"/>
          <w:szCs w:val="24"/>
          <w:lang w:val="en-GB"/>
        </w:rPr>
        <w:t xml:space="preserve"> for financial compensation for the insured shipowner</w:t>
      </w:r>
      <w:r w:rsidR="00B84357" w:rsidRPr="0001617C">
        <w:rPr>
          <w:sz w:val="24"/>
          <w:szCs w:val="24"/>
          <w:lang w:val="en-GB"/>
        </w:rPr>
        <w:t>’</w:t>
      </w:r>
      <w:r w:rsidRPr="0001617C">
        <w:rPr>
          <w:sz w:val="24"/>
          <w:szCs w:val="24"/>
          <w:lang w:val="en-GB"/>
        </w:rPr>
        <w:t>s or charterer</w:t>
      </w:r>
      <w:r w:rsidR="00B84357" w:rsidRPr="0001617C">
        <w:rPr>
          <w:sz w:val="24"/>
          <w:szCs w:val="24"/>
          <w:lang w:val="en-GB"/>
        </w:rPr>
        <w:t>’</w:t>
      </w:r>
      <w:r w:rsidRPr="0001617C">
        <w:rPr>
          <w:sz w:val="24"/>
          <w:szCs w:val="24"/>
          <w:lang w:val="en-GB"/>
        </w:rPr>
        <w:t>s liability.</w:t>
      </w:r>
    </w:p>
    <w:p w14:paraId="63DB8F6A" w14:textId="040E7FC3" w:rsidR="00E23A92" w:rsidRPr="0001617C" w:rsidRDefault="00BB539D">
      <w:pPr>
        <w:pStyle w:val="Textonotapie"/>
        <w:spacing w:before="120" w:after="120"/>
        <w:jc w:val="both"/>
        <w:rPr>
          <w:rFonts w:cs="Times New Roman"/>
          <w:sz w:val="24"/>
          <w:szCs w:val="24"/>
        </w:rPr>
      </w:pPr>
      <w:r w:rsidRPr="0001617C">
        <w:rPr>
          <w:rFonts w:cs="Times New Roman"/>
          <w:sz w:val="24"/>
          <w:szCs w:val="24"/>
        </w:rPr>
        <w:t xml:space="preserve">The Court of Justice of the European Union </w:t>
      </w:r>
      <w:r w:rsidR="00337649" w:rsidRPr="0001617C">
        <w:rPr>
          <w:rFonts w:cs="Times New Roman"/>
          <w:sz w:val="24"/>
          <w:szCs w:val="24"/>
        </w:rPr>
        <w:t>restrains</w:t>
      </w:r>
      <w:r w:rsidRPr="0001617C">
        <w:rPr>
          <w:rFonts w:cs="Times New Roman"/>
          <w:sz w:val="24"/>
          <w:szCs w:val="24"/>
        </w:rPr>
        <w:t xml:space="preserve"> the subjective extension of the </w:t>
      </w:r>
      <w:r w:rsidR="008B57A6" w:rsidRPr="0001617C">
        <w:rPr>
          <w:rFonts w:cs="Times New Roman"/>
          <w:sz w:val="24"/>
          <w:szCs w:val="24"/>
        </w:rPr>
        <w:t xml:space="preserve">usual P&amp;I insurance contract </w:t>
      </w:r>
      <w:r w:rsidRPr="0001617C">
        <w:rPr>
          <w:rFonts w:cs="Times New Roman"/>
          <w:sz w:val="24"/>
          <w:szCs w:val="24"/>
        </w:rPr>
        <w:t xml:space="preserve">arbitration </w:t>
      </w:r>
      <w:r w:rsidR="008B57A6" w:rsidRPr="0001617C">
        <w:rPr>
          <w:rFonts w:cs="Times New Roman"/>
          <w:sz w:val="24"/>
          <w:szCs w:val="24"/>
        </w:rPr>
        <w:t xml:space="preserve">clause </w:t>
      </w:r>
      <w:r w:rsidRPr="0001617C">
        <w:rPr>
          <w:rFonts w:cs="Times New Roman"/>
          <w:sz w:val="24"/>
          <w:szCs w:val="24"/>
        </w:rPr>
        <w:t xml:space="preserve">to the injured third party who directly claims compensation from the </w:t>
      </w:r>
      <w:r w:rsidR="005A10DF" w:rsidRPr="0001617C">
        <w:rPr>
          <w:rFonts w:cs="Times New Roman"/>
          <w:sz w:val="24"/>
          <w:szCs w:val="24"/>
        </w:rPr>
        <w:t>P&amp;I Club</w:t>
      </w:r>
      <w:r w:rsidRPr="0001617C">
        <w:rPr>
          <w:rFonts w:cs="Times New Roman"/>
          <w:sz w:val="24"/>
          <w:szCs w:val="24"/>
        </w:rPr>
        <w:t>. According to its consolidated case law in the Assens Havn (2017)</w:t>
      </w:r>
      <w:r w:rsidR="00C508F6" w:rsidRPr="0001617C">
        <w:rPr>
          <w:rStyle w:val="Refdenotaalpie"/>
          <w:rFonts w:cs="Times New Roman"/>
          <w:sz w:val="24"/>
          <w:szCs w:val="24"/>
        </w:rPr>
        <w:footnoteReference w:id="31"/>
      </w:r>
      <w:r w:rsidRPr="0001617C">
        <w:rPr>
          <w:rFonts w:cs="Times New Roman"/>
          <w:sz w:val="24"/>
          <w:szCs w:val="24"/>
        </w:rPr>
        <w:t xml:space="preserve"> and </w:t>
      </w:r>
      <w:r w:rsidR="002D0007" w:rsidRPr="0001617C">
        <w:rPr>
          <w:rFonts w:cs="Times New Roman"/>
          <w:i/>
          <w:iCs/>
          <w:sz w:val="24"/>
          <w:szCs w:val="24"/>
        </w:rPr>
        <w:t>The</w:t>
      </w:r>
      <w:r w:rsidR="002D0007" w:rsidRPr="0001617C">
        <w:rPr>
          <w:rFonts w:cs="Times New Roman"/>
          <w:sz w:val="24"/>
          <w:szCs w:val="24"/>
        </w:rPr>
        <w:t xml:space="preserve"> </w:t>
      </w:r>
      <w:r w:rsidRPr="0001617C">
        <w:rPr>
          <w:rFonts w:cs="Times New Roman"/>
          <w:i/>
          <w:iCs/>
          <w:sz w:val="24"/>
          <w:szCs w:val="24"/>
        </w:rPr>
        <w:t>Prestige</w:t>
      </w:r>
      <w:r w:rsidRPr="0001617C">
        <w:rPr>
          <w:rFonts w:cs="Times New Roman"/>
          <w:sz w:val="24"/>
          <w:szCs w:val="24"/>
        </w:rPr>
        <w:t xml:space="preserve"> (2022) cases, for Regulation (EC) 44/2001 it establishes that the injured third party is not bound by the arbitration clause in the marine insurance contract between the insurer and the insured who is liable for the damage. This rule of not being bound by courts other than those resulting from the application of the repealed Regulation (EC) 44/2001 applies both to courts of law (</w:t>
      </w:r>
      <w:r w:rsidR="00277499" w:rsidRPr="0001617C">
        <w:rPr>
          <w:rFonts w:cs="Times New Roman"/>
          <w:sz w:val="24"/>
          <w:szCs w:val="24"/>
        </w:rPr>
        <w:t xml:space="preserve">the </w:t>
      </w:r>
      <w:r w:rsidRPr="0001617C">
        <w:rPr>
          <w:rFonts w:cs="Times New Roman"/>
          <w:sz w:val="24"/>
          <w:szCs w:val="24"/>
        </w:rPr>
        <w:t>Assens Havn case) and to arbitration tribunals (</w:t>
      </w:r>
      <w:r w:rsidR="00277499" w:rsidRPr="0001617C">
        <w:rPr>
          <w:rFonts w:cs="Times New Roman"/>
          <w:i/>
          <w:iCs/>
          <w:sz w:val="24"/>
          <w:szCs w:val="24"/>
        </w:rPr>
        <w:t xml:space="preserve">The </w:t>
      </w:r>
      <w:r w:rsidRPr="0001617C">
        <w:rPr>
          <w:rFonts w:cs="Times New Roman"/>
          <w:i/>
          <w:iCs/>
          <w:sz w:val="24"/>
          <w:szCs w:val="24"/>
        </w:rPr>
        <w:t>Prestige</w:t>
      </w:r>
      <w:r w:rsidRPr="0001617C">
        <w:rPr>
          <w:rFonts w:cs="Times New Roman"/>
          <w:sz w:val="24"/>
          <w:szCs w:val="24"/>
        </w:rPr>
        <w:t xml:space="preserve"> case). The same conclusions must be drawn from the current Regulation (EU) 1215/2012. The CJEU holds that the rules on the distribution of jurisdiction in the Brussels</w:t>
      </w:r>
      <w:r w:rsidRPr="0001617C">
        <w:rPr>
          <w:rFonts w:cs="Times New Roman"/>
          <w:i/>
          <w:iCs/>
          <w:sz w:val="24"/>
          <w:szCs w:val="24"/>
        </w:rPr>
        <w:t xml:space="preserve"> </w:t>
      </w:r>
      <w:r w:rsidR="00B47152" w:rsidRPr="0001617C">
        <w:rPr>
          <w:rFonts w:cs="Times New Roman"/>
          <w:sz w:val="24"/>
          <w:szCs w:val="24"/>
        </w:rPr>
        <w:t>regime</w:t>
      </w:r>
      <w:r w:rsidRPr="0001617C">
        <w:rPr>
          <w:rFonts w:cs="Times New Roman"/>
          <w:sz w:val="24"/>
          <w:szCs w:val="24"/>
        </w:rPr>
        <w:t xml:space="preserve"> take precedence in favour of the injured third party and over the insurance arbitration clause. This leads to the progressive reduction of the scope of arbitration in favour of the jurisdiction criteria of the Brussels </w:t>
      </w:r>
      <w:r w:rsidR="006B0CC0" w:rsidRPr="0001617C">
        <w:rPr>
          <w:rFonts w:cs="Times New Roman"/>
          <w:sz w:val="24"/>
          <w:szCs w:val="24"/>
        </w:rPr>
        <w:t>I</w:t>
      </w:r>
      <w:r w:rsidRPr="0001617C">
        <w:rPr>
          <w:rFonts w:cs="Times New Roman"/>
          <w:sz w:val="24"/>
          <w:szCs w:val="24"/>
        </w:rPr>
        <w:t xml:space="preserve"> and Brussels I</w:t>
      </w:r>
      <w:r w:rsidR="006B0CC0" w:rsidRPr="0001617C">
        <w:rPr>
          <w:rFonts w:cs="Times New Roman"/>
          <w:sz w:val="24"/>
          <w:szCs w:val="24"/>
        </w:rPr>
        <w:t xml:space="preserve"> </w:t>
      </w:r>
      <w:r w:rsidR="00BB77C8" w:rsidRPr="0001617C">
        <w:rPr>
          <w:rFonts w:cs="Times New Roman"/>
          <w:sz w:val="24"/>
          <w:szCs w:val="24"/>
        </w:rPr>
        <w:t>bis</w:t>
      </w:r>
      <w:r w:rsidR="006B0CC0" w:rsidRPr="0001617C">
        <w:rPr>
          <w:rFonts w:cs="Times New Roman"/>
          <w:sz w:val="24"/>
          <w:szCs w:val="24"/>
        </w:rPr>
        <w:t xml:space="preserve"> Regulations</w:t>
      </w:r>
      <w:r w:rsidR="00342481" w:rsidRPr="0001617C">
        <w:t xml:space="preserve">. </w:t>
      </w:r>
      <w:r w:rsidRPr="0001617C">
        <w:rPr>
          <w:rFonts w:cs="Times New Roman"/>
          <w:sz w:val="24"/>
          <w:szCs w:val="24"/>
        </w:rPr>
        <w:t xml:space="preserve">This is one of the effects of the exclusion </w:t>
      </w:r>
      <w:r w:rsidR="00342481" w:rsidRPr="0001617C">
        <w:rPr>
          <w:sz w:val="24"/>
          <w:szCs w:val="24"/>
        </w:rPr>
        <w:t>of</w:t>
      </w:r>
      <w:r w:rsidR="00342481" w:rsidRPr="0001617C">
        <w:t xml:space="preserve"> </w:t>
      </w:r>
      <w:r w:rsidR="00342481" w:rsidRPr="0001617C">
        <w:rPr>
          <w:rFonts w:cs="Times New Roman"/>
          <w:sz w:val="24"/>
          <w:szCs w:val="24"/>
        </w:rPr>
        <w:t>arbitration from the scope of application of these Community Regulations, according to the current Article 1.2.d) of Regulation (EU) 1215/2012, which excludes arbitration from its scope of application, as the 1968 Brussels Convention and Regulation (EC) 44/2001 previously did in the same sense.</w:t>
      </w:r>
    </w:p>
    <w:p w14:paraId="6B098840" w14:textId="103E0D27" w:rsidR="00E23A92" w:rsidRPr="0001617C" w:rsidRDefault="00BB539D">
      <w:pPr>
        <w:pStyle w:val="Textonotapie"/>
        <w:spacing w:before="120" w:after="120"/>
        <w:jc w:val="both"/>
        <w:rPr>
          <w:rFonts w:cs="Times New Roman"/>
          <w:sz w:val="24"/>
          <w:szCs w:val="24"/>
        </w:rPr>
      </w:pPr>
      <w:r w:rsidRPr="0001617C">
        <w:rPr>
          <w:rFonts w:cs="Times New Roman"/>
          <w:sz w:val="24"/>
          <w:szCs w:val="24"/>
        </w:rPr>
        <w:t>According to Art. 11</w:t>
      </w:r>
      <w:r w:rsidR="00E902F0" w:rsidRPr="0001617C">
        <w:rPr>
          <w:rFonts w:cs="Times New Roman"/>
          <w:sz w:val="24"/>
          <w:szCs w:val="24"/>
        </w:rPr>
        <w:t xml:space="preserve"> of</w:t>
      </w:r>
      <w:r w:rsidRPr="0001617C">
        <w:rPr>
          <w:rFonts w:cs="Times New Roman"/>
          <w:sz w:val="24"/>
          <w:szCs w:val="24"/>
        </w:rPr>
        <w:t xml:space="preserve"> Regulation (EU) 1215/2012, an insurer domiciled in the European Union may be sued </w:t>
      </w:r>
      <w:r w:rsidR="00A856F0" w:rsidRPr="0001617C">
        <w:rPr>
          <w:rFonts w:cs="Times New Roman"/>
          <w:sz w:val="24"/>
          <w:szCs w:val="24"/>
        </w:rPr>
        <w:t>in</w:t>
      </w:r>
      <w:r w:rsidRPr="0001617C">
        <w:rPr>
          <w:rFonts w:cs="Times New Roman"/>
          <w:sz w:val="24"/>
          <w:szCs w:val="24"/>
        </w:rPr>
        <w:t xml:space="preserve"> its own domicile. Article 12 provides that </w:t>
      </w:r>
      <w:r w:rsidR="00904D51" w:rsidRPr="0001617C">
        <w:rPr>
          <w:rFonts w:cs="Times New Roman"/>
          <w:sz w:val="24"/>
          <w:szCs w:val="24"/>
        </w:rPr>
        <w:t>“</w:t>
      </w:r>
      <w:r w:rsidR="00D517DF" w:rsidRPr="0001617C">
        <w:rPr>
          <w:i/>
          <w:iCs/>
          <w:sz w:val="24"/>
          <w:szCs w:val="24"/>
        </w:rPr>
        <w:t xml:space="preserve">In respect of liability insurance </w:t>
      </w:r>
      <w:r w:rsidR="00D517DF" w:rsidRPr="0001617C">
        <w:rPr>
          <w:rFonts w:cs="Times New Roman"/>
          <w:i/>
          <w:iCs/>
          <w:sz w:val="24"/>
          <w:szCs w:val="24"/>
        </w:rPr>
        <w:t>(...)</w:t>
      </w:r>
      <w:r w:rsidR="00D517DF" w:rsidRPr="0001617C">
        <w:rPr>
          <w:i/>
          <w:iCs/>
          <w:sz w:val="24"/>
          <w:szCs w:val="24"/>
        </w:rPr>
        <w:t>, the insurer may in addition be sued in the courts for the place where the harmful event occurred</w:t>
      </w:r>
      <w:r w:rsidR="00904D51" w:rsidRPr="0001617C">
        <w:rPr>
          <w:sz w:val="24"/>
          <w:szCs w:val="24"/>
        </w:rPr>
        <w:t>.</w:t>
      </w:r>
      <w:r w:rsidR="00904D51" w:rsidRPr="0001617C">
        <w:rPr>
          <w:rFonts w:cs="Times New Roman"/>
          <w:sz w:val="24"/>
          <w:szCs w:val="24"/>
        </w:rPr>
        <w:t>”</w:t>
      </w:r>
      <w:r w:rsidRPr="0001617C">
        <w:rPr>
          <w:rFonts w:cs="Times New Roman"/>
          <w:sz w:val="24"/>
          <w:szCs w:val="24"/>
        </w:rPr>
        <w:t xml:space="preserve"> Art. 13.1 adds that </w:t>
      </w:r>
      <w:r w:rsidR="0029009F" w:rsidRPr="0001617C">
        <w:rPr>
          <w:rFonts w:cs="Times New Roman"/>
          <w:sz w:val="24"/>
          <w:szCs w:val="24"/>
        </w:rPr>
        <w:t>“</w:t>
      </w:r>
      <w:r w:rsidR="00B54632" w:rsidRPr="0001617C">
        <w:rPr>
          <w:i/>
          <w:iCs/>
          <w:sz w:val="24"/>
          <w:szCs w:val="24"/>
        </w:rPr>
        <w:t>In respect of liability insurance, the insurer may also, if the law of the court permits it, be joined in proceedings which the injured party has brought against the insured.</w:t>
      </w:r>
      <w:r w:rsidR="00184D45" w:rsidRPr="0001617C">
        <w:rPr>
          <w:i/>
          <w:iCs/>
          <w:sz w:val="24"/>
          <w:szCs w:val="24"/>
        </w:rPr>
        <w:t>.</w:t>
      </w:r>
      <w:r w:rsidR="00B54632" w:rsidRPr="0001617C">
        <w:rPr>
          <w:sz w:val="24"/>
          <w:szCs w:val="24"/>
        </w:rPr>
        <w:t>”</w:t>
      </w:r>
      <w:r w:rsidR="00D517DF" w:rsidRPr="0001617C">
        <w:rPr>
          <w:rFonts w:cs="Times New Roman"/>
          <w:sz w:val="24"/>
          <w:szCs w:val="24"/>
        </w:rPr>
        <w:t xml:space="preserve"> </w:t>
      </w:r>
    </w:p>
    <w:p w14:paraId="67BCE8F9" w14:textId="6D28468E" w:rsidR="00E23A92" w:rsidRPr="0001617C" w:rsidRDefault="00BB539D">
      <w:pPr>
        <w:pStyle w:val="Textonotapie"/>
        <w:spacing w:before="120" w:after="120"/>
        <w:jc w:val="both"/>
        <w:rPr>
          <w:rFonts w:cs="Times New Roman"/>
          <w:sz w:val="24"/>
          <w:szCs w:val="24"/>
        </w:rPr>
      </w:pPr>
      <w:r w:rsidRPr="0001617C">
        <w:rPr>
          <w:rFonts w:cs="Times New Roman"/>
          <w:sz w:val="24"/>
          <w:szCs w:val="24"/>
        </w:rPr>
        <w:t xml:space="preserve">This position of the CJEU contrasts with English law, which includes several precedents that provide a positive answer to the question raised on the third-party effectiveness of the </w:t>
      </w:r>
      <w:r w:rsidR="000C04BF" w:rsidRPr="0001617C">
        <w:rPr>
          <w:rFonts w:cs="Times New Roman"/>
          <w:sz w:val="24"/>
          <w:szCs w:val="24"/>
        </w:rPr>
        <w:t xml:space="preserve">P&amp;I insurance contract </w:t>
      </w:r>
      <w:r w:rsidRPr="0001617C">
        <w:rPr>
          <w:rFonts w:cs="Times New Roman"/>
          <w:sz w:val="24"/>
          <w:szCs w:val="24"/>
        </w:rPr>
        <w:t xml:space="preserve">arbitration </w:t>
      </w:r>
      <w:r w:rsidR="000C04BF" w:rsidRPr="0001617C">
        <w:rPr>
          <w:rFonts w:cs="Times New Roman"/>
          <w:sz w:val="24"/>
          <w:szCs w:val="24"/>
        </w:rPr>
        <w:t>clause</w:t>
      </w:r>
      <w:r w:rsidRPr="0001617C">
        <w:rPr>
          <w:rFonts w:cs="Times New Roman"/>
          <w:sz w:val="24"/>
          <w:szCs w:val="24"/>
        </w:rPr>
        <w:t xml:space="preserve">. Its courts understand that the third party, by claiming directly against the insurer on the basis of a foreign law that allows him to do so, exercises a contractual right on the basis of the P&amp;I </w:t>
      </w:r>
      <w:r w:rsidR="00D76725" w:rsidRPr="0001617C">
        <w:rPr>
          <w:rFonts w:cs="Times New Roman"/>
          <w:sz w:val="24"/>
          <w:szCs w:val="24"/>
        </w:rPr>
        <w:t>contract</w:t>
      </w:r>
      <w:r w:rsidRPr="0001617C">
        <w:rPr>
          <w:rFonts w:cs="Times New Roman"/>
          <w:sz w:val="24"/>
          <w:szCs w:val="24"/>
        </w:rPr>
        <w:t xml:space="preserve">. All the terms of the contract apply to him, including the arbitration </w:t>
      </w:r>
      <w:r w:rsidR="000C52ED" w:rsidRPr="0001617C">
        <w:rPr>
          <w:rFonts w:cs="Times New Roman"/>
          <w:sz w:val="24"/>
          <w:szCs w:val="24"/>
        </w:rPr>
        <w:t>clause</w:t>
      </w:r>
      <w:r w:rsidRPr="0001617C">
        <w:rPr>
          <w:rFonts w:cs="Times New Roman"/>
          <w:sz w:val="24"/>
          <w:szCs w:val="24"/>
        </w:rPr>
        <w:t>. The English courts consider that when a direct action is brought to enforce the P&amp;I insurance contract, the aggrieved third party is consenting to arbitration.</w:t>
      </w:r>
    </w:p>
    <w:p w14:paraId="55427DAF" w14:textId="2010FACC" w:rsidR="00E23A92" w:rsidRPr="0001617C" w:rsidRDefault="00BB539D">
      <w:pPr>
        <w:pStyle w:val="Textonotapie"/>
        <w:spacing w:before="120" w:after="120"/>
        <w:jc w:val="both"/>
        <w:rPr>
          <w:rFonts w:cs="Times New Roman"/>
          <w:sz w:val="24"/>
          <w:szCs w:val="24"/>
        </w:rPr>
      </w:pPr>
      <w:r w:rsidRPr="0001617C">
        <w:rPr>
          <w:rFonts w:cs="Times New Roman"/>
          <w:sz w:val="24"/>
          <w:szCs w:val="24"/>
        </w:rPr>
        <w:t xml:space="preserve">Furthermore, pursuant to section 66 of the English Arbitration Act 1996, an award made on the basis of arbitration proceedings against a third party to the P&amp;I insurance contract can be enforced in court with the same effects as a judgment in the United Kingdom. This judicial decision constitutes a </w:t>
      </w:r>
      <w:r w:rsidR="001C2D05" w:rsidRPr="0001617C">
        <w:rPr>
          <w:rFonts w:cs="Times New Roman"/>
          <w:sz w:val="24"/>
          <w:szCs w:val="24"/>
        </w:rPr>
        <w:t>British</w:t>
      </w:r>
      <w:r w:rsidRPr="0001617C">
        <w:rPr>
          <w:rFonts w:cs="Times New Roman"/>
          <w:sz w:val="24"/>
          <w:szCs w:val="24"/>
        </w:rPr>
        <w:t xml:space="preserve"> shield against the enforcement of foreign judgments </w:t>
      </w:r>
      <w:r w:rsidRPr="001E299C">
        <w:rPr>
          <w:rFonts w:cs="Times New Roman"/>
          <w:sz w:val="24"/>
          <w:szCs w:val="24"/>
        </w:rPr>
        <w:t>on the same dispute</w:t>
      </w:r>
      <w:r w:rsidRPr="0001617C">
        <w:rPr>
          <w:rFonts w:cs="Times New Roman"/>
          <w:sz w:val="24"/>
          <w:szCs w:val="24"/>
        </w:rPr>
        <w:t xml:space="preserve"> against UK-domiciled </w:t>
      </w:r>
      <w:r w:rsidR="005A10DF" w:rsidRPr="0001617C">
        <w:rPr>
          <w:rFonts w:cs="Times New Roman"/>
          <w:sz w:val="24"/>
          <w:szCs w:val="24"/>
        </w:rPr>
        <w:t>P&amp;I Club</w:t>
      </w:r>
      <w:r w:rsidR="004264F3" w:rsidRPr="0001617C">
        <w:rPr>
          <w:rFonts w:cs="Times New Roman"/>
          <w:sz w:val="24"/>
          <w:szCs w:val="24"/>
        </w:rPr>
        <w:t>s</w:t>
      </w:r>
      <w:r w:rsidRPr="0001617C">
        <w:rPr>
          <w:rFonts w:cs="Times New Roman"/>
          <w:sz w:val="24"/>
          <w:szCs w:val="24"/>
        </w:rPr>
        <w:t xml:space="preserve">, as happened in </w:t>
      </w:r>
      <w:r w:rsidR="00DB43DC" w:rsidRPr="0001617C">
        <w:rPr>
          <w:rFonts w:cs="Times New Roman"/>
          <w:i/>
          <w:iCs/>
          <w:sz w:val="24"/>
          <w:szCs w:val="24"/>
        </w:rPr>
        <w:t>The Prestige</w:t>
      </w:r>
      <w:r w:rsidRPr="0001617C">
        <w:rPr>
          <w:rFonts w:cs="Times New Roman"/>
          <w:sz w:val="24"/>
          <w:szCs w:val="24"/>
        </w:rPr>
        <w:t xml:space="preserve"> case. </w:t>
      </w:r>
      <w:r w:rsidR="00BB4E03" w:rsidRPr="0001617C">
        <w:rPr>
          <w:rFonts w:cs="Times New Roman"/>
          <w:sz w:val="24"/>
          <w:szCs w:val="24"/>
        </w:rPr>
        <w:t xml:space="preserve">The UK has a strategic interest in ensuring the effectiveness of </w:t>
      </w:r>
      <w:r w:rsidR="00C508F6" w:rsidRPr="0001617C">
        <w:rPr>
          <w:rFonts w:cs="Times New Roman"/>
          <w:sz w:val="24"/>
          <w:szCs w:val="24"/>
        </w:rPr>
        <w:t xml:space="preserve">arbitration clauses </w:t>
      </w:r>
      <w:r w:rsidR="00BB4E03" w:rsidRPr="0001617C">
        <w:rPr>
          <w:rFonts w:cs="Times New Roman"/>
          <w:sz w:val="24"/>
          <w:szCs w:val="24"/>
        </w:rPr>
        <w:t xml:space="preserve">in </w:t>
      </w:r>
      <w:r w:rsidR="00BB4E03" w:rsidRPr="0001617C">
        <w:rPr>
          <w:rFonts w:cs="Times New Roman"/>
          <w:sz w:val="24"/>
          <w:szCs w:val="24"/>
        </w:rPr>
        <w:lastRenderedPageBreak/>
        <w:t xml:space="preserve">favour of </w:t>
      </w:r>
      <w:r w:rsidR="00E826E8" w:rsidRPr="0001617C">
        <w:rPr>
          <w:rFonts w:cs="Times New Roman"/>
          <w:sz w:val="24"/>
          <w:szCs w:val="24"/>
        </w:rPr>
        <w:t xml:space="preserve">the </w:t>
      </w:r>
      <w:r w:rsidR="00BB4E03" w:rsidRPr="0001617C">
        <w:rPr>
          <w:rFonts w:cs="Times New Roman"/>
          <w:sz w:val="24"/>
          <w:szCs w:val="24"/>
        </w:rPr>
        <w:t xml:space="preserve">London </w:t>
      </w:r>
      <w:r w:rsidR="00386E1C" w:rsidRPr="0001617C">
        <w:rPr>
          <w:rFonts w:cs="Times New Roman"/>
          <w:sz w:val="24"/>
          <w:szCs w:val="24"/>
        </w:rPr>
        <w:t>seat</w:t>
      </w:r>
      <w:r w:rsidR="00BB4E03" w:rsidRPr="0001617C">
        <w:rPr>
          <w:rFonts w:cs="Times New Roman"/>
          <w:sz w:val="24"/>
          <w:szCs w:val="24"/>
        </w:rPr>
        <w:t xml:space="preserve">. UK marine insurers centralise their claims </w:t>
      </w:r>
      <w:r w:rsidR="00641B09" w:rsidRPr="0001617C">
        <w:rPr>
          <w:rFonts w:cs="Times New Roman"/>
          <w:sz w:val="24"/>
          <w:szCs w:val="24"/>
        </w:rPr>
        <w:t>there</w:t>
      </w:r>
      <w:r w:rsidR="00BB4E03" w:rsidRPr="0001617C">
        <w:rPr>
          <w:rFonts w:cs="Times New Roman"/>
          <w:sz w:val="24"/>
          <w:szCs w:val="24"/>
        </w:rPr>
        <w:t>, even though their insured shipowners and charterers sail all over the world. Competition for maritime arbitration is fierce</w:t>
      </w:r>
      <w:r w:rsidR="00641B09" w:rsidRPr="0001617C">
        <w:rPr>
          <w:rFonts w:cs="Times New Roman"/>
          <w:sz w:val="24"/>
          <w:szCs w:val="24"/>
        </w:rPr>
        <w:t>,</w:t>
      </w:r>
      <w:r w:rsidR="00BB4E03" w:rsidRPr="0001617C">
        <w:rPr>
          <w:rFonts w:cs="Times New Roman"/>
          <w:sz w:val="24"/>
          <w:szCs w:val="24"/>
        </w:rPr>
        <w:t xml:space="preserve"> and the UK has a proven track record in ensuring that shipowners and insurers </w:t>
      </w:r>
      <w:r w:rsidR="00BD6C2A" w:rsidRPr="0001617C">
        <w:rPr>
          <w:rFonts w:cs="Times New Roman"/>
          <w:sz w:val="24"/>
          <w:szCs w:val="24"/>
        </w:rPr>
        <w:t xml:space="preserve">may </w:t>
      </w:r>
      <w:r w:rsidR="00BB4E03" w:rsidRPr="0001617C">
        <w:rPr>
          <w:rFonts w:cs="Times New Roman"/>
          <w:sz w:val="24"/>
          <w:szCs w:val="24"/>
        </w:rPr>
        <w:t xml:space="preserve">remain confident that London arbitration clauses in marine and insurance contracts will be respected. </w:t>
      </w:r>
      <w:r w:rsidR="00ED68FB" w:rsidRPr="0001617C">
        <w:rPr>
          <w:rFonts w:cs="Times New Roman"/>
          <w:sz w:val="24"/>
          <w:szCs w:val="24"/>
        </w:rPr>
        <w:t xml:space="preserve">The standard </w:t>
      </w:r>
      <w:r w:rsidR="0068748E" w:rsidRPr="0001617C">
        <w:rPr>
          <w:rFonts w:cs="Times New Roman"/>
          <w:sz w:val="24"/>
          <w:szCs w:val="24"/>
        </w:rPr>
        <w:t xml:space="preserve">maritime </w:t>
      </w:r>
      <w:r w:rsidR="00ED68FB" w:rsidRPr="0001617C">
        <w:rPr>
          <w:rFonts w:cs="Times New Roman"/>
          <w:sz w:val="24"/>
          <w:szCs w:val="24"/>
        </w:rPr>
        <w:t xml:space="preserve">contracts approved by the </w:t>
      </w:r>
      <w:r w:rsidR="005A2125" w:rsidRPr="0001617C">
        <w:rPr>
          <w:rFonts w:cs="Times New Roman"/>
          <w:sz w:val="24"/>
          <w:szCs w:val="24"/>
        </w:rPr>
        <w:t>shipowners’ association c</w:t>
      </w:r>
      <w:r w:rsidR="00ED68FB" w:rsidRPr="0001617C">
        <w:rPr>
          <w:rFonts w:cs="Times New Roman"/>
          <w:sz w:val="24"/>
          <w:szCs w:val="24"/>
        </w:rPr>
        <w:t>alled the Baltic and International Maritime Council</w:t>
      </w:r>
      <w:r w:rsidR="00ED68FB" w:rsidRPr="0001617C">
        <w:rPr>
          <w:rFonts w:cs="Times New Roman"/>
          <w:i/>
          <w:iCs/>
          <w:sz w:val="24"/>
          <w:szCs w:val="24"/>
        </w:rPr>
        <w:t xml:space="preserve"> </w:t>
      </w:r>
      <w:r w:rsidR="00ED68FB" w:rsidRPr="0001617C">
        <w:rPr>
          <w:rFonts w:cs="Times New Roman"/>
          <w:sz w:val="24"/>
          <w:szCs w:val="24"/>
        </w:rPr>
        <w:t xml:space="preserve">(BIMCO) </w:t>
      </w:r>
      <w:r w:rsidR="0068748E" w:rsidRPr="0001617C">
        <w:rPr>
          <w:rFonts w:cs="Times New Roman"/>
          <w:sz w:val="24"/>
          <w:szCs w:val="24"/>
        </w:rPr>
        <w:t>include the Law and Arbitration Clause</w:t>
      </w:r>
      <w:r w:rsidR="004417AE" w:rsidRPr="0001617C">
        <w:rPr>
          <w:rFonts w:cs="Times New Roman"/>
          <w:sz w:val="24"/>
          <w:szCs w:val="24"/>
        </w:rPr>
        <w:t xml:space="preserve"> 2020</w:t>
      </w:r>
      <w:r w:rsidR="0068748E" w:rsidRPr="0001617C">
        <w:rPr>
          <w:rFonts w:cs="Times New Roman"/>
          <w:sz w:val="24"/>
          <w:szCs w:val="24"/>
        </w:rPr>
        <w:t>, which replaces the Dispute Resolution Clause</w:t>
      </w:r>
      <w:r w:rsidR="004417AE" w:rsidRPr="0001617C">
        <w:rPr>
          <w:rFonts w:cs="Times New Roman"/>
          <w:sz w:val="24"/>
          <w:szCs w:val="24"/>
        </w:rPr>
        <w:t xml:space="preserve"> 2017</w:t>
      </w:r>
      <w:r w:rsidR="0068748E" w:rsidRPr="0001617C">
        <w:rPr>
          <w:rFonts w:cs="Times New Roman"/>
          <w:sz w:val="24"/>
          <w:szCs w:val="24"/>
        </w:rPr>
        <w:t>. Versions are available for four designated places of arbitration: London, New York, Singapore and Hong Kong</w:t>
      </w:r>
      <w:r w:rsidR="004417AE" w:rsidRPr="0001617C">
        <w:rPr>
          <w:rFonts w:cs="Times New Roman"/>
          <w:sz w:val="24"/>
          <w:szCs w:val="24"/>
        </w:rPr>
        <w:t>.</w:t>
      </w:r>
      <w:r w:rsidR="0068748E" w:rsidRPr="0001617C">
        <w:rPr>
          <w:rStyle w:val="Refdenotaalpie"/>
          <w:rFonts w:cs="Times New Roman"/>
          <w:sz w:val="24"/>
          <w:szCs w:val="24"/>
        </w:rPr>
        <w:footnoteReference w:id="32"/>
      </w:r>
      <w:r w:rsidR="0068748E" w:rsidRPr="0001617C">
        <w:rPr>
          <w:rFonts w:cs="Times New Roman"/>
          <w:sz w:val="24"/>
          <w:szCs w:val="24"/>
        </w:rPr>
        <w:t xml:space="preserve"> However, London is the main seat of maritime arbitration, primarily through the London Maritime Arbitrators Association</w:t>
      </w:r>
      <w:r w:rsidR="0068748E" w:rsidRPr="0001617C">
        <w:rPr>
          <w:rFonts w:cs="Times New Roman"/>
          <w:i/>
          <w:iCs/>
          <w:sz w:val="24"/>
          <w:szCs w:val="24"/>
        </w:rPr>
        <w:t xml:space="preserve"> </w:t>
      </w:r>
      <w:r w:rsidR="0068748E" w:rsidRPr="0001617C">
        <w:rPr>
          <w:rFonts w:cs="Times New Roman"/>
          <w:sz w:val="24"/>
          <w:szCs w:val="24"/>
        </w:rPr>
        <w:t>(LMAA).</w:t>
      </w:r>
    </w:p>
    <w:p w14:paraId="11E545EE" w14:textId="152B1B19" w:rsidR="00E23A92" w:rsidRPr="0001617C" w:rsidRDefault="00BB539D">
      <w:pPr>
        <w:pStyle w:val="Textonotapie"/>
        <w:spacing w:before="120" w:after="120"/>
        <w:jc w:val="both"/>
        <w:rPr>
          <w:rFonts w:cs="Times New Roman"/>
          <w:sz w:val="24"/>
          <w:szCs w:val="24"/>
        </w:rPr>
      </w:pPr>
      <w:r w:rsidRPr="0001617C">
        <w:rPr>
          <w:rFonts w:cs="Times New Roman"/>
          <w:sz w:val="24"/>
          <w:szCs w:val="24"/>
        </w:rPr>
        <w:t xml:space="preserve">English </w:t>
      </w:r>
      <w:r w:rsidR="00650BE7" w:rsidRPr="0001617C">
        <w:rPr>
          <w:rFonts w:cs="Times New Roman"/>
          <w:sz w:val="24"/>
          <w:szCs w:val="24"/>
        </w:rPr>
        <w:t>case law</w:t>
      </w:r>
      <w:r w:rsidRPr="0001617C">
        <w:rPr>
          <w:rFonts w:cs="Times New Roman"/>
          <w:sz w:val="24"/>
          <w:szCs w:val="24"/>
        </w:rPr>
        <w:t xml:space="preserve"> </w:t>
      </w:r>
      <w:r w:rsidR="00650BE7" w:rsidRPr="0001617C">
        <w:rPr>
          <w:rFonts w:cs="Times New Roman"/>
          <w:sz w:val="24"/>
          <w:szCs w:val="24"/>
        </w:rPr>
        <w:t>includes</w:t>
      </w:r>
      <w:r w:rsidRPr="0001617C">
        <w:rPr>
          <w:rFonts w:cs="Times New Roman"/>
          <w:sz w:val="24"/>
          <w:szCs w:val="24"/>
        </w:rPr>
        <w:t xml:space="preserve"> a collection of court cases on the protectionism of the </w:t>
      </w:r>
      <w:r w:rsidR="00336B38" w:rsidRPr="0001617C">
        <w:rPr>
          <w:rFonts w:cs="Times New Roman"/>
          <w:sz w:val="24"/>
          <w:szCs w:val="24"/>
        </w:rPr>
        <w:t xml:space="preserve">shipping and insurance industry, as well as the </w:t>
      </w:r>
      <w:r w:rsidRPr="0001617C">
        <w:rPr>
          <w:rFonts w:cs="Times New Roman"/>
          <w:sz w:val="24"/>
          <w:szCs w:val="24"/>
        </w:rPr>
        <w:t xml:space="preserve">effectiveness of arbitration clauses in maritime contracts in favour of </w:t>
      </w:r>
      <w:r w:rsidR="00336B38" w:rsidRPr="0001617C">
        <w:rPr>
          <w:rFonts w:cs="Times New Roman"/>
          <w:sz w:val="24"/>
          <w:szCs w:val="24"/>
        </w:rPr>
        <w:t xml:space="preserve">London </w:t>
      </w:r>
      <w:r w:rsidR="00475B57" w:rsidRPr="0001617C">
        <w:rPr>
          <w:rFonts w:cs="Times New Roman"/>
          <w:sz w:val="24"/>
          <w:szCs w:val="24"/>
        </w:rPr>
        <w:t>as the seat of arbitration</w:t>
      </w:r>
      <w:r w:rsidRPr="0001617C">
        <w:rPr>
          <w:rFonts w:cs="Times New Roman"/>
          <w:sz w:val="24"/>
          <w:szCs w:val="24"/>
        </w:rPr>
        <w:t xml:space="preserve">. </w:t>
      </w:r>
      <w:r w:rsidR="00DB43DC" w:rsidRPr="0001617C">
        <w:rPr>
          <w:rFonts w:cs="Times New Roman"/>
          <w:i/>
          <w:iCs/>
          <w:sz w:val="24"/>
          <w:szCs w:val="24"/>
        </w:rPr>
        <w:t>The Prestige</w:t>
      </w:r>
      <w:r w:rsidRPr="0001617C">
        <w:rPr>
          <w:rFonts w:cs="Times New Roman"/>
          <w:sz w:val="24"/>
          <w:szCs w:val="24"/>
        </w:rPr>
        <w:t xml:space="preserve"> case is the latest expression of this arbitration-friendly</w:t>
      </w:r>
      <w:r w:rsidRPr="0001617C">
        <w:rPr>
          <w:rFonts w:cs="Times New Roman"/>
          <w:i/>
          <w:iCs/>
          <w:sz w:val="24"/>
          <w:szCs w:val="24"/>
        </w:rPr>
        <w:t xml:space="preserve"> </w:t>
      </w:r>
      <w:r w:rsidR="00475B57" w:rsidRPr="0001617C">
        <w:rPr>
          <w:rFonts w:cs="Times New Roman"/>
          <w:sz w:val="24"/>
          <w:szCs w:val="24"/>
        </w:rPr>
        <w:t xml:space="preserve">British judicial </w:t>
      </w:r>
      <w:r w:rsidRPr="0001617C">
        <w:rPr>
          <w:rFonts w:cs="Times New Roman"/>
          <w:sz w:val="24"/>
          <w:szCs w:val="24"/>
        </w:rPr>
        <w:t xml:space="preserve">policy. </w:t>
      </w:r>
      <w:r w:rsidR="005678EA" w:rsidRPr="0001617C">
        <w:rPr>
          <w:rFonts w:cs="Times New Roman"/>
          <w:sz w:val="24"/>
          <w:szCs w:val="24"/>
        </w:rPr>
        <w:t xml:space="preserve">There are two precedents that relate to issues dealt with in </w:t>
      </w:r>
      <w:r w:rsidR="00DB43DC" w:rsidRPr="0001617C">
        <w:rPr>
          <w:rFonts w:cs="Times New Roman"/>
          <w:i/>
          <w:iCs/>
          <w:sz w:val="24"/>
          <w:szCs w:val="24"/>
        </w:rPr>
        <w:t>The Prestige</w:t>
      </w:r>
      <w:r w:rsidR="005678EA" w:rsidRPr="0001617C">
        <w:rPr>
          <w:rFonts w:cs="Times New Roman"/>
          <w:sz w:val="24"/>
          <w:szCs w:val="24"/>
        </w:rPr>
        <w:t xml:space="preserve"> case</w:t>
      </w:r>
      <w:r w:rsidR="00E55A0C" w:rsidRPr="0001617C">
        <w:rPr>
          <w:rFonts w:cs="Times New Roman"/>
          <w:sz w:val="24"/>
          <w:szCs w:val="24"/>
        </w:rPr>
        <w:t>:</w:t>
      </w:r>
      <w:r w:rsidR="005678EA" w:rsidRPr="0001617C">
        <w:rPr>
          <w:rFonts w:cs="Times New Roman"/>
          <w:sz w:val="24"/>
          <w:szCs w:val="24"/>
        </w:rPr>
        <w:t xml:space="preserve"> </w:t>
      </w:r>
      <w:r w:rsidR="005678EA" w:rsidRPr="0001617C">
        <w:rPr>
          <w:rFonts w:cs="Times New Roman"/>
          <w:i/>
          <w:iCs/>
          <w:sz w:val="24"/>
          <w:szCs w:val="24"/>
        </w:rPr>
        <w:t>The Fanti</w:t>
      </w:r>
      <w:r w:rsidR="005678EA" w:rsidRPr="0001617C">
        <w:rPr>
          <w:rFonts w:cs="Times New Roman"/>
          <w:sz w:val="24"/>
          <w:szCs w:val="24"/>
        </w:rPr>
        <w:t xml:space="preserve"> and </w:t>
      </w:r>
      <w:r w:rsidR="005678EA" w:rsidRPr="0001617C">
        <w:rPr>
          <w:rFonts w:cs="Times New Roman"/>
          <w:i/>
          <w:iCs/>
          <w:sz w:val="24"/>
          <w:szCs w:val="24"/>
        </w:rPr>
        <w:t>Padre Island</w:t>
      </w:r>
      <w:r w:rsidR="005678EA" w:rsidRPr="0001617C">
        <w:rPr>
          <w:rFonts w:cs="Times New Roman"/>
          <w:sz w:val="24"/>
          <w:szCs w:val="24"/>
        </w:rPr>
        <w:t xml:space="preserve"> </w:t>
      </w:r>
      <w:r w:rsidR="00E55A0C" w:rsidRPr="0001617C">
        <w:rPr>
          <w:rFonts w:cs="Times New Roman"/>
          <w:sz w:val="24"/>
          <w:szCs w:val="24"/>
        </w:rPr>
        <w:t>(</w:t>
      </w:r>
      <w:r w:rsidR="005678EA" w:rsidRPr="0001617C">
        <w:rPr>
          <w:rFonts w:cs="Times New Roman"/>
          <w:sz w:val="24"/>
          <w:szCs w:val="24"/>
        </w:rPr>
        <w:t>n</w:t>
      </w:r>
      <w:r w:rsidR="00E55A0C" w:rsidRPr="0001617C">
        <w:rPr>
          <w:rFonts w:cs="Times New Roman"/>
          <w:sz w:val="24"/>
          <w:szCs w:val="24"/>
        </w:rPr>
        <w:t>o.</w:t>
      </w:r>
      <w:r w:rsidR="005678EA" w:rsidRPr="0001617C">
        <w:rPr>
          <w:rFonts w:cs="Times New Roman"/>
          <w:sz w:val="24"/>
          <w:szCs w:val="24"/>
        </w:rPr>
        <w:t xml:space="preserve"> 2</w:t>
      </w:r>
      <w:r w:rsidR="00E55A0C" w:rsidRPr="0001617C">
        <w:rPr>
          <w:rFonts w:cs="Times New Roman"/>
          <w:sz w:val="24"/>
          <w:szCs w:val="24"/>
        </w:rPr>
        <w:t>)</w:t>
      </w:r>
      <w:r w:rsidR="007D2F64" w:rsidRPr="0001617C">
        <w:rPr>
          <w:rFonts w:cs="Times New Roman"/>
          <w:sz w:val="24"/>
          <w:szCs w:val="24"/>
        </w:rPr>
        <w:t xml:space="preserve"> cases</w:t>
      </w:r>
      <w:r w:rsidR="009E257B" w:rsidRPr="0001617C">
        <w:rPr>
          <w:rStyle w:val="Refdenotaalpie"/>
          <w:rFonts w:cs="Times New Roman"/>
          <w:iCs/>
          <w:sz w:val="24"/>
          <w:szCs w:val="24"/>
        </w:rPr>
        <w:footnoteReference w:id="33"/>
      </w:r>
      <w:r w:rsidR="005678EA" w:rsidRPr="0001617C">
        <w:rPr>
          <w:rFonts w:cs="Times New Roman"/>
          <w:sz w:val="24"/>
          <w:szCs w:val="24"/>
        </w:rPr>
        <w:t xml:space="preserve"> on the P&amp;I insurance</w:t>
      </w:r>
      <w:r w:rsidR="00D86BAA" w:rsidRPr="0001617C">
        <w:rPr>
          <w:rFonts w:cs="Times New Roman"/>
          <w:sz w:val="24"/>
          <w:szCs w:val="24"/>
        </w:rPr>
        <w:t xml:space="preserve"> contract </w:t>
      </w:r>
      <w:r w:rsidR="00047045" w:rsidRPr="0001617C">
        <w:rPr>
          <w:rFonts w:cs="Times New Roman"/>
          <w:sz w:val="24"/>
          <w:szCs w:val="24"/>
        </w:rPr>
        <w:t>“pay to be paid”</w:t>
      </w:r>
      <w:r w:rsidR="00D86BAA" w:rsidRPr="0001617C">
        <w:rPr>
          <w:rFonts w:cs="Times New Roman"/>
          <w:sz w:val="24"/>
          <w:szCs w:val="24"/>
        </w:rPr>
        <w:t xml:space="preserve"> clause</w:t>
      </w:r>
      <w:r w:rsidR="005678EA" w:rsidRPr="0001617C">
        <w:rPr>
          <w:rFonts w:cs="Times New Roman"/>
          <w:sz w:val="24"/>
          <w:szCs w:val="24"/>
        </w:rPr>
        <w:t>; and the West Tankers v. Allianz</w:t>
      </w:r>
      <w:r w:rsidR="007D2F64" w:rsidRPr="0001617C">
        <w:rPr>
          <w:rFonts w:cs="Times New Roman"/>
          <w:sz w:val="24"/>
          <w:szCs w:val="24"/>
        </w:rPr>
        <w:t xml:space="preserve"> case</w:t>
      </w:r>
      <w:r w:rsidR="00A52E8C" w:rsidRPr="0001617C">
        <w:rPr>
          <w:rStyle w:val="Refdenotaalpie"/>
          <w:rFonts w:cs="Times New Roman"/>
          <w:iCs/>
          <w:sz w:val="24"/>
          <w:szCs w:val="24"/>
        </w:rPr>
        <w:t xml:space="preserve"> </w:t>
      </w:r>
      <w:r w:rsidR="00A52E8C" w:rsidRPr="0001617C">
        <w:rPr>
          <w:rStyle w:val="Refdenotaalpie"/>
          <w:rFonts w:cs="Times New Roman"/>
          <w:iCs/>
          <w:sz w:val="24"/>
          <w:szCs w:val="24"/>
        </w:rPr>
        <w:footnoteReference w:id="34"/>
      </w:r>
      <w:r w:rsidR="005678EA" w:rsidRPr="0001617C">
        <w:rPr>
          <w:rFonts w:cs="Times New Roman"/>
          <w:sz w:val="24"/>
          <w:szCs w:val="24"/>
        </w:rPr>
        <w:t xml:space="preserve"> on the </w:t>
      </w:r>
      <w:r w:rsidR="0060309E" w:rsidRPr="0001617C">
        <w:rPr>
          <w:rFonts w:cs="Times New Roman"/>
          <w:sz w:val="24"/>
          <w:szCs w:val="24"/>
        </w:rPr>
        <w:t>enforcement</w:t>
      </w:r>
      <w:r w:rsidR="005678EA" w:rsidRPr="0001617C">
        <w:rPr>
          <w:rFonts w:cs="Times New Roman"/>
          <w:sz w:val="24"/>
          <w:szCs w:val="24"/>
        </w:rPr>
        <w:t xml:space="preserve"> of arbitral awards that serve as a British shield against the enforcement of foreign judgments in the UK</w:t>
      </w:r>
      <w:r w:rsidR="00475B57" w:rsidRPr="0001617C">
        <w:rPr>
          <w:rFonts w:cs="Times New Roman"/>
          <w:sz w:val="24"/>
          <w:szCs w:val="24"/>
        </w:rPr>
        <w:t xml:space="preserve">. </w:t>
      </w:r>
      <w:r w:rsidR="009E257B" w:rsidRPr="0001617C">
        <w:rPr>
          <w:rFonts w:cs="Times New Roman"/>
          <w:sz w:val="24"/>
          <w:szCs w:val="24"/>
        </w:rPr>
        <w:t xml:space="preserve">The </w:t>
      </w:r>
      <w:r w:rsidR="00205FD5" w:rsidRPr="0001617C">
        <w:rPr>
          <w:rFonts w:cs="Times New Roman"/>
          <w:sz w:val="24"/>
          <w:szCs w:val="24"/>
        </w:rPr>
        <w:t>most recent</w:t>
      </w:r>
      <w:r w:rsidR="009E257B" w:rsidRPr="0001617C">
        <w:rPr>
          <w:rFonts w:cs="Times New Roman"/>
          <w:sz w:val="24"/>
          <w:szCs w:val="24"/>
        </w:rPr>
        <w:t xml:space="preserve"> </w:t>
      </w:r>
      <w:r w:rsidR="00205FD5" w:rsidRPr="0001617C">
        <w:rPr>
          <w:rFonts w:cs="Times New Roman"/>
          <w:sz w:val="24"/>
          <w:szCs w:val="24"/>
        </w:rPr>
        <w:t>such case is that of</w:t>
      </w:r>
      <w:r w:rsidR="009E257B" w:rsidRPr="0001617C">
        <w:rPr>
          <w:rFonts w:cs="Times New Roman"/>
          <w:sz w:val="24"/>
          <w:szCs w:val="24"/>
        </w:rPr>
        <w:t xml:space="preserve"> </w:t>
      </w:r>
      <w:r w:rsidR="00DB43DC" w:rsidRPr="0001617C">
        <w:rPr>
          <w:rFonts w:cs="Times New Roman"/>
          <w:i/>
          <w:iCs/>
          <w:sz w:val="24"/>
          <w:szCs w:val="24"/>
        </w:rPr>
        <w:t>The Prestige</w:t>
      </w:r>
      <w:r w:rsidR="009E257B" w:rsidRPr="0001617C">
        <w:rPr>
          <w:rFonts w:cs="Times New Roman"/>
          <w:sz w:val="24"/>
          <w:szCs w:val="24"/>
        </w:rPr>
        <w:t>.</w:t>
      </w:r>
    </w:p>
    <w:p w14:paraId="7E75B908" w14:textId="0C073E36" w:rsidR="00E23A92" w:rsidRPr="0001617C" w:rsidRDefault="00BB539D">
      <w:pPr>
        <w:pStyle w:val="Textonotapie"/>
        <w:spacing w:before="120" w:after="120"/>
        <w:jc w:val="both"/>
        <w:rPr>
          <w:rFonts w:cs="Times New Roman"/>
          <w:sz w:val="24"/>
          <w:szCs w:val="24"/>
        </w:rPr>
      </w:pPr>
      <w:r w:rsidRPr="0001617C">
        <w:rPr>
          <w:rFonts w:cs="Times New Roman"/>
          <w:sz w:val="24"/>
          <w:szCs w:val="24"/>
        </w:rPr>
        <w:t xml:space="preserve">As regards Spanish law and </w:t>
      </w:r>
      <w:r w:rsidR="000B5A90" w:rsidRPr="0001617C">
        <w:rPr>
          <w:rFonts w:cs="Times New Roman"/>
          <w:sz w:val="24"/>
          <w:szCs w:val="24"/>
        </w:rPr>
        <w:t xml:space="preserve">whether </w:t>
      </w:r>
      <w:r w:rsidRPr="0001617C">
        <w:rPr>
          <w:rFonts w:cs="Times New Roman"/>
          <w:sz w:val="24"/>
          <w:szCs w:val="24"/>
        </w:rPr>
        <w:t xml:space="preserve">or not the usual arbitration and applicable law clauses of P&amp;I insurance </w:t>
      </w:r>
      <w:r w:rsidR="007B1D89" w:rsidRPr="0001617C">
        <w:rPr>
          <w:rFonts w:cs="Times New Roman"/>
          <w:sz w:val="24"/>
          <w:szCs w:val="24"/>
        </w:rPr>
        <w:t>contracts are enforceable against</w:t>
      </w:r>
      <w:r w:rsidRPr="0001617C">
        <w:rPr>
          <w:rFonts w:cs="Times New Roman"/>
          <w:sz w:val="24"/>
          <w:szCs w:val="24"/>
        </w:rPr>
        <w:t xml:space="preserve"> the injured third party, the</w:t>
      </w:r>
      <w:r w:rsidR="00EB06FC" w:rsidRPr="0001617C">
        <w:rPr>
          <w:rFonts w:cs="Times New Roman"/>
          <w:sz w:val="24"/>
          <w:szCs w:val="24"/>
        </w:rPr>
        <w:t xml:space="preserve"> </w:t>
      </w:r>
      <w:r w:rsidR="002B47AF" w:rsidRPr="0001617C">
        <w:rPr>
          <w:rFonts w:cs="Times New Roman"/>
          <w:sz w:val="24"/>
          <w:szCs w:val="24"/>
        </w:rPr>
        <w:t xml:space="preserve">Spanish </w:t>
      </w:r>
      <w:r w:rsidRPr="0001617C">
        <w:rPr>
          <w:rFonts w:cs="Times New Roman"/>
          <w:sz w:val="24"/>
          <w:szCs w:val="24"/>
        </w:rPr>
        <w:t xml:space="preserve">Supreme Court considers them </w:t>
      </w:r>
      <w:r w:rsidR="006C4A9C" w:rsidRPr="0001617C">
        <w:rPr>
          <w:rFonts w:cs="Times New Roman"/>
          <w:sz w:val="24"/>
          <w:szCs w:val="24"/>
        </w:rPr>
        <w:t>enforceable</w:t>
      </w:r>
      <w:r w:rsidRPr="0001617C">
        <w:rPr>
          <w:rFonts w:cs="Times New Roman"/>
          <w:sz w:val="24"/>
          <w:szCs w:val="24"/>
        </w:rPr>
        <w:t xml:space="preserve"> when the </w:t>
      </w:r>
      <w:r w:rsidR="005A10DF" w:rsidRPr="0001617C">
        <w:rPr>
          <w:rFonts w:cs="Times New Roman"/>
          <w:sz w:val="24"/>
          <w:szCs w:val="24"/>
        </w:rPr>
        <w:t>P&amp;I Club</w:t>
      </w:r>
      <w:r w:rsidRPr="0001617C">
        <w:rPr>
          <w:rFonts w:cs="Times New Roman"/>
          <w:sz w:val="24"/>
          <w:szCs w:val="24"/>
        </w:rPr>
        <w:t xml:space="preserve"> interposes a declinatory plea of jurisdiction before the Spanish court hearing the case. The Spanish judicial precedent is </w:t>
      </w:r>
      <w:r w:rsidR="008F005E" w:rsidRPr="0001617C">
        <w:rPr>
          <w:rFonts w:cs="Times New Roman"/>
          <w:i/>
          <w:iCs/>
          <w:sz w:val="24"/>
          <w:szCs w:val="24"/>
        </w:rPr>
        <w:t>T</w:t>
      </w:r>
      <w:r w:rsidRPr="0001617C">
        <w:rPr>
          <w:rFonts w:cs="Times New Roman"/>
          <w:i/>
          <w:iCs/>
          <w:sz w:val="24"/>
          <w:szCs w:val="24"/>
        </w:rPr>
        <w:t>he Seaban</w:t>
      </w:r>
      <w:r w:rsidR="008F005E" w:rsidRPr="0001617C">
        <w:rPr>
          <w:rFonts w:cs="Times New Roman"/>
          <w:i/>
          <w:iCs/>
          <w:sz w:val="24"/>
          <w:szCs w:val="24"/>
        </w:rPr>
        <w:t>k</w:t>
      </w:r>
      <w:r w:rsidRPr="0001617C">
        <w:rPr>
          <w:rFonts w:cs="Times New Roman"/>
          <w:sz w:val="24"/>
          <w:szCs w:val="24"/>
        </w:rPr>
        <w:t xml:space="preserve"> case decided by the Supreme Court on 3 July 2003. Faced with a direct action, it declared its lack of jurisdiction to hear the action against the </w:t>
      </w:r>
      <w:r w:rsidR="005A10DF" w:rsidRPr="0001617C">
        <w:rPr>
          <w:rFonts w:cs="Times New Roman"/>
          <w:sz w:val="24"/>
          <w:szCs w:val="24"/>
        </w:rPr>
        <w:t>P&amp;I Club</w:t>
      </w:r>
      <w:r w:rsidRPr="0001617C">
        <w:rPr>
          <w:rFonts w:cs="Times New Roman"/>
          <w:sz w:val="24"/>
          <w:szCs w:val="24"/>
        </w:rPr>
        <w:t xml:space="preserve"> on the basis of an arbitration clause included in the charterparty and the P&amp;I insurance contract. Spanish case law consistently cites </w:t>
      </w:r>
      <w:r w:rsidR="00B01DF1" w:rsidRPr="0001617C">
        <w:rPr>
          <w:rFonts w:cs="Times New Roman"/>
          <w:i/>
          <w:iCs/>
          <w:sz w:val="24"/>
          <w:szCs w:val="24"/>
        </w:rPr>
        <w:t>T</w:t>
      </w:r>
      <w:r w:rsidRPr="0001617C">
        <w:rPr>
          <w:rFonts w:cs="Times New Roman"/>
          <w:i/>
          <w:iCs/>
          <w:sz w:val="24"/>
          <w:szCs w:val="24"/>
        </w:rPr>
        <w:t>he Seabank</w:t>
      </w:r>
      <w:r w:rsidRPr="0001617C">
        <w:rPr>
          <w:rFonts w:cs="Times New Roman"/>
          <w:sz w:val="24"/>
          <w:szCs w:val="24"/>
        </w:rPr>
        <w:t xml:space="preserve"> case</w:t>
      </w:r>
      <w:r w:rsidR="009C4C9E" w:rsidRPr="0001617C">
        <w:rPr>
          <w:rStyle w:val="Refdenotaalpie"/>
        </w:rPr>
        <w:footnoteReference w:id="35"/>
      </w:r>
      <w:r w:rsidRPr="0001617C">
        <w:rPr>
          <w:rFonts w:cs="Times New Roman"/>
          <w:sz w:val="24"/>
          <w:szCs w:val="24"/>
        </w:rPr>
        <w:t xml:space="preserve"> as a precedent for admitting lack of jurisdiction and submission to arbitration, even after the entry into force of </w:t>
      </w:r>
      <w:r w:rsidR="000B7526" w:rsidRPr="0001617C">
        <w:rPr>
          <w:rFonts w:cs="Times New Roman"/>
          <w:sz w:val="24"/>
          <w:szCs w:val="24"/>
        </w:rPr>
        <w:t xml:space="preserve">Spanish </w:t>
      </w:r>
      <w:r w:rsidRPr="0001617C">
        <w:rPr>
          <w:rFonts w:cs="Times New Roman"/>
          <w:sz w:val="24"/>
          <w:szCs w:val="24"/>
        </w:rPr>
        <w:t>Law 14/2014 of 24 July on Maritime Navigation (LNM).</w:t>
      </w:r>
    </w:p>
    <w:p w14:paraId="439B6544" w14:textId="00F1CB1B" w:rsidR="00E23A92" w:rsidRPr="0001617C" w:rsidRDefault="00BB539D">
      <w:pPr>
        <w:pStyle w:val="Textonotapie"/>
        <w:spacing w:before="120" w:after="120"/>
        <w:jc w:val="both"/>
        <w:rPr>
          <w:rFonts w:cs="Times New Roman"/>
          <w:sz w:val="24"/>
          <w:szCs w:val="24"/>
        </w:rPr>
      </w:pPr>
      <w:r w:rsidRPr="0001617C">
        <w:rPr>
          <w:rFonts w:cs="Times New Roman"/>
          <w:sz w:val="24"/>
          <w:szCs w:val="24"/>
        </w:rPr>
        <w:t xml:space="preserve">The basis of </w:t>
      </w:r>
      <w:r w:rsidR="00B01DF1" w:rsidRPr="0001617C">
        <w:rPr>
          <w:rFonts w:cs="Times New Roman"/>
          <w:i/>
          <w:iCs/>
          <w:sz w:val="24"/>
          <w:szCs w:val="24"/>
        </w:rPr>
        <w:t>T</w:t>
      </w:r>
      <w:r w:rsidRPr="0001617C">
        <w:rPr>
          <w:rFonts w:cs="Times New Roman"/>
          <w:i/>
          <w:iCs/>
          <w:sz w:val="24"/>
          <w:szCs w:val="24"/>
        </w:rPr>
        <w:t>he Seabank</w:t>
      </w:r>
      <w:r w:rsidRPr="0001617C">
        <w:rPr>
          <w:rFonts w:cs="Times New Roman"/>
          <w:sz w:val="24"/>
          <w:szCs w:val="24"/>
        </w:rPr>
        <w:t xml:space="preserve"> judgment is the non-application of Spanish law to the direct action brought against the </w:t>
      </w:r>
      <w:r w:rsidR="005A10DF" w:rsidRPr="0001617C">
        <w:rPr>
          <w:rFonts w:cs="Times New Roman"/>
          <w:sz w:val="24"/>
          <w:szCs w:val="24"/>
        </w:rPr>
        <w:t>P&amp;I Club</w:t>
      </w:r>
      <w:r w:rsidRPr="0001617C">
        <w:rPr>
          <w:rFonts w:cs="Times New Roman"/>
          <w:sz w:val="24"/>
          <w:szCs w:val="24"/>
        </w:rPr>
        <w:t xml:space="preserve"> by the injured third party. The </w:t>
      </w:r>
      <w:r w:rsidR="009C1B70" w:rsidRPr="0001617C">
        <w:rPr>
          <w:rFonts w:cs="Times New Roman"/>
          <w:sz w:val="24"/>
          <w:szCs w:val="24"/>
        </w:rPr>
        <w:t>Supreme</w:t>
      </w:r>
      <w:r w:rsidRPr="0001617C">
        <w:rPr>
          <w:rFonts w:cs="Times New Roman"/>
          <w:sz w:val="24"/>
          <w:szCs w:val="24"/>
        </w:rPr>
        <w:t xml:space="preserve"> Court </w:t>
      </w:r>
      <w:r w:rsidR="003C325A" w:rsidRPr="0001617C">
        <w:rPr>
          <w:rFonts w:cs="Times New Roman"/>
          <w:sz w:val="24"/>
          <w:szCs w:val="24"/>
        </w:rPr>
        <w:t>invoke</w:t>
      </w:r>
      <w:r w:rsidR="00B01DF1" w:rsidRPr="0001617C">
        <w:rPr>
          <w:rFonts w:cs="Times New Roman"/>
          <w:sz w:val="24"/>
          <w:szCs w:val="24"/>
        </w:rPr>
        <w:t>d</w:t>
      </w:r>
      <w:r w:rsidRPr="0001617C">
        <w:rPr>
          <w:rFonts w:cs="Times New Roman"/>
          <w:sz w:val="24"/>
          <w:szCs w:val="24"/>
        </w:rPr>
        <w:t xml:space="preserve"> </w:t>
      </w:r>
      <w:r w:rsidR="00A26855" w:rsidRPr="0001617C">
        <w:rPr>
          <w:rFonts w:cs="Times New Roman"/>
          <w:sz w:val="24"/>
          <w:szCs w:val="24"/>
        </w:rPr>
        <w:t xml:space="preserve">the </w:t>
      </w:r>
      <w:r w:rsidRPr="0001617C">
        <w:rPr>
          <w:rFonts w:cs="Times New Roman"/>
          <w:sz w:val="24"/>
          <w:szCs w:val="24"/>
        </w:rPr>
        <w:t xml:space="preserve">contractual obligations of </w:t>
      </w:r>
      <w:r w:rsidR="004D2DDD" w:rsidRPr="0001617C">
        <w:rPr>
          <w:rFonts w:cs="Times New Roman"/>
          <w:sz w:val="24"/>
          <w:szCs w:val="24"/>
        </w:rPr>
        <w:t>A</w:t>
      </w:r>
      <w:r w:rsidRPr="0001617C">
        <w:rPr>
          <w:rFonts w:cs="Times New Roman"/>
          <w:sz w:val="24"/>
          <w:szCs w:val="24"/>
        </w:rPr>
        <w:t xml:space="preserve">rt. 10.5 CC to refer to the law of the contract (which includes submission to English national law) and exclude the application of Spanish law. The submission to English law and, in the event of a dispute, the application of English law with arbitration in London determines both that the Spanish courts do not have jurisdiction and that Spanish law does not apply. The question of the applicable national law and the submission to arbitration in P&amp;I insurance </w:t>
      </w:r>
      <w:r w:rsidR="00F32E6D" w:rsidRPr="0001617C">
        <w:rPr>
          <w:rFonts w:cs="Times New Roman"/>
          <w:sz w:val="24"/>
          <w:szCs w:val="24"/>
        </w:rPr>
        <w:t xml:space="preserve">contracts </w:t>
      </w:r>
      <w:r w:rsidRPr="0001617C">
        <w:rPr>
          <w:rFonts w:cs="Times New Roman"/>
          <w:sz w:val="24"/>
          <w:szCs w:val="24"/>
        </w:rPr>
        <w:t xml:space="preserve">explains the scant judicial effect of the recognition of the direct action of Art. 465 LNM and the nullity of arbitration clauses in maritime contracts if they have not been individually and separately negotiated in Art. 469 LNM. The Spanish courts simply do not consider </w:t>
      </w:r>
      <w:r w:rsidRPr="0001617C">
        <w:rPr>
          <w:rFonts w:cs="Times New Roman"/>
          <w:sz w:val="24"/>
          <w:szCs w:val="24"/>
        </w:rPr>
        <w:lastRenderedPageBreak/>
        <w:t xml:space="preserve">Spanish law applicable to direct action against the </w:t>
      </w:r>
      <w:r w:rsidR="005A10DF" w:rsidRPr="0001617C">
        <w:rPr>
          <w:rFonts w:cs="Times New Roman"/>
          <w:sz w:val="24"/>
          <w:szCs w:val="24"/>
        </w:rPr>
        <w:t>P&amp;I Club</w:t>
      </w:r>
      <w:r w:rsidRPr="0001617C">
        <w:rPr>
          <w:rFonts w:cs="Times New Roman"/>
          <w:sz w:val="24"/>
          <w:szCs w:val="24"/>
        </w:rPr>
        <w:t xml:space="preserve"> if the latter disputes </w:t>
      </w:r>
      <w:r w:rsidR="006F197D" w:rsidRPr="0001617C">
        <w:rPr>
          <w:rFonts w:cs="Times New Roman"/>
          <w:sz w:val="24"/>
          <w:szCs w:val="24"/>
        </w:rPr>
        <w:t xml:space="preserve">the </w:t>
      </w:r>
      <w:r w:rsidRPr="0001617C">
        <w:rPr>
          <w:rFonts w:cs="Times New Roman"/>
          <w:sz w:val="24"/>
          <w:szCs w:val="24"/>
        </w:rPr>
        <w:t>jurisdiction.</w:t>
      </w:r>
    </w:p>
    <w:p w14:paraId="3B88C429" w14:textId="40572C86" w:rsidR="00E23A92" w:rsidRPr="0001617C" w:rsidRDefault="00BB539D">
      <w:pPr>
        <w:pStyle w:val="Textonotapie"/>
        <w:spacing w:before="120" w:after="120"/>
        <w:jc w:val="both"/>
        <w:rPr>
          <w:rFonts w:cs="Times New Roman"/>
          <w:sz w:val="24"/>
          <w:szCs w:val="24"/>
        </w:rPr>
      </w:pPr>
      <w:r w:rsidRPr="0001617C">
        <w:rPr>
          <w:rFonts w:cs="Times New Roman"/>
          <w:sz w:val="24"/>
          <w:szCs w:val="24"/>
        </w:rPr>
        <w:t>On the other hand, Spanish case law affirms the contractual nature of the direct action, so that the third party who w</w:t>
      </w:r>
      <w:r w:rsidR="002B570A" w:rsidRPr="0001617C">
        <w:rPr>
          <w:rFonts w:cs="Times New Roman"/>
          <w:sz w:val="24"/>
          <w:szCs w:val="24"/>
        </w:rPr>
        <w:t>ishes</w:t>
      </w:r>
      <w:r w:rsidRPr="0001617C">
        <w:rPr>
          <w:rFonts w:cs="Times New Roman"/>
          <w:sz w:val="24"/>
          <w:szCs w:val="24"/>
        </w:rPr>
        <w:t xml:space="preserve"> to claim payment of compensation under the P&amp;I </w:t>
      </w:r>
      <w:r w:rsidR="002B570A" w:rsidRPr="0001617C">
        <w:rPr>
          <w:rFonts w:cs="Times New Roman"/>
          <w:sz w:val="24"/>
          <w:szCs w:val="24"/>
        </w:rPr>
        <w:t>contract</w:t>
      </w:r>
      <w:r w:rsidRPr="0001617C">
        <w:rPr>
          <w:rFonts w:cs="Times New Roman"/>
          <w:sz w:val="24"/>
          <w:szCs w:val="24"/>
        </w:rPr>
        <w:t xml:space="preserve"> is subject to the applicable law clause. This implies that Spanish law does not govern </w:t>
      </w:r>
      <w:r w:rsidR="00B92A4B" w:rsidRPr="0001617C">
        <w:rPr>
          <w:rFonts w:cs="Times New Roman"/>
          <w:sz w:val="24"/>
          <w:szCs w:val="24"/>
        </w:rPr>
        <w:t xml:space="preserve">the </w:t>
      </w:r>
      <w:r w:rsidRPr="0001617C">
        <w:rPr>
          <w:rFonts w:cs="Times New Roman"/>
          <w:sz w:val="24"/>
          <w:szCs w:val="24"/>
        </w:rPr>
        <w:t xml:space="preserve">direct action against the </w:t>
      </w:r>
      <w:r w:rsidR="005A10DF" w:rsidRPr="0001617C">
        <w:rPr>
          <w:rFonts w:cs="Times New Roman"/>
          <w:sz w:val="24"/>
          <w:szCs w:val="24"/>
        </w:rPr>
        <w:t>P&amp;I Club</w:t>
      </w:r>
      <w:r w:rsidR="00B92A4B" w:rsidRPr="0001617C">
        <w:rPr>
          <w:rFonts w:cs="Times New Roman"/>
          <w:sz w:val="24"/>
          <w:szCs w:val="24"/>
        </w:rPr>
        <w:t xml:space="preserve"> when the </w:t>
      </w:r>
      <w:r w:rsidRPr="0001617C">
        <w:rPr>
          <w:rFonts w:cs="Times New Roman"/>
          <w:sz w:val="24"/>
          <w:szCs w:val="24"/>
        </w:rPr>
        <w:t xml:space="preserve">contract with its insured </w:t>
      </w:r>
      <w:r w:rsidR="00B92A4B" w:rsidRPr="0001617C">
        <w:rPr>
          <w:rFonts w:cs="Times New Roman"/>
          <w:sz w:val="24"/>
          <w:szCs w:val="24"/>
        </w:rPr>
        <w:t xml:space="preserve">party </w:t>
      </w:r>
      <w:r w:rsidRPr="0001617C">
        <w:rPr>
          <w:rFonts w:cs="Times New Roman"/>
          <w:sz w:val="24"/>
          <w:szCs w:val="24"/>
        </w:rPr>
        <w:t xml:space="preserve">is subject to a foreign law. The direct action, </w:t>
      </w:r>
      <w:r w:rsidR="008C2315" w:rsidRPr="0001617C">
        <w:rPr>
          <w:rFonts w:cs="Times New Roman"/>
          <w:sz w:val="24"/>
          <w:szCs w:val="24"/>
        </w:rPr>
        <w:t>whether</w:t>
      </w:r>
      <w:r w:rsidRPr="0001617C">
        <w:rPr>
          <w:rFonts w:cs="Times New Roman"/>
          <w:sz w:val="24"/>
          <w:szCs w:val="24"/>
        </w:rPr>
        <w:t xml:space="preserve"> it exists and its terms, is subject to </w:t>
      </w:r>
      <w:r w:rsidR="00527D1C" w:rsidRPr="0001617C">
        <w:rPr>
          <w:rFonts w:cs="Times New Roman"/>
          <w:sz w:val="24"/>
          <w:szCs w:val="24"/>
        </w:rPr>
        <w:t>such</w:t>
      </w:r>
      <w:r w:rsidRPr="0001617C">
        <w:rPr>
          <w:rFonts w:cs="Times New Roman"/>
          <w:sz w:val="24"/>
          <w:szCs w:val="24"/>
        </w:rPr>
        <w:t xml:space="preserve"> law because it has been agreed by the original parties and </w:t>
      </w:r>
      <w:r w:rsidR="002447F7" w:rsidRPr="0001617C">
        <w:rPr>
          <w:rFonts w:cs="Times New Roman"/>
          <w:sz w:val="24"/>
          <w:szCs w:val="24"/>
        </w:rPr>
        <w:t>this</w:t>
      </w:r>
      <w:r w:rsidRPr="0001617C">
        <w:rPr>
          <w:rFonts w:cs="Times New Roman"/>
          <w:sz w:val="24"/>
          <w:szCs w:val="24"/>
        </w:rPr>
        <w:t xml:space="preserve"> extends to the third party who seeks to benefit from the contract and collect the insurance indemnity.</w:t>
      </w:r>
    </w:p>
    <w:p w14:paraId="08DA264D" w14:textId="466AD061" w:rsidR="00E23A92" w:rsidRPr="0001617C" w:rsidRDefault="00945434">
      <w:pPr>
        <w:pStyle w:val="Textonotapie"/>
        <w:spacing w:before="120" w:after="120"/>
        <w:jc w:val="both"/>
        <w:rPr>
          <w:rFonts w:cs="Times New Roman"/>
          <w:sz w:val="24"/>
          <w:szCs w:val="24"/>
        </w:rPr>
      </w:pPr>
      <w:r w:rsidRPr="0001617C">
        <w:rPr>
          <w:rFonts w:cs="Times New Roman"/>
          <w:sz w:val="24"/>
          <w:szCs w:val="24"/>
        </w:rPr>
        <w:t>However</w:t>
      </w:r>
      <w:r w:rsidR="00BB539D" w:rsidRPr="0001617C">
        <w:rPr>
          <w:rFonts w:cs="Times New Roman"/>
          <w:sz w:val="24"/>
          <w:szCs w:val="24"/>
        </w:rPr>
        <w:t xml:space="preserve">, in other cases in which the </w:t>
      </w:r>
      <w:r w:rsidR="005A10DF" w:rsidRPr="0001617C">
        <w:rPr>
          <w:rFonts w:cs="Times New Roman"/>
          <w:sz w:val="24"/>
          <w:szCs w:val="24"/>
        </w:rPr>
        <w:t>P&amp;I Club</w:t>
      </w:r>
      <w:r w:rsidR="00BB539D" w:rsidRPr="0001617C">
        <w:rPr>
          <w:rFonts w:cs="Times New Roman"/>
          <w:sz w:val="24"/>
          <w:szCs w:val="24"/>
        </w:rPr>
        <w:t xml:space="preserve"> does not dispute jurisdiction</w:t>
      </w:r>
      <w:r w:rsidR="00B7015C" w:rsidRPr="0001617C">
        <w:rPr>
          <w:rFonts w:cs="Times New Roman"/>
          <w:sz w:val="24"/>
          <w:szCs w:val="24"/>
        </w:rPr>
        <w:t xml:space="preserve"> and does not plead</w:t>
      </w:r>
      <w:r w:rsidR="00BB539D" w:rsidRPr="0001617C">
        <w:rPr>
          <w:rFonts w:cs="Times New Roman"/>
          <w:sz w:val="24"/>
          <w:szCs w:val="24"/>
        </w:rPr>
        <w:t xml:space="preserve"> the arbitration agreement, the Supreme Court has declared its jurisdiction to resolve the matter, as in a judgment of 14 April 2009 and in the judgment of 14 January 2016 in </w:t>
      </w:r>
      <w:r w:rsidR="00DB43DC" w:rsidRPr="0001617C">
        <w:rPr>
          <w:rFonts w:cs="Times New Roman"/>
          <w:i/>
          <w:iCs/>
          <w:sz w:val="24"/>
          <w:szCs w:val="24"/>
        </w:rPr>
        <w:t>The Prestige</w:t>
      </w:r>
      <w:r w:rsidR="00BB539D" w:rsidRPr="0001617C">
        <w:rPr>
          <w:rFonts w:cs="Times New Roman"/>
          <w:sz w:val="24"/>
          <w:szCs w:val="24"/>
        </w:rPr>
        <w:t xml:space="preserve"> case. The Supreme Court d</w:t>
      </w:r>
      <w:r w:rsidR="00DC08BD" w:rsidRPr="0001617C">
        <w:rPr>
          <w:rFonts w:cs="Times New Roman"/>
          <w:sz w:val="24"/>
          <w:szCs w:val="24"/>
        </w:rPr>
        <w:t>id</w:t>
      </w:r>
      <w:r w:rsidR="00BB539D" w:rsidRPr="0001617C">
        <w:rPr>
          <w:rFonts w:cs="Times New Roman"/>
          <w:sz w:val="24"/>
          <w:szCs w:val="24"/>
        </w:rPr>
        <w:t xml:space="preserve"> not change </w:t>
      </w:r>
      <w:r w:rsidR="001E3C19" w:rsidRPr="0001617C">
        <w:rPr>
          <w:rFonts w:cs="Times New Roman"/>
          <w:i/>
          <w:iCs/>
          <w:sz w:val="24"/>
          <w:szCs w:val="24"/>
        </w:rPr>
        <w:t>T</w:t>
      </w:r>
      <w:r w:rsidR="00BB539D" w:rsidRPr="0001617C">
        <w:rPr>
          <w:rFonts w:cs="Times New Roman"/>
          <w:i/>
          <w:iCs/>
          <w:sz w:val="24"/>
          <w:szCs w:val="24"/>
        </w:rPr>
        <w:t>he Seabank</w:t>
      </w:r>
      <w:r w:rsidR="00BB539D" w:rsidRPr="0001617C">
        <w:rPr>
          <w:rFonts w:cs="Times New Roman"/>
          <w:sz w:val="24"/>
          <w:szCs w:val="24"/>
        </w:rPr>
        <w:t xml:space="preserve"> precedent, it simply d</w:t>
      </w:r>
      <w:r w:rsidR="00DC08BD" w:rsidRPr="0001617C">
        <w:rPr>
          <w:rFonts w:cs="Times New Roman"/>
          <w:sz w:val="24"/>
          <w:szCs w:val="24"/>
        </w:rPr>
        <w:t>id</w:t>
      </w:r>
      <w:r w:rsidR="00BB539D" w:rsidRPr="0001617C">
        <w:rPr>
          <w:rFonts w:cs="Times New Roman"/>
          <w:sz w:val="24"/>
          <w:szCs w:val="24"/>
        </w:rPr>
        <w:t xml:space="preserve"> not consider it applicable, as the </w:t>
      </w:r>
      <w:r w:rsidR="005A10DF" w:rsidRPr="0001617C">
        <w:rPr>
          <w:rFonts w:cs="Times New Roman"/>
          <w:sz w:val="24"/>
          <w:szCs w:val="24"/>
        </w:rPr>
        <w:t>P&amp;I Club</w:t>
      </w:r>
      <w:r w:rsidR="00BB539D" w:rsidRPr="0001617C">
        <w:rPr>
          <w:rFonts w:cs="Times New Roman"/>
          <w:sz w:val="24"/>
          <w:szCs w:val="24"/>
        </w:rPr>
        <w:t xml:space="preserve"> ha</w:t>
      </w:r>
      <w:r w:rsidR="00DC08BD" w:rsidRPr="0001617C">
        <w:rPr>
          <w:rFonts w:cs="Times New Roman"/>
          <w:sz w:val="24"/>
          <w:szCs w:val="24"/>
        </w:rPr>
        <w:t>d</w:t>
      </w:r>
      <w:r w:rsidR="00BB539D" w:rsidRPr="0001617C">
        <w:rPr>
          <w:rFonts w:cs="Times New Roman"/>
          <w:sz w:val="24"/>
          <w:szCs w:val="24"/>
        </w:rPr>
        <w:t xml:space="preserve"> not appeared in court and ha</w:t>
      </w:r>
      <w:r w:rsidR="00DC08BD" w:rsidRPr="0001617C">
        <w:rPr>
          <w:rFonts w:cs="Times New Roman"/>
          <w:sz w:val="24"/>
          <w:szCs w:val="24"/>
        </w:rPr>
        <w:t>d</w:t>
      </w:r>
      <w:r w:rsidR="00BB539D" w:rsidRPr="0001617C">
        <w:rPr>
          <w:rFonts w:cs="Times New Roman"/>
          <w:sz w:val="24"/>
          <w:szCs w:val="24"/>
        </w:rPr>
        <w:t xml:space="preserve"> declined jurisdiction by submission to arbitration. The judge may not assess the arbitration agreement ex officio, but may plead it to </w:t>
      </w:r>
      <w:r w:rsidR="00C00599" w:rsidRPr="0001617C">
        <w:rPr>
          <w:rFonts w:cs="Times New Roman"/>
          <w:sz w:val="24"/>
          <w:szCs w:val="24"/>
        </w:rPr>
        <w:t xml:space="preserve">anyone </w:t>
      </w:r>
      <w:r w:rsidR="00BB539D" w:rsidRPr="0001617C">
        <w:rPr>
          <w:rFonts w:cs="Times New Roman"/>
          <w:sz w:val="24"/>
          <w:szCs w:val="24"/>
        </w:rPr>
        <w:t>interested in its application (</w:t>
      </w:r>
      <w:r w:rsidR="002521CE" w:rsidRPr="0001617C">
        <w:rPr>
          <w:rFonts w:cs="Times New Roman"/>
          <w:sz w:val="24"/>
          <w:szCs w:val="24"/>
        </w:rPr>
        <w:t>A</w:t>
      </w:r>
      <w:r w:rsidR="00BB539D" w:rsidRPr="0001617C">
        <w:rPr>
          <w:rFonts w:cs="Times New Roman"/>
          <w:sz w:val="24"/>
          <w:szCs w:val="24"/>
        </w:rPr>
        <w:t xml:space="preserve">rt. 11.1 </w:t>
      </w:r>
      <w:r w:rsidR="002521CE" w:rsidRPr="0001617C">
        <w:rPr>
          <w:rFonts w:cs="Times New Roman"/>
          <w:sz w:val="24"/>
          <w:szCs w:val="24"/>
        </w:rPr>
        <w:t xml:space="preserve">of </w:t>
      </w:r>
      <w:r w:rsidR="00BB539D" w:rsidRPr="0001617C">
        <w:rPr>
          <w:rFonts w:cs="Times New Roman"/>
          <w:sz w:val="24"/>
          <w:szCs w:val="24"/>
        </w:rPr>
        <w:t xml:space="preserve">Law 60/2003 of 23 December on arbitration and </w:t>
      </w:r>
      <w:r w:rsidR="002521CE" w:rsidRPr="0001617C">
        <w:rPr>
          <w:rFonts w:cs="Times New Roman"/>
          <w:sz w:val="24"/>
          <w:szCs w:val="24"/>
        </w:rPr>
        <w:t>A</w:t>
      </w:r>
      <w:r w:rsidR="00BB539D" w:rsidRPr="0001617C">
        <w:rPr>
          <w:rFonts w:cs="Times New Roman"/>
          <w:sz w:val="24"/>
          <w:szCs w:val="24"/>
        </w:rPr>
        <w:t xml:space="preserve">rt. II.3 </w:t>
      </w:r>
      <w:r w:rsidR="002521CE" w:rsidRPr="0001617C">
        <w:rPr>
          <w:rFonts w:cs="Times New Roman"/>
          <w:sz w:val="24"/>
          <w:szCs w:val="24"/>
        </w:rPr>
        <w:t xml:space="preserve">of the </w:t>
      </w:r>
      <w:r w:rsidR="00BB539D" w:rsidRPr="0001617C">
        <w:rPr>
          <w:rFonts w:cs="Times New Roman"/>
          <w:sz w:val="24"/>
          <w:szCs w:val="24"/>
        </w:rPr>
        <w:t>New York Convention on the Recognition and Enforcement of Foreign Arbitral Awards 1958).</w:t>
      </w:r>
    </w:p>
    <w:p w14:paraId="33FBFD70" w14:textId="0630A638" w:rsidR="00E23A92" w:rsidRPr="0001617C" w:rsidRDefault="00BB539D">
      <w:pPr>
        <w:pStyle w:val="Textonotapie"/>
        <w:spacing w:before="120" w:after="120"/>
        <w:jc w:val="both"/>
        <w:rPr>
          <w:rFonts w:cs="Times New Roman"/>
          <w:sz w:val="24"/>
          <w:szCs w:val="24"/>
        </w:rPr>
      </w:pPr>
      <w:r w:rsidRPr="0001617C">
        <w:rPr>
          <w:rFonts w:cs="Times New Roman"/>
          <w:sz w:val="24"/>
          <w:szCs w:val="24"/>
        </w:rPr>
        <w:t xml:space="preserve">In view of the case law of the Court of Justice of the European Union, the rule to be followed in Spanish law must be to consider arbitration agreements drawn up by insurers domiciled in the European Union to be unenforceable against third parties. </w:t>
      </w:r>
      <w:r w:rsidR="00C32AB5" w:rsidRPr="0001617C">
        <w:rPr>
          <w:rFonts w:cs="Times New Roman"/>
          <w:sz w:val="24"/>
          <w:szCs w:val="24"/>
        </w:rPr>
        <w:t>However</w:t>
      </w:r>
      <w:r w:rsidRPr="0001617C">
        <w:rPr>
          <w:rFonts w:cs="Times New Roman"/>
          <w:sz w:val="24"/>
          <w:szCs w:val="24"/>
        </w:rPr>
        <w:t>, this doctrine is not</w:t>
      </w:r>
      <w:r w:rsidR="00FA5CD5" w:rsidRPr="0001617C">
        <w:rPr>
          <w:rFonts w:cs="Times New Roman"/>
          <w:sz w:val="24"/>
          <w:szCs w:val="24"/>
        </w:rPr>
        <w:t>, in principle,</w:t>
      </w:r>
      <w:r w:rsidRPr="0001617C">
        <w:rPr>
          <w:rFonts w:cs="Times New Roman"/>
          <w:sz w:val="24"/>
          <w:szCs w:val="24"/>
        </w:rPr>
        <w:t xml:space="preserve"> applicable to insurers located in third countries.</w:t>
      </w:r>
    </w:p>
    <w:p w14:paraId="7DA2DF8B" w14:textId="77777777" w:rsidR="00B53F6E" w:rsidRPr="0001617C" w:rsidRDefault="00B53F6E" w:rsidP="00E17EC6">
      <w:pPr>
        <w:pStyle w:val="Textonotapie"/>
        <w:spacing w:before="120" w:after="120"/>
        <w:jc w:val="both"/>
        <w:rPr>
          <w:rFonts w:cs="Times New Roman"/>
          <w:sz w:val="24"/>
          <w:szCs w:val="24"/>
        </w:rPr>
      </w:pPr>
    </w:p>
    <w:p w14:paraId="653684A2" w14:textId="121BB2B5" w:rsidR="00E23A92" w:rsidRPr="0001617C" w:rsidRDefault="00BB539D" w:rsidP="001A75E8">
      <w:pPr>
        <w:pStyle w:val="Textonotapie"/>
        <w:numPr>
          <w:ilvl w:val="0"/>
          <w:numId w:val="50"/>
        </w:numPr>
        <w:spacing w:before="120" w:after="120"/>
        <w:jc w:val="both"/>
        <w:rPr>
          <w:rFonts w:cs="Times New Roman"/>
          <w:caps/>
          <w:sz w:val="24"/>
          <w:szCs w:val="24"/>
        </w:rPr>
      </w:pPr>
      <w:r w:rsidRPr="0001617C">
        <w:rPr>
          <w:rFonts w:cs="Times New Roman"/>
          <w:b/>
          <w:bCs/>
          <w:caps/>
          <w:sz w:val="24"/>
          <w:szCs w:val="24"/>
        </w:rPr>
        <w:t>Never again</w:t>
      </w:r>
      <w:r w:rsidR="00DB56A9" w:rsidRPr="0001617C">
        <w:rPr>
          <w:rFonts w:cs="Times New Roman"/>
          <w:b/>
          <w:bCs/>
          <w:caps/>
          <w:sz w:val="24"/>
          <w:szCs w:val="24"/>
        </w:rPr>
        <w:t xml:space="preserve">? </w:t>
      </w:r>
    </w:p>
    <w:p w14:paraId="778B179C" w14:textId="2988B669" w:rsidR="00E23A92" w:rsidRPr="0001617C" w:rsidRDefault="00DB43DC">
      <w:pPr>
        <w:pStyle w:val="Textonotapie"/>
        <w:spacing w:before="120" w:after="120"/>
        <w:jc w:val="both"/>
        <w:rPr>
          <w:rFonts w:cs="Times New Roman"/>
          <w:sz w:val="24"/>
          <w:szCs w:val="24"/>
        </w:rPr>
      </w:pPr>
      <w:r w:rsidRPr="0001617C">
        <w:rPr>
          <w:rFonts w:cs="Times New Roman"/>
          <w:i/>
          <w:iCs/>
          <w:sz w:val="24"/>
          <w:szCs w:val="24"/>
        </w:rPr>
        <w:t>The Prestige</w:t>
      </w:r>
      <w:r w:rsidR="00BB539D" w:rsidRPr="0001617C">
        <w:rPr>
          <w:rFonts w:cs="Times New Roman"/>
          <w:sz w:val="24"/>
          <w:szCs w:val="24"/>
        </w:rPr>
        <w:t xml:space="preserve"> incident has led to two relevant legal changes in EU and international law.</w:t>
      </w:r>
    </w:p>
    <w:p w14:paraId="2E15B6EE" w14:textId="3E53CE43" w:rsidR="00E23A92" w:rsidRPr="0001617C" w:rsidRDefault="00BB539D">
      <w:pPr>
        <w:pStyle w:val="Textonotapie"/>
        <w:spacing w:before="120" w:after="120"/>
        <w:jc w:val="both"/>
        <w:rPr>
          <w:rFonts w:cs="Times New Roman"/>
          <w:sz w:val="24"/>
          <w:szCs w:val="24"/>
        </w:rPr>
      </w:pPr>
      <w:r w:rsidRPr="0001617C">
        <w:rPr>
          <w:rFonts w:cs="Times New Roman"/>
          <w:sz w:val="24"/>
          <w:szCs w:val="24"/>
        </w:rPr>
        <w:t xml:space="preserve">Firstly, in December 2003, as a consequence of the accident, the International Maritime Organisation adopted new amendments to </w:t>
      </w:r>
      <w:r w:rsidR="00720674" w:rsidRPr="0001617C">
        <w:rPr>
          <w:rFonts w:cs="Times New Roman"/>
          <w:sz w:val="24"/>
          <w:szCs w:val="24"/>
        </w:rPr>
        <w:t>rule</w:t>
      </w:r>
      <w:r w:rsidRPr="0001617C">
        <w:rPr>
          <w:rFonts w:cs="Times New Roman"/>
          <w:sz w:val="24"/>
          <w:szCs w:val="24"/>
        </w:rPr>
        <w:t xml:space="preserve"> 13G of the International Convention for the Prevention of Pollution from Ships (MARPOL) to accelerate the </w:t>
      </w:r>
      <w:r w:rsidR="00154783" w:rsidRPr="0001617C">
        <w:rPr>
          <w:rFonts w:cs="Times New Roman"/>
          <w:sz w:val="24"/>
          <w:szCs w:val="24"/>
        </w:rPr>
        <w:t>schedule</w:t>
      </w:r>
      <w:r w:rsidRPr="0001617C">
        <w:rPr>
          <w:rFonts w:cs="Times New Roman"/>
          <w:sz w:val="24"/>
          <w:szCs w:val="24"/>
        </w:rPr>
        <w:t xml:space="preserve"> for the </w:t>
      </w:r>
      <w:r w:rsidR="00B91BCE" w:rsidRPr="0001617C">
        <w:rPr>
          <w:rFonts w:cs="Times New Roman"/>
          <w:i/>
          <w:iCs/>
          <w:sz w:val="24"/>
          <w:szCs w:val="24"/>
        </w:rPr>
        <w:t>phase-out</w:t>
      </w:r>
      <w:r w:rsidRPr="0001617C">
        <w:rPr>
          <w:rFonts w:cs="Times New Roman"/>
          <w:i/>
          <w:iCs/>
          <w:sz w:val="24"/>
          <w:szCs w:val="24"/>
        </w:rPr>
        <w:t xml:space="preserve"> of single-hull</w:t>
      </w:r>
      <w:r w:rsidR="00B91BCE" w:rsidRPr="0001617C">
        <w:rPr>
          <w:rFonts w:cs="Times New Roman"/>
          <w:i/>
          <w:iCs/>
          <w:sz w:val="24"/>
          <w:szCs w:val="24"/>
        </w:rPr>
        <w:t>ed</w:t>
      </w:r>
      <w:r w:rsidRPr="0001617C">
        <w:rPr>
          <w:rFonts w:cs="Times New Roman"/>
          <w:i/>
          <w:iCs/>
          <w:sz w:val="24"/>
          <w:szCs w:val="24"/>
        </w:rPr>
        <w:t xml:space="preserve"> oil tankers</w:t>
      </w:r>
      <w:r w:rsidRPr="0001617C">
        <w:rPr>
          <w:rFonts w:cs="Times New Roman"/>
          <w:sz w:val="24"/>
          <w:szCs w:val="24"/>
        </w:rPr>
        <w:t xml:space="preserve"> such as </w:t>
      </w:r>
      <w:r w:rsidR="00DB43DC" w:rsidRPr="0001617C">
        <w:rPr>
          <w:rFonts w:cs="Times New Roman"/>
          <w:i/>
          <w:iCs/>
          <w:sz w:val="24"/>
          <w:szCs w:val="24"/>
        </w:rPr>
        <w:t>The Prestige</w:t>
      </w:r>
      <w:r w:rsidRPr="0001617C">
        <w:rPr>
          <w:rFonts w:cs="Times New Roman"/>
          <w:sz w:val="24"/>
          <w:szCs w:val="24"/>
        </w:rPr>
        <w:t>. These amendments enter</w:t>
      </w:r>
      <w:r w:rsidR="00C7340C" w:rsidRPr="0001617C">
        <w:rPr>
          <w:rFonts w:cs="Times New Roman"/>
          <w:sz w:val="24"/>
          <w:szCs w:val="24"/>
        </w:rPr>
        <w:t>ed</w:t>
      </w:r>
      <w:r w:rsidRPr="0001617C">
        <w:rPr>
          <w:rFonts w:cs="Times New Roman"/>
          <w:sz w:val="24"/>
          <w:szCs w:val="24"/>
        </w:rPr>
        <w:t xml:space="preserve"> into force on 5 April 2005. A new regulation on the prevention of oil pollution from oil tankers carrying heavy grade oil prohibits their carriage in single</w:t>
      </w:r>
      <w:r w:rsidR="00F05357" w:rsidRPr="0001617C">
        <w:rPr>
          <w:rFonts w:cs="Times New Roman"/>
          <w:sz w:val="24"/>
          <w:szCs w:val="24"/>
        </w:rPr>
        <w:t>-</w:t>
      </w:r>
      <w:r w:rsidRPr="0001617C">
        <w:rPr>
          <w:rFonts w:cs="Times New Roman"/>
          <w:sz w:val="24"/>
          <w:szCs w:val="24"/>
        </w:rPr>
        <w:t>hull</w:t>
      </w:r>
      <w:r w:rsidR="00F05357" w:rsidRPr="0001617C">
        <w:rPr>
          <w:rFonts w:cs="Times New Roman"/>
          <w:sz w:val="24"/>
          <w:szCs w:val="24"/>
        </w:rPr>
        <w:t>ed</w:t>
      </w:r>
      <w:r w:rsidRPr="0001617C">
        <w:rPr>
          <w:rFonts w:cs="Times New Roman"/>
          <w:sz w:val="24"/>
          <w:szCs w:val="24"/>
        </w:rPr>
        <w:t xml:space="preserve"> oil tankers of 5,000 ton</w:t>
      </w:r>
      <w:r w:rsidR="005A5B32" w:rsidRPr="0001617C">
        <w:rPr>
          <w:rFonts w:cs="Times New Roman"/>
          <w:sz w:val="24"/>
          <w:szCs w:val="24"/>
        </w:rPr>
        <w:t>ne</w:t>
      </w:r>
      <w:r w:rsidRPr="0001617C">
        <w:rPr>
          <w:rFonts w:cs="Times New Roman"/>
          <w:sz w:val="24"/>
          <w:szCs w:val="24"/>
        </w:rPr>
        <w:t>s deadweight and above after the date of entry into force of the regulation (5 April 2005), and in single</w:t>
      </w:r>
      <w:r w:rsidR="00317F1B" w:rsidRPr="0001617C">
        <w:rPr>
          <w:rFonts w:cs="Times New Roman"/>
          <w:sz w:val="24"/>
          <w:szCs w:val="24"/>
        </w:rPr>
        <w:t>-</w:t>
      </w:r>
      <w:r w:rsidRPr="0001617C">
        <w:rPr>
          <w:rFonts w:cs="Times New Roman"/>
          <w:sz w:val="24"/>
          <w:szCs w:val="24"/>
        </w:rPr>
        <w:t>hull</w:t>
      </w:r>
      <w:r w:rsidR="00317F1B" w:rsidRPr="0001617C">
        <w:rPr>
          <w:rFonts w:cs="Times New Roman"/>
          <w:sz w:val="24"/>
          <w:szCs w:val="24"/>
        </w:rPr>
        <w:t>ed</w:t>
      </w:r>
      <w:r w:rsidRPr="0001617C">
        <w:rPr>
          <w:rFonts w:cs="Times New Roman"/>
          <w:sz w:val="24"/>
          <w:szCs w:val="24"/>
        </w:rPr>
        <w:t xml:space="preserve"> oil tankers of 600 ton</w:t>
      </w:r>
      <w:r w:rsidR="005A5B32" w:rsidRPr="0001617C">
        <w:rPr>
          <w:rFonts w:cs="Times New Roman"/>
          <w:sz w:val="24"/>
          <w:szCs w:val="24"/>
        </w:rPr>
        <w:t>ne</w:t>
      </w:r>
      <w:r w:rsidRPr="0001617C">
        <w:rPr>
          <w:rFonts w:cs="Times New Roman"/>
          <w:sz w:val="24"/>
          <w:szCs w:val="24"/>
        </w:rPr>
        <w:t>s deadweight and above but less than 5,000 ton</w:t>
      </w:r>
      <w:r w:rsidR="005A5B32" w:rsidRPr="0001617C">
        <w:rPr>
          <w:rFonts w:cs="Times New Roman"/>
          <w:sz w:val="24"/>
          <w:szCs w:val="24"/>
        </w:rPr>
        <w:t>ne</w:t>
      </w:r>
      <w:r w:rsidRPr="0001617C">
        <w:rPr>
          <w:rFonts w:cs="Times New Roman"/>
          <w:sz w:val="24"/>
          <w:szCs w:val="24"/>
        </w:rPr>
        <w:t>s, at the latest on the anniversary of the date of delivery</w:t>
      </w:r>
      <w:r w:rsidR="00EE5060" w:rsidRPr="0001617C">
        <w:rPr>
          <w:rFonts w:cs="Times New Roman"/>
          <w:sz w:val="24"/>
          <w:szCs w:val="24"/>
        </w:rPr>
        <w:t xml:space="preserve"> of the ship</w:t>
      </w:r>
      <w:r w:rsidRPr="0001617C">
        <w:rPr>
          <w:rFonts w:cs="Times New Roman"/>
          <w:sz w:val="24"/>
          <w:szCs w:val="24"/>
        </w:rPr>
        <w:t xml:space="preserve"> in 2008</w:t>
      </w:r>
      <w:r w:rsidR="00DC19CE" w:rsidRPr="0001617C">
        <w:rPr>
          <w:rFonts w:cs="Times New Roman"/>
          <w:sz w:val="24"/>
          <w:szCs w:val="24"/>
        </w:rPr>
        <w:t>.</w:t>
      </w:r>
      <w:r w:rsidRPr="0001617C">
        <w:rPr>
          <w:rStyle w:val="Refdenotaalpie"/>
          <w:rFonts w:cs="Times New Roman"/>
          <w:sz w:val="24"/>
          <w:szCs w:val="24"/>
        </w:rPr>
        <w:footnoteReference w:id="36"/>
      </w:r>
      <w:r w:rsidRPr="0001617C">
        <w:rPr>
          <w:rFonts w:cs="Times New Roman"/>
          <w:sz w:val="24"/>
          <w:szCs w:val="24"/>
        </w:rPr>
        <w:t xml:space="preserve"> </w:t>
      </w:r>
    </w:p>
    <w:p w14:paraId="2E9502D6" w14:textId="374A6126" w:rsidR="00E23A92" w:rsidRPr="0001617C" w:rsidRDefault="00BB539D">
      <w:pPr>
        <w:pStyle w:val="Textonotapie"/>
        <w:spacing w:before="120" w:after="120"/>
        <w:jc w:val="both"/>
        <w:rPr>
          <w:rFonts w:cs="Times New Roman"/>
          <w:sz w:val="24"/>
          <w:szCs w:val="24"/>
        </w:rPr>
      </w:pPr>
      <w:r w:rsidRPr="0001617C">
        <w:rPr>
          <w:rFonts w:cs="Times New Roman"/>
          <w:sz w:val="24"/>
          <w:szCs w:val="24"/>
        </w:rPr>
        <w:t xml:space="preserve">Secondly, in view of the inadequacy of the legal system of limitation of liability consisting of the 1992 Civil Liability Convention and the 1992 Tanker Disaster Fund Convention, some States adopt the Protocol </w:t>
      </w:r>
      <w:r w:rsidR="00030E0C" w:rsidRPr="0001617C">
        <w:rPr>
          <w:rFonts w:cs="Times New Roman"/>
          <w:sz w:val="24"/>
          <w:szCs w:val="24"/>
        </w:rPr>
        <w:t xml:space="preserve">of 2003 </w:t>
      </w:r>
      <w:r w:rsidRPr="0001617C">
        <w:rPr>
          <w:rFonts w:cs="Times New Roman"/>
          <w:sz w:val="24"/>
          <w:szCs w:val="24"/>
        </w:rPr>
        <w:t xml:space="preserve">to the International Convention on the Establishment of an International </w:t>
      </w:r>
      <w:r w:rsidR="00030E0C" w:rsidRPr="0001617C">
        <w:rPr>
          <w:rFonts w:cs="Times New Roman"/>
          <w:sz w:val="24"/>
          <w:szCs w:val="24"/>
        </w:rPr>
        <w:t xml:space="preserve">Fund for Compensation for </w:t>
      </w:r>
      <w:r w:rsidRPr="0001617C">
        <w:rPr>
          <w:rFonts w:cs="Times New Roman"/>
          <w:sz w:val="24"/>
          <w:szCs w:val="24"/>
        </w:rPr>
        <w:t xml:space="preserve">Oil Pollution </w:t>
      </w:r>
      <w:r w:rsidR="00030E0C" w:rsidRPr="0001617C">
        <w:rPr>
          <w:rFonts w:cs="Times New Roman"/>
          <w:sz w:val="24"/>
          <w:szCs w:val="24"/>
        </w:rPr>
        <w:t>Damage</w:t>
      </w:r>
      <w:r w:rsidRPr="0001617C">
        <w:rPr>
          <w:rFonts w:cs="Times New Roman"/>
          <w:sz w:val="24"/>
          <w:szCs w:val="24"/>
        </w:rPr>
        <w:t xml:space="preserve">, 1992, </w:t>
      </w:r>
      <w:r w:rsidR="00030E0C" w:rsidRPr="0001617C">
        <w:rPr>
          <w:rFonts w:cs="Times New Roman"/>
          <w:sz w:val="24"/>
          <w:szCs w:val="24"/>
        </w:rPr>
        <w:t>signed in</w:t>
      </w:r>
      <w:r w:rsidRPr="0001617C">
        <w:rPr>
          <w:rFonts w:cs="Times New Roman"/>
          <w:sz w:val="24"/>
          <w:szCs w:val="24"/>
        </w:rPr>
        <w:t xml:space="preserve"> London on 16 May 2003,</w:t>
      </w:r>
      <w:r w:rsidR="00030E0C" w:rsidRPr="0001617C">
        <w:rPr>
          <w:rFonts w:cs="Times New Roman"/>
          <w:sz w:val="24"/>
          <w:szCs w:val="24"/>
        </w:rPr>
        <w:t xml:space="preserve"> and</w:t>
      </w:r>
      <w:r w:rsidRPr="0001617C">
        <w:rPr>
          <w:rFonts w:cs="Times New Roman"/>
          <w:sz w:val="24"/>
          <w:szCs w:val="24"/>
        </w:rPr>
        <w:t xml:space="preserve"> to which Spain is a party</w:t>
      </w:r>
      <w:r w:rsidR="00030E0C" w:rsidRPr="0001617C">
        <w:rPr>
          <w:rFonts w:cs="Times New Roman"/>
          <w:sz w:val="24"/>
          <w:szCs w:val="24"/>
        </w:rPr>
        <w:t>.</w:t>
      </w:r>
      <w:r w:rsidRPr="0001617C">
        <w:rPr>
          <w:rStyle w:val="Refdenotaalpie"/>
          <w:rFonts w:cs="Times New Roman"/>
          <w:sz w:val="24"/>
          <w:szCs w:val="24"/>
        </w:rPr>
        <w:footnoteReference w:id="37"/>
      </w:r>
      <w:r w:rsidR="00030E0C" w:rsidRPr="0001617C">
        <w:rPr>
          <w:rFonts w:cs="Times New Roman"/>
          <w:sz w:val="24"/>
          <w:szCs w:val="24"/>
        </w:rPr>
        <w:t xml:space="preserve"> </w:t>
      </w:r>
      <w:r w:rsidRPr="0001617C">
        <w:rPr>
          <w:rFonts w:cs="Times New Roman"/>
          <w:sz w:val="24"/>
          <w:szCs w:val="24"/>
        </w:rPr>
        <w:t xml:space="preserve">This Supplementary Fund Protocol provides a </w:t>
      </w:r>
      <w:r w:rsidRPr="0001617C">
        <w:rPr>
          <w:rFonts w:cs="Times New Roman"/>
          <w:i/>
          <w:iCs/>
          <w:sz w:val="24"/>
          <w:szCs w:val="24"/>
        </w:rPr>
        <w:t xml:space="preserve">third tier of compensation </w:t>
      </w:r>
      <w:r w:rsidRPr="0001617C">
        <w:rPr>
          <w:rFonts w:cs="Times New Roman"/>
          <w:sz w:val="24"/>
          <w:szCs w:val="24"/>
        </w:rPr>
        <w:t>by establishing an International Oil Pollution Compensation Supplementary Fund (</w:t>
      </w:r>
      <w:r w:rsidR="00A63C2B" w:rsidRPr="0001617C">
        <w:rPr>
          <w:rFonts w:cs="Times New Roman"/>
          <w:sz w:val="24"/>
          <w:szCs w:val="24"/>
        </w:rPr>
        <w:t xml:space="preserve">the </w:t>
      </w:r>
      <w:r w:rsidRPr="0001617C">
        <w:rPr>
          <w:rFonts w:cs="Times New Roman"/>
          <w:sz w:val="24"/>
          <w:szCs w:val="24"/>
        </w:rPr>
        <w:t xml:space="preserve">Supplementary </w:t>
      </w:r>
      <w:r w:rsidRPr="0001617C">
        <w:rPr>
          <w:rFonts w:cs="Times New Roman"/>
          <w:sz w:val="24"/>
          <w:szCs w:val="24"/>
        </w:rPr>
        <w:lastRenderedPageBreak/>
        <w:t xml:space="preserve">Fund). Membership of the Supplementary Fund is optional and open to any State which is a Member of the 1992 Fund. The maximum amount payable for any one incident is 750 million </w:t>
      </w:r>
      <w:r w:rsidR="00AD13B0" w:rsidRPr="0001617C">
        <w:rPr>
          <w:rFonts w:cs="Times New Roman"/>
          <w:sz w:val="24"/>
          <w:szCs w:val="24"/>
        </w:rPr>
        <w:t>units of account</w:t>
      </w:r>
      <w:r w:rsidRPr="0001617C">
        <w:rPr>
          <w:rFonts w:cs="Times New Roman"/>
          <w:sz w:val="24"/>
          <w:szCs w:val="24"/>
        </w:rPr>
        <w:t>, including the amount payable under the 1992 Civil Liability Convention and the 1992 Fund Convention. The Supplementary Fund is financed in a similar way to the 1992 Fund, by contributions from State</w:t>
      </w:r>
      <w:r w:rsidR="008016DA" w:rsidRPr="0001617C">
        <w:rPr>
          <w:rFonts w:cs="Times New Roman"/>
          <w:sz w:val="24"/>
          <w:szCs w:val="24"/>
        </w:rPr>
        <w:t>s</w:t>
      </w:r>
      <w:r w:rsidRPr="0001617C">
        <w:rPr>
          <w:rFonts w:cs="Times New Roman"/>
          <w:sz w:val="24"/>
          <w:szCs w:val="24"/>
        </w:rPr>
        <w:t xml:space="preserve"> Parties based on the import of oil into their territory. The Protocol entered into force on 3 March 2005 and applies to incidents occurring on or after that date. Since its establishment, it has not been used. </w:t>
      </w:r>
    </w:p>
    <w:p w14:paraId="387E9A6C" w14:textId="7C0CA895" w:rsidR="00E23A92" w:rsidRPr="0001617C" w:rsidRDefault="00BB539D">
      <w:pPr>
        <w:pStyle w:val="Textonotapie"/>
        <w:spacing w:before="120" w:after="120"/>
        <w:jc w:val="both"/>
        <w:rPr>
          <w:rFonts w:cs="Times New Roman"/>
          <w:sz w:val="24"/>
          <w:szCs w:val="24"/>
        </w:rPr>
      </w:pPr>
      <w:r w:rsidRPr="0001617C">
        <w:rPr>
          <w:rFonts w:cs="Times New Roman"/>
          <w:sz w:val="24"/>
          <w:szCs w:val="24"/>
        </w:rPr>
        <w:t xml:space="preserve">Statistics published by the International Oil Pollution Compensation Fund (IOPC Fund) </w:t>
      </w:r>
      <w:bookmarkStart w:id="10" w:name="_Hlk138226883"/>
      <w:bookmarkEnd w:id="10"/>
      <w:r w:rsidRPr="0001617C">
        <w:rPr>
          <w:rFonts w:cs="Times New Roman"/>
          <w:sz w:val="24"/>
          <w:szCs w:val="24"/>
        </w:rPr>
        <w:t xml:space="preserve">show that since </w:t>
      </w:r>
      <w:r w:rsidR="00DC1D93" w:rsidRPr="0001617C">
        <w:rPr>
          <w:rFonts w:cs="Times New Roman"/>
          <w:i/>
          <w:iCs/>
          <w:sz w:val="24"/>
          <w:szCs w:val="24"/>
        </w:rPr>
        <w:t>T</w:t>
      </w:r>
      <w:r w:rsidRPr="0001617C">
        <w:rPr>
          <w:rFonts w:cs="Times New Roman"/>
          <w:i/>
          <w:iCs/>
          <w:sz w:val="24"/>
          <w:szCs w:val="24"/>
        </w:rPr>
        <w:t>he Prestige</w:t>
      </w:r>
      <w:r w:rsidRPr="0001617C">
        <w:rPr>
          <w:rFonts w:cs="Times New Roman"/>
          <w:sz w:val="24"/>
          <w:szCs w:val="24"/>
        </w:rPr>
        <w:t xml:space="preserve"> incident there </w:t>
      </w:r>
      <w:r w:rsidR="00DC1D93" w:rsidRPr="0001617C">
        <w:rPr>
          <w:rFonts w:cs="Times New Roman"/>
          <w:sz w:val="24"/>
          <w:szCs w:val="24"/>
        </w:rPr>
        <w:t>have been no</w:t>
      </w:r>
      <w:r w:rsidRPr="0001617C">
        <w:rPr>
          <w:rFonts w:cs="Times New Roman"/>
          <w:sz w:val="24"/>
          <w:szCs w:val="24"/>
        </w:rPr>
        <w:t xml:space="preserve"> spill</w:t>
      </w:r>
      <w:r w:rsidR="00DC1D93" w:rsidRPr="0001617C">
        <w:rPr>
          <w:rFonts w:cs="Times New Roman"/>
          <w:sz w:val="24"/>
          <w:szCs w:val="24"/>
        </w:rPr>
        <w:t>s</w:t>
      </w:r>
      <w:r w:rsidRPr="0001617C">
        <w:rPr>
          <w:rFonts w:cs="Times New Roman"/>
          <w:sz w:val="24"/>
          <w:szCs w:val="24"/>
        </w:rPr>
        <w:t xml:space="preserve"> of a similar catastrophic nature. </w:t>
      </w:r>
      <w:r w:rsidR="006246A2" w:rsidRPr="0001617C">
        <w:rPr>
          <w:rFonts w:cs="Times New Roman"/>
          <w:sz w:val="24"/>
          <w:szCs w:val="24"/>
        </w:rPr>
        <w:t>T</w:t>
      </w:r>
      <w:r w:rsidRPr="0001617C">
        <w:rPr>
          <w:rFonts w:cs="Times New Roman"/>
          <w:sz w:val="24"/>
          <w:szCs w:val="24"/>
        </w:rPr>
        <w:t>he incidents in which the IOPC Fund has been involved</w:t>
      </w:r>
      <w:r w:rsidR="006246A2" w:rsidRPr="0001617C">
        <w:rPr>
          <w:rFonts w:cs="Times New Roman"/>
          <w:sz w:val="24"/>
          <w:szCs w:val="24"/>
        </w:rPr>
        <w:t xml:space="preserve"> have related to </w:t>
      </w:r>
      <w:r w:rsidRPr="0001617C">
        <w:rPr>
          <w:rFonts w:cs="Times New Roman"/>
          <w:sz w:val="24"/>
          <w:szCs w:val="24"/>
        </w:rPr>
        <w:t xml:space="preserve">spills of less than 1,000 tonnes of oil, compared to the 63,000 tonnes spilled by </w:t>
      </w:r>
      <w:r w:rsidR="006246A2" w:rsidRPr="0001617C">
        <w:rPr>
          <w:rFonts w:cs="Times New Roman"/>
          <w:i/>
          <w:iCs/>
          <w:sz w:val="24"/>
          <w:szCs w:val="24"/>
        </w:rPr>
        <w:t>T</w:t>
      </w:r>
      <w:r w:rsidRPr="0001617C">
        <w:rPr>
          <w:rFonts w:cs="Times New Roman"/>
          <w:i/>
          <w:iCs/>
          <w:sz w:val="24"/>
          <w:szCs w:val="24"/>
        </w:rPr>
        <w:t>he Prestige</w:t>
      </w:r>
      <w:r w:rsidR="00B7092B" w:rsidRPr="0001617C">
        <w:rPr>
          <w:rFonts w:cs="Times New Roman"/>
          <w:i/>
          <w:iCs/>
          <w:sz w:val="24"/>
          <w:szCs w:val="24"/>
        </w:rPr>
        <w:t>.</w:t>
      </w:r>
      <w:r w:rsidRPr="0001617C">
        <w:rPr>
          <w:rStyle w:val="Refdenotaalpie"/>
          <w:rFonts w:cs="Times New Roman"/>
          <w:sz w:val="24"/>
          <w:szCs w:val="24"/>
        </w:rPr>
        <w:footnoteReference w:id="38"/>
      </w:r>
      <w:r w:rsidRPr="0001617C">
        <w:rPr>
          <w:rFonts w:cs="Times New Roman"/>
          <w:sz w:val="24"/>
          <w:szCs w:val="24"/>
        </w:rPr>
        <w:t xml:space="preserve"> </w:t>
      </w:r>
      <w:r w:rsidR="006847CF" w:rsidRPr="0001617C">
        <w:rPr>
          <w:rFonts w:cs="Times New Roman"/>
          <w:sz w:val="24"/>
          <w:szCs w:val="24"/>
        </w:rPr>
        <w:t xml:space="preserve">If another </w:t>
      </w:r>
      <w:r w:rsidR="00210569" w:rsidRPr="0001617C">
        <w:rPr>
          <w:rFonts w:cs="Times New Roman"/>
          <w:sz w:val="24"/>
          <w:szCs w:val="24"/>
        </w:rPr>
        <w:t xml:space="preserve">incident similar to </w:t>
      </w:r>
      <w:r w:rsidR="00DB43DC" w:rsidRPr="0001617C">
        <w:rPr>
          <w:rFonts w:cs="Times New Roman"/>
          <w:i/>
          <w:iCs/>
          <w:sz w:val="24"/>
          <w:szCs w:val="24"/>
        </w:rPr>
        <w:t>The Prestige</w:t>
      </w:r>
      <w:r w:rsidR="00210569" w:rsidRPr="0001617C">
        <w:rPr>
          <w:rFonts w:cs="Times New Roman"/>
          <w:sz w:val="24"/>
          <w:szCs w:val="24"/>
        </w:rPr>
        <w:t xml:space="preserve"> </w:t>
      </w:r>
      <w:r w:rsidR="006847CF" w:rsidRPr="0001617C">
        <w:rPr>
          <w:rFonts w:cs="Times New Roman"/>
          <w:sz w:val="24"/>
          <w:szCs w:val="24"/>
        </w:rPr>
        <w:t xml:space="preserve">were to occur again, the civil liability insurer would enjoy the same limits of compensation under the 1992 Civil Liability Convention. The </w:t>
      </w:r>
      <w:r w:rsidR="00A84CAD" w:rsidRPr="0001617C">
        <w:rPr>
          <w:rFonts w:cs="Times New Roman"/>
          <w:sz w:val="24"/>
          <w:szCs w:val="24"/>
        </w:rPr>
        <w:t xml:space="preserve">same would apply to </w:t>
      </w:r>
      <w:r w:rsidR="00210569" w:rsidRPr="0001617C">
        <w:rPr>
          <w:rFonts w:cs="Times New Roman"/>
          <w:sz w:val="24"/>
          <w:szCs w:val="24"/>
        </w:rPr>
        <w:t>the IOPC Fund</w:t>
      </w:r>
      <w:r w:rsidR="00A84CAD" w:rsidRPr="0001617C">
        <w:rPr>
          <w:rFonts w:cs="Times New Roman"/>
          <w:sz w:val="24"/>
          <w:szCs w:val="24"/>
        </w:rPr>
        <w:t xml:space="preserve">. The difference is the validity of the </w:t>
      </w:r>
      <w:r w:rsidRPr="0001617C">
        <w:rPr>
          <w:rFonts w:cs="Times New Roman"/>
          <w:sz w:val="24"/>
          <w:szCs w:val="24"/>
        </w:rPr>
        <w:t xml:space="preserve">above-mentioned </w:t>
      </w:r>
      <w:r w:rsidR="0022417E" w:rsidRPr="0001617C">
        <w:rPr>
          <w:rFonts w:cs="Times New Roman"/>
          <w:sz w:val="24"/>
          <w:szCs w:val="24"/>
        </w:rPr>
        <w:t xml:space="preserve">2003 </w:t>
      </w:r>
      <w:r w:rsidR="00A84CAD" w:rsidRPr="0001617C">
        <w:rPr>
          <w:rFonts w:cs="Times New Roman"/>
          <w:sz w:val="24"/>
          <w:szCs w:val="24"/>
        </w:rPr>
        <w:t xml:space="preserve">Supplementary Fund, which should not yet have been used, as there has not been a maritime disaster in the States Parties. </w:t>
      </w:r>
    </w:p>
    <w:p w14:paraId="7D0519D4" w14:textId="65BC52AA" w:rsidR="00E23A92" w:rsidRPr="0001617C" w:rsidRDefault="00BB539D">
      <w:pPr>
        <w:pStyle w:val="Textonotapie"/>
        <w:spacing w:before="120" w:after="120"/>
        <w:jc w:val="both"/>
        <w:rPr>
          <w:rFonts w:cs="Times New Roman"/>
          <w:sz w:val="24"/>
          <w:szCs w:val="24"/>
        </w:rPr>
      </w:pPr>
      <w:r w:rsidRPr="0001617C">
        <w:rPr>
          <w:rFonts w:cs="Times New Roman"/>
          <w:sz w:val="24"/>
          <w:szCs w:val="24"/>
        </w:rPr>
        <w:t xml:space="preserve">However, if this Supplementary Fund had been in force at the time of </w:t>
      </w:r>
      <w:r w:rsidR="00DB43DC" w:rsidRPr="0001617C">
        <w:rPr>
          <w:rFonts w:cs="Times New Roman"/>
          <w:i/>
          <w:iCs/>
          <w:sz w:val="24"/>
          <w:szCs w:val="24"/>
        </w:rPr>
        <w:t>The Prestige</w:t>
      </w:r>
      <w:r w:rsidRPr="0001617C">
        <w:rPr>
          <w:rFonts w:cs="Times New Roman"/>
          <w:sz w:val="24"/>
          <w:szCs w:val="24"/>
        </w:rPr>
        <w:t xml:space="preserve"> incident, it would not have </w:t>
      </w:r>
      <w:r w:rsidR="006278D0" w:rsidRPr="0001617C">
        <w:rPr>
          <w:rFonts w:cs="Times New Roman"/>
          <w:sz w:val="24"/>
          <w:szCs w:val="24"/>
        </w:rPr>
        <w:t>allowed for</w:t>
      </w:r>
      <w:r w:rsidRPr="0001617C">
        <w:rPr>
          <w:rFonts w:cs="Times New Roman"/>
          <w:sz w:val="24"/>
          <w:szCs w:val="24"/>
        </w:rPr>
        <w:t xml:space="preserve"> </w:t>
      </w:r>
      <w:r w:rsidRPr="0001617C">
        <w:rPr>
          <w:rFonts w:cs="Times New Roman"/>
          <w:i/>
          <w:iCs/>
          <w:sz w:val="24"/>
          <w:szCs w:val="24"/>
        </w:rPr>
        <w:t xml:space="preserve">restitutio in integrum </w:t>
      </w:r>
      <w:r w:rsidRPr="0001617C">
        <w:rPr>
          <w:rFonts w:cs="Times New Roman"/>
          <w:sz w:val="24"/>
          <w:szCs w:val="24"/>
        </w:rPr>
        <w:t xml:space="preserve">either, as it was insufficient. The Supplementary Fund covers up to 750 million units of account which, at the current exchange rate for Special Drawing Rights, is some EUR 915 million. Compare this with the damage of more than </w:t>
      </w:r>
      <w:r w:rsidR="006637AD" w:rsidRPr="0001617C">
        <w:rPr>
          <w:rFonts w:cs="Times New Roman"/>
          <w:sz w:val="24"/>
          <w:szCs w:val="24"/>
        </w:rPr>
        <w:t xml:space="preserve">EUR </w:t>
      </w:r>
      <w:r w:rsidRPr="0001617C">
        <w:rPr>
          <w:rFonts w:cs="Times New Roman"/>
          <w:sz w:val="24"/>
          <w:szCs w:val="24"/>
        </w:rPr>
        <w:t xml:space="preserve">2.5 billion in </w:t>
      </w:r>
      <w:r w:rsidR="00DB43DC" w:rsidRPr="0001617C">
        <w:rPr>
          <w:rFonts w:cs="Times New Roman"/>
          <w:i/>
          <w:iCs/>
          <w:sz w:val="24"/>
          <w:szCs w:val="24"/>
        </w:rPr>
        <w:t>The Prestige</w:t>
      </w:r>
      <w:r w:rsidRPr="0001617C">
        <w:rPr>
          <w:rFonts w:cs="Times New Roman"/>
          <w:sz w:val="24"/>
          <w:szCs w:val="24"/>
        </w:rPr>
        <w:t xml:space="preserve"> incident and you will see that the </w:t>
      </w:r>
      <w:r w:rsidR="00210569" w:rsidRPr="0001617C">
        <w:rPr>
          <w:rFonts w:cs="Times New Roman"/>
          <w:sz w:val="24"/>
          <w:szCs w:val="24"/>
        </w:rPr>
        <w:t xml:space="preserve">international </w:t>
      </w:r>
      <w:r w:rsidRPr="0001617C">
        <w:rPr>
          <w:rFonts w:cs="Times New Roman"/>
          <w:sz w:val="24"/>
          <w:szCs w:val="24"/>
        </w:rPr>
        <w:t xml:space="preserve">legal system </w:t>
      </w:r>
      <w:r w:rsidR="00533FD0" w:rsidRPr="0001617C">
        <w:rPr>
          <w:rFonts w:cs="Times New Roman"/>
          <w:sz w:val="24"/>
          <w:szCs w:val="24"/>
        </w:rPr>
        <w:t xml:space="preserve">does NOT </w:t>
      </w:r>
      <w:r w:rsidRPr="0001617C">
        <w:rPr>
          <w:rFonts w:cs="Times New Roman"/>
          <w:sz w:val="24"/>
          <w:szCs w:val="24"/>
        </w:rPr>
        <w:t xml:space="preserve">offer </w:t>
      </w:r>
      <w:r w:rsidR="00533FD0" w:rsidRPr="0001617C">
        <w:rPr>
          <w:rFonts w:cs="Times New Roman"/>
          <w:sz w:val="24"/>
          <w:szCs w:val="24"/>
        </w:rPr>
        <w:t>any</w:t>
      </w:r>
      <w:r w:rsidRPr="0001617C">
        <w:rPr>
          <w:rFonts w:cs="Times New Roman"/>
          <w:sz w:val="24"/>
          <w:szCs w:val="24"/>
        </w:rPr>
        <w:t xml:space="preserve"> way of providing full compensation. </w:t>
      </w:r>
    </w:p>
    <w:p w14:paraId="47BCE203" w14:textId="6EC44472" w:rsidR="00E23A92" w:rsidRPr="0001617C" w:rsidRDefault="00BB539D">
      <w:pPr>
        <w:pStyle w:val="Textonotapie"/>
        <w:spacing w:before="120" w:after="120"/>
        <w:jc w:val="both"/>
        <w:rPr>
          <w:rFonts w:cs="Times New Roman"/>
          <w:sz w:val="24"/>
          <w:szCs w:val="24"/>
        </w:rPr>
      </w:pPr>
      <w:r w:rsidRPr="0001617C">
        <w:rPr>
          <w:rFonts w:cs="Times New Roman"/>
          <w:sz w:val="24"/>
          <w:szCs w:val="24"/>
        </w:rPr>
        <w:t xml:space="preserve">Those affected in States not party to the 2003 Supplementary Fund are worse off. The amount of compensation payable by </w:t>
      </w:r>
      <w:r w:rsidR="00210569" w:rsidRPr="0001617C">
        <w:rPr>
          <w:rFonts w:cs="Times New Roman"/>
          <w:sz w:val="24"/>
          <w:szCs w:val="24"/>
        </w:rPr>
        <w:t xml:space="preserve">the IOPC Fund </w:t>
      </w:r>
      <w:r w:rsidRPr="0001617C">
        <w:rPr>
          <w:rFonts w:cs="Times New Roman"/>
          <w:sz w:val="24"/>
          <w:szCs w:val="24"/>
        </w:rPr>
        <w:t xml:space="preserve">will be higher if a maritime disaster affects the waters of a State signatory to the Supplementary Fund. </w:t>
      </w:r>
      <w:r w:rsidR="006C4E7D" w:rsidRPr="0001617C">
        <w:rPr>
          <w:rFonts w:cs="Times New Roman"/>
          <w:sz w:val="24"/>
          <w:szCs w:val="24"/>
        </w:rPr>
        <w:t>However, i</w:t>
      </w:r>
      <w:r w:rsidRPr="0001617C">
        <w:rPr>
          <w:rFonts w:cs="Times New Roman"/>
          <w:sz w:val="24"/>
          <w:szCs w:val="24"/>
        </w:rPr>
        <w:t xml:space="preserve">n the event that the State is not a party to the Supplementary Fund, but is a party to the 1992 Fund, for the same maritime disaster in its waters, the compensation payable by the IOPC Fund will be significantly less, as was the case for </w:t>
      </w:r>
      <w:r w:rsidR="00777575" w:rsidRPr="0001617C">
        <w:rPr>
          <w:rFonts w:cs="Times New Roman"/>
          <w:i/>
          <w:iCs/>
          <w:sz w:val="24"/>
          <w:szCs w:val="24"/>
        </w:rPr>
        <w:t>T</w:t>
      </w:r>
      <w:r w:rsidRPr="0001617C">
        <w:rPr>
          <w:rFonts w:cs="Times New Roman"/>
          <w:i/>
          <w:iCs/>
          <w:sz w:val="24"/>
          <w:szCs w:val="24"/>
        </w:rPr>
        <w:t>he Prestige</w:t>
      </w:r>
      <w:r w:rsidRPr="0001617C">
        <w:rPr>
          <w:rFonts w:cs="Times New Roman"/>
          <w:sz w:val="24"/>
          <w:szCs w:val="24"/>
        </w:rPr>
        <w:t xml:space="preserve"> </w:t>
      </w:r>
      <w:r w:rsidR="00777575" w:rsidRPr="0001617C">
        <w:rPr>
          <w:rFonts w:cs="Times New Roman"/>
          <w:sz w:val="24"/>
          <w:szCs w:val="24"/>
        </w:rPr>
        <w:t>incident</w:t>
      </w:r>
      <w:r w:rsidRPr="0001617C">
        <w:rPr>
          <w:rFonts w:cs="Times New Roman"/>
          <w:sz w:val="24"/>
          <w:szCs w:val="24"/>
        </w:rPr>
        <w:t xml:space="preserve"> when the Supplementary Fund was not in force.</w:t>
      </w:r>
    </w:p>
    <w:p w14:paraId="34375AA4" w14:textId="77777777" w:rsidR="00E23A92" w:rsidRPr="0001617C" w:rsidRDefault="00047FDA">
      <w:pPr>
        <w:pStyle w:val="Textonotapie"/>
        <w:spacing w:before="120" w:after="120"/>
        <w:jc w:val="both"/>
        <w:rPr>
          <w:rFonts w:cs="Times New Roman"/>
          <w:sz w:val="24"/>
          <w:szCs w:val="24"/>
        </w:rPr>
      </w:pPr>
      <w:r w:rsidRPr="0001617C">
        <w:rPr>
          <w:rFonts w:cs="Times New Roman"/>
          <w:sz w:val="24"/>
          <w:szCs w:val="24"/>
        </w:rPr>
        <w:t>The unlimited liability of the master of the ship or of companies owning tankers (many have the ship as their only assets and operate under flags of convenience</w:t>
      </w:r>
      <w:r w:rsidR="00775F2E" w:rsidRPr="0001617C">
        <w:rPr>
          <w:rFonts w:cs="Times New Roman"/>
          <w:sz w:val="24"/>
          <w:szCs w:val="24"/>
        </w:rPr>
        <w:t>, so that they are dissolved after the incident) makes it illusory that compensation will be paid, even if there are court rulings to this effect</w:t>
      </w:r>
      <w:r w:rsidRPr="0001617C">
        <w:rPr>
          <w:rFonts w:cs="Times New Roman"/>
          <w:sz w:val="24"/>
          <w:szCs w:val="24"/>
        </w:rPr>
        <w:t xml:space="preserve">. </w:t>
      </w:r>
    </w:p>
    <w:p w14:paraId="3292E0A7" w14:textId="77777777" w:rsidR="00EB7B02" w:rsidRPr="0001617C" w:rsidRDefault="00EB7B02" w:rsidP="00047FDA">
      <w:pPr>
        <w:pStyle w:val="Textonotapie"/>
        <w:spacing w:before="120" w:after="120"/>
        <w:jc w:val="both"/>
        <w:rPr>
          <w:rFonts w:cs="Times New Roman"/>
          <w:sz w:val="24"/>
          <w:szCs w:val="24"/>
        </w:rPr>
      </w:pPr>
    </w:p>
    <w:bookmarkEnd w:id="0"/>
    <w:bookmarkEnd w:id="1"/>
    <w:bookmarkEnd w:id="9"/>
    <w:p w14:paraId="651767CC" w14:textId="77777777" w:rsidR="004C702B" w:rsidRPr="0001617C" w:rsidRDefault="004C702B" w:rsidP="00E17EC6">
      <w:pPr>
        <w:pStyle w:val="Textonotapie"/>
        <w:spacing w:before="120" w:after="120"/>
        <w:jc w:val="both"/>
        <w:rPr>
          <w:rFonts w:cs="Times New Roman"/>
          <w:sz w:val="24"/>
          <w:szCs w:val="24"/>
        </w:rPr>
      </w:pPr>
    </w:p>
    <w:bookmarkEnd w:id="2"/>
    <w:p w14:paraId="7AE47321" w14:textId="77777777" w:rsidR="006B4061" w:rsidRPr="0001617C" w:rsidRDefault="006B4061">
      <w:pPr>
        <w:pStyle w:val="Textonotapie"/>
        <w:spacing w:before="120" w:after="120"/>
        <w:jc w:val="both"/>
        <w:rPr>
          <w:rFonts w:cs="Times New Roman"/>
          <w:sz w:val="24"/>
          <w:szCs w:val="24"/>
        </w:rPr>
      </w:pPr>
    </w:p>
    <w:sectPr w:rsidR="006B4061" w:rsidRPr="0001617C" w:rsidSect="00C92CC1">
      <w:foot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E2C09C" w14:textId="77777777" w:rsidR="00FF5449" w:rsidRDefault="00FF5449" w:rsidP="000624AB">
      <w:pPr>
        <w:spacing w:after="0" w:line="240" w:lineRule="auto"/>
      </w:pPr>
      <w:r>
        <w:separator/>
      </w:r>
    </w:p>
  </w:endnote>
  <w:endnote w:type="continuationSeparator" w:id="0">
    <w:p w14:paraId="4C1EB73D" w14:textId="77777777" w:rsidR="00FF5449" w:rsidRDefault="00FF5449" w:rsidP="000624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7673072"/>
      <w:docPartObj>
        <w:docPartGallery w:val="Page Numbers (Bottom of Page)"/>
        <w:docPartUnique/>
      </w:docPartObj>
    </w:sdtPr>
    <w:sdtContent>
      <w:p w14:paraId="082C2458" w14:textId="77777777" w:rsidR="00E23A92" w:rsidRDefault="00BB539D">
        <w:pPr>
          <w:pStyle w:val="Piedepgina"/>
          <w:jc w:val="center"/>
        </w:pPr>
        <w:r>
          <w:fldChar w:fldCharType="begin"/>
        </w:r>
        <w:r>
          <w:instrText>PAGE   \* MERGEFORMAT</w:instrText>
        </w:r>
        <w:r>
          <w:fldChar w:fldCharType="separate"/>
        </w:r>
        <w:r w:rsidR="00F92C14" w:rsidRPr="00F92C14">
          <w:rPr>
            <w:noProof/>
            <w:lang w:val="ca-ES"/>
          </w:rPr>
          <w:t>2</w:t>
        </w:r>
        <w:r>
          <w:fldChar w:fldCharType="end"/>
        </w:r>
      </w:p>
    </w:sdtContent>
  </w:sdt>
  <w:p w14:paraId="00500C38" w14:textId="77777777" w:rsidR="00797A19" w:rsidRDefault="00797A1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0D2E4" w14:textId="77777777" w:rsidR="00FF5449" w:rsidRDefault="00FF5449" w:rsidP="000624AB">
      <w:pPr>
        <w:spacing w:after="0" w:line="240" w:lineRule="auto"/>
      </w:pPr>
      <w:r>
        <w:separator/>
      </w:r>
    </w:p>
  </w:footnote>
  <w:footnote w:type="continuationSeparator" w:id="0">
    <w:p w14:paraId="38B89B40" w14:textId="77777777" w:rsidR="00FF5449" w:rsidRDefault="00FF5449" w:rsidP="000624AB">
      <w:pPr>
        <w:spacing w:after="0" w:line="240" w:lineRule="auto"/>
      </w:pPr>
      <w:r>
        <w:continuationSeparator/>
      </w:r>
    </w:p>
  </w:footnote>
  <w:footnote w:id="1">
    <w:p w14:paraId="207AEB9C" w14:textId="4D692D8D" w:rsidR="00E23A92" w:rsidRPr="0001617C" w:rsidRDefault="00BB539D" w:rsidP="00523589">
      <w:pPr>
        <w:pStyle w:val="Textonotapie"/>
        <w:spacing w:before="120" w:after="120"/>
        <w:jc w:val="both"/>
      </w:pPr>
      <w:r w:rsidRPr="00B43C4B">
        <w:rPr>
          <w:rStyle w:val="Refdenotaalpie"/>
        </w:rPr>
        <w:footnoteRef/>
      </w:r>
      <w:r w:rsidRPr="00D97B0D">
        <w:rPr>
          <w:lang w:val="en-US"/>
        </w:rPr>
        <w:t xml:space="preserve"> </w:t>
      </w:r>
      <w:r w:rsidRPr="0001617C">
        <w:t xml:space="preserve">The claim against the classification society of </w:t>
      </w:r>
      <w:r w:rsidR="00A52563" w:rsidRPr="00A52563">
        <w:rPr>
          <w:i/>
          <w:iCs/>
        </w:rPr>
        <w:t>T</w:t>
      </w:r>
      <w:r w:rsidRPr="00A52563">
        <w:rPr>
          <w:i/>
          <w:iCs/>
        </w:rPr>
        <w:t>he Prestige</w:t>
      </w:r>
      <w:r w:rsidRPr="0001617C">
        <w:t>, American Bureau Shipping</w:t>
      </w:r>
      <w:r w:rsidR="00CD0FC3">
        <w:t xml:space="preserve"> (</w:t>
      </w:r>
      <w:r w:rsidRPr="0001617C">
        <w:t>ABS</w:t>
      </w:r>
      <w:r w:rsidR="00CD0FC3">
        <w:t>),</w:t>
      </w:r>
      <w:r w:rsidRPr="0001617C">
        <w:t xml:space="preserve"> was also unsuccessful. The United States Court of Appeals for the Second Circuit in New York, by judgment of 29 August 2012, dismissed the appeal brought by the Kingdom of Spain against ABS. The claim was for more than </w:t>
      </w:r>
      <w:r w:rsidR="00D5308E" w:rsidRPr="0001617C">
        <w:t>US</w:t>
      </w:r>
      <w:r w:rsidRPr="0001617C">
        <w:t>$1 billion in damages caused by the sinking of the tanker. The Court of Appeal considered that, in view of the evidence submitted, the Kingdom of Spain had not sufficiently established a breach of any obligation which ABS could assume towards Spain. The Court of Appeal thus upheld the District Court</w:t>
      </w:r>
      <w:r w:rsidR="00DE5299">
        <w:t>’</w:t>
      </w:r>
      <w:r w:rsidRPr="0001617C">
        <w:t>s judgment to the same effect.</w:t>
      </w:r>
    </w:p>
  </w:footnote>
  <w:footnote w:id="2">
    <w:p w14:paraId="26AD7685" w14:textId="46CBD282" w:rsidR="00E23A92" w:rsidRPr="0001617C" w:rsidRDefault="00BB539D" w:rsidP="00523589">
      <w:pPr>
        <w:pStyle w:val="Textonotapie"/>
        <w:spacing w:before="120" w:after="120"/>
        <w:jc w:val="both"/>
        <w:rPr>
          <w:rFonts w:cs="Times New Roman"/>
        </w:rPr>
      </w:pPr>
      <w:r w:rsidRPr="0001617C">
        <w:rPr>
          <w:rStyle w:val="Refdenotaalpie"/>
          <w:rFonts w:cs="Times New Roman"/>
        </w:rPr>
        <w:footnoteRef/>
      </w:r>
      <w:r w:rsidRPr="0001617C">
        <w:rPr>
          <w:rFonts w:cs="Times New Roman"/>
        </w:rPr>
        <w:t xml:space="preserve"> In </w:t>
      </w:r>
      <w:r w:rsidRPr="0001617C">
        <w:rPr>
          <w:rFonts w:cs="Times New Roman"/>
          <w:i/>
        </w:rPr>
        <w:t>C</w:t>
      </w:r>
      <w:r w:rsidR="00340255" w:rsidRPr="0001617C">
        <w:rPr>
          <w:rFonts w:cs="Times New Roman"/>
          <w:i/>
        </w:rPr>
        <w:t>endoj</w:t>
      </w:r>
      <w:r w:rsidRPr="0001617C">
        <w:rPr>
          <w:rFonts w:cs="Times New Roman"/>
          <w:i/>
        </w:rPr>
        <w:t xml:space="preserve"> </w:t>
      </w:r>
      <w:r w:rsidR="007D430C" w:rsidRPr="0001617C">
        <w:rPr>
          <w:rFonts w:cs="Times New Roman"/>
        </w:rPr>
        <w:t>15030370012013100477.</w:t>
      </w:r>
    </w:p>
  </w:footnote>
  <w:footnote w:id="3">
    <w:p w14:paraId="67A8A4A8" w14:textId="30378D0D" w:rsidR="00E23A92" w:rsidRPr="002933A1" w:rsidRDefault="00BB539D" w:rsidP="00523589">
      <w:pPr>
        <w:pStyle w:val="Textonotapie"/>
        <w:spacing w:before="120" w:after="120"/>
        <w:jc w:val="both"/>
      </w:pPr>
      <w:r w:rsidRPr="00B43C4B">
        <w:rPr>
          <w:rStyle w:val="Refdenotaalpie"/>
          <w:lang w:val="es-ES_tradnl"/>
        </w:rPr>
        <w:footnoteRef/>
      </w:r>
      <w:r w:rsidRPr="00D97B0D">
        <w:rPr>
          <w:lang w:val="en-US"/>
        </w:rPr>
        <w:t xml:space="preserve"> </w:t>
      </w:r>
      <w:r w:rsidRPr="002933A1">
        <w:t xml:space="preserve">P. 56 of the </w:t>
      </w:r>
      <w:r w:rsidRPr="002933A1">
        <w:rPr>
          <w:i/>
          <w:iCs/>
        </w:rPr>
        <w:t>C</w:t>
      </w:r>
      <w:r w:rsidR="00340255" w:rsidRPr="002933A1">
        <w:rPr>
          <w:i/>
          <w:iCs/>
        </w:rPr>
        <w:t>endoj</w:t>
      </w:r>
      <w:r w:rsidRPr="002933A1">
        <w:rPr>
          <w:i/>
          <w:iCs/>
        </w:rPr>
        <w:t xml:space="preserve"> </w:t>
      </w:r>
      <w:r w:rsidRPr="002933A1">
        <w:t xml:space="preserve">version of the judgement </w:t>
      </w:r>
      <w:r w:rsidR="00E53898" w:rsidRPr="002933A1">
        <w:t>of the Provincial Court of A Coruña</w:t>
      </w:r>
      <w:r w:rsidR="007D430C" w:rsidRPr="002933A1">
        <w:t xml:space="preserve">. </w:t>
      </w:r>
    </w:p>
  </w:footnote>
  <w:footnote w:id="4">
    <w:p w14:paraId="4BC1A0CA" w14:textId="179E7D6E" w:rsidR="00E23A92" w:rsidRPr="00D97B0D" w:rsidRDefault="00BB539D" w:rsidP="00523589">
      <w:pPr>
        <w:pStyle w:val="Textonotapie"/>
        <w:spacing w:before="120" w:after="120"/>
        <w:jc w:val="both"/>
        <w:rPr>
          <w:rFonts w:cs="Times New Roman"/>
          <w:lang w:val="es-ES"/>
        </w:rPr>
      </w:pPr>
      <w:r w:rsidRPr="002933A1">
        <w:rPr>
          <w:rStyle w:val="Refdenotaalpie"/>
          <w:rFonts w:cs="Times New Roman"/>
        </w:rPr>
        <w:footnoteRef/>
      </w:r>
      <w:r w:rsidR="00E53898" w:rsidRPr="002933A1">
        <w:rPr>
          <w:rFonts w:cs="Times New Roman"/>
        </w:rPr>
        <w:t xml:space="preserve"> In </w:t>
      </w:r>
      <w:r w:rsidR="00E53898" w:rsidRPr="002933A1">
        <w:rPr>
          <w:rFonts w:cs="Times New Roman"/>
          <w:i/>
          <w:iCs/>
        </w:rPr>
        <w:t>C</w:t>
      </w:r>
      <w:r w:rsidR="00340255" w:rsidRPr="002933A1">
        <w:rPr>
          <w:rFonts w:cs="Times New Roman"/>
          <w:i/>
          <w:iCs/>
        </w:rPr>
        <w:t>endoj</w:t>
      </w:r>
      <w:r w:rsidR="00E53898" w:rsidRPr="002933A1">
        <w:rPr>
          <w:rFonts w:cs="Times New Roman"/>
          <w:i/>
          <w:iCs/>
        </w:rPr>
        <w:t xml:space="preserve"> </w:t>
      </w:r>
      <w:r w:rsidR="00E53898" w:rsidRPr="002933A1">
        <w:t xml:space="preserve">28079120012016100001. </w:t>
      </w:r>
      <w:r w:rsidR="00C70F63" w:rsidRPr="00523589">
        <w:rPr>
          <w:rFonts w:cs="Times New Roman"/>
        </w:rPr>
        <w:t xml:space="preserve">On this judgment, </w:t>
      </w:r>
      <w:r w:rsidR="00C70F63" w:rsidRPr="00523589">
        <w:rPr>
          <w:rFonts w:cs="Times New Roman"/>
          <w:i/>
          <w:iCs/>
        </w:rPr>
        <w:t xml:space="preserve">see </w:t>
      </w:r>
      <w:r w:rsidR="00523589" w:rsidRPr="00523589">
        <w:rPr>
          <w:rFonts w:cs="Times New Roman"/>
        </w:rPr>
        <w:t>M Alba</w:t>
      </w:r>
      <w:r w:rsidRPr="00523589">
        <w:rPr>
          <w:rFonts w:cs="Times New Roman"/>
        </w:rPr>
        <w:t xml:space="preserve"> and </w:t>
      </w:r>
      <w:r w:rsidR="00523589" w:rsidRPr="00523589">
        <w:rPr>
          <w:rFonts w:cs="Times New Roman"/>
        </w:rPr>
        <w:t xml:space="preserve">J L </w:t>
      </w:r>
      <w:r w:rsidRPr="00523589">
        <w:rPr>
          <w:rFonts w:cs="Times New Roman"/>
        </w:rPr>
        <w:t>G</w:t>
      </w:r>
      <w:r w:rsidR="00523589" w:rsidRPr="00523589">
        <w:rPr>
          <w:rFonts w:cs="Times New Roman"/>
        </w:rPr>
        <w:t>abaldón, `</w:t>
      </w:r>
      <w:r w:rsidR="00074479" w:rsidRPr="00523589">
        <w:rPr>
          <w:rFonts w:cs="Times New Roman"/>
        </w:rPr>
        <w:t xml:space="preserve">Affaire </w:t>
      </w:r>
      <w:r w:rsidRPr="00523589">
        <w:rPr>
          <w:rFonts w:cs="Times New Roman"/>
        </w:rPr>
        <w:t>du Prestige: Le capitaine est condamné pour délit d</w:t>
      </w:r>
      <w:r w:rsidR="00DE5299" w:rsidRPr="00523589">
        <w:rPr>
          <w:rFonts w:cs="Times New Roman"/>
        </w:rPr>
        <w:t>’</w:t>
      </w:r>
      <w:r w:rsidRPr="00523589">
        <w:rPr>
          <w:rFonts w:cs="Times New Roman"/>
        </w:rPr>
        <w:t>imprudence contre l</w:t>
      </w:r>
      <w:r w:rsidR="00DE5299" w:rsidRPr="00523589">
        <w:rPr>
          <w:rFonts w:cs="Times New Roman"/>
        </w:rPr>
        <w:t>’</w:t>
      </w:r>
      <w:r w:rsidRPr="00523589">
        <w:rPr>
          <w:rFonts w:cs="Times New Roman"/>
        </w:rPr>
        <w:t>environment et ne peut beneficier, tout comme l</w:t>
      </w:r>
      <w:r w:rsidR="00DE5299" w:rsidRPr="00523589">
        <w:rPr>
          <w:rFonts w:cs="Times New Roman"/>
        </w:rPr>
        <w:t>’</w:t>
      </w:r>
      <w:r w:rsidRPr="00523589">
        <w:rPr>
          <w:rFonts w:cs="Times New Roman"/>
        </w:rPr>
        <w:t>armateur et en presence d</w:t>
      </w:r>
      <w:r w:rsidR="00DE5299" w:rsidRPr="00523589">
        <w:rPr>
          <w:rFonts w:cs="Times New Roman"/>
        </w:rPr>
        <w:t>’</w:t>
      </w:r>
      <w:r w:rsidRPr="00523589">
        <w:rPr>
          <w:rFonts w:cs="Times New Roman"/>
        </w:rPr>
        <w:t xml:space="preserve">un </w:t>
      </w:r>
      <w:r w:rsidR="00CD5A1A" w:rsidRPr="00523589">
        <w:rPr>
          <w:rFonts w:cs="Times New Roman"/>
        </w:rPr>
        <w:t>“</w:t>
      </w:r>
      <w:r w:rsidRPr="00523589">
        <w:rPr>
          <w:rFonts w:cs="Times New Roman"/>
        </w:rPr>
        <w:t>soupçon de dol</w:t>
      </w:r>
      <w:r w:rsidR="00CD5A1A" w:rsidRPr="00523589">
        <w:rPr>
          <w:rFonts w:cs="Times New Roman"/>
        </w:rPr>
        <w:t>”</w:t>
      </w:r>
      <w:r w:rsidRPr="00523589">
        <w:rPr>
          <w:rFonts w:cs="Times New Roman"/>
        </w:rPr>
        <w:t>, de la limitation de responsabilité</w:t>
      </w:r>
      <w:r w:rsidR="00523589" w:rsidRPr="00523589">
        <w:rPr>
          <w:rFonts w:cs="Times New Roman"/>
        </w:rPr>
        <w:t>`</w:t>
      </w:r>
      <w:r w:rsidR="006235FF" w:rsidRPr="00523589">
        <w:rPr>
          <w:rFonts w:eastAsia="Times New Roman" w:cs="Times New Roman"/>
          <w:bdr w:val="none" w:sz="0" w:space="0" w:color="auto" w:frame="1"/>
          <w:lang w:eastAsia="es-ES"/>
        </w:rPr>
        <w:t xml:space="preserve"> </w:t>
      </w:r>
      <w:r w:rsidR="00523589" w:rsidRPr="00523589">
        <w:rPr>
          <w:rFonts w:cs="Times New Roman"/>
        </w:rPr>
        <w:t xml:space="preserve">(2016) 779 </w:t>
      </w:r>
      <w:r w:rsidRPr="00523589">
        <w:rPr>
          <w:rFonts w:cs="Times New Roman"/>
          <w:i/>
        </w:rPr>
        <w:t>Le Droit Maritime Français</w:t>
      </w:r>
      <w:r w:rsidRPr="00523589">
        <w:rPr>
          <w:rFonts w:cs="Times New Roman"/>
        </w:rPr>
        <w:t xml:space="preserve">, 338-351; </w:t>
      </w:r>
      <w:r w:rsidR="00523589" w:rsidRPr="00523589">
        <w:rPr>
          <w:rFonts w:cs="Times New Roman"/>
        </w:rPr>
        <w:t xml:space="preserve">A </w:t>
      </w:r>
      <w:r w:rsidRPr="00523589">
        <w:rPr>
          <w:rFonts w:eastAsia="Times New Roman" w:cs="Times New Roman"/>
          <w:bdr w:val="none" w:sz="0" w:space="0" w:color="auto" w:frame="1"/>
          <w:lang w:eastAsia="es-ES"/>
        </w:rPr>
        <w:t>B</w:t>
      </w:r>
      <w:r w:rsidR="00523589" w:rsidRPr="00523589">
        <w:rPr>
          <w:rFonts w:eastAsia="Times New Roman" w:cs="Times New Roman"/>
          <w:bdr w:val="none" w:sz="0" w:space="0" w:color="auto" w:frame="1"/>
          <w:lang w:eastAsia="es-ES"/>
        </w:rPr>
        <w:t>etancor Rodríguez,</w:t>
      </w:r>
      <w:r w:rsidRPr="00523589">
        <w:rPr>
          <w:rFonts w:eastAsia="Times New Roman" w:cs="Times New Roman"/>
          <w:bdr w:val="none" w:sz="0" w:space="0" w:color="auto" w:frame="1"/>
          <w:lang w:eastAsia="es-ES"/>
        </w:rPr>
        <w:t xml:space="preserve"> </w:t>
      </w:r>
      <w:r w:rsidRPr="00523589">
        <w:rPr>
          <w:rFonts w:eastAsia="Times New Roman" w:cs="Times New Roman"/>
          <w:i/>
          <w:bdr w:val="none" w:sz="0" w:space="0" w:color="auto" w:frame="1"/>
          <w:lang w:eastAsia="es-ES"/>
        </w:rPr>
        <w:t xml:space="preserve">Responsabilidad y aseguramiento por daños ambientales. </w:t>
      </w:r>
      <w:r w:rsidRPr="00D97B0D">
        <w:rPr>
          <w:rFonts w:eastAsia="Times New Roman" w:cs="Times New Roman"/>
          <w:i/>
          <w:bdr w:val="none" w:sz="0" w:space="0" w:color="auto" w:frame="1"/>
          <w:lang w:val="es-ES" w:eastAsia="es-ES"/>
        </w:rPr>
        <w:t>El caso Prestige</w:t>
      </w:r>
      <w:r w:rsidR="00523589">
        <w:rPr>
          <w:rFonts w:eastAsia="Times New Roman" w:cs="Times New Roman"/>
          <w:bdr w:val="none" w:sz="0" w:space="0" w:color="auto" w:frame="1"/>
          <w:lang w:val="es-ES" w:eastAsia="es-ES"/>
        </w:rPr>
        <w:t xml:space="preserve"> (</w:t>
      </w:r>
      <w:r w:rsidR="009A356D" w:rsidRPr="00D97B0D">
        <w:rPr>
          <w:rFonts w:eastAsia="Times New Roman" w:cs="Times New Roman"/>
          <w:bdr w:val="none" w:sz="0" w:space="0" w:color="auto" w:frame="1"/>
          <w:lang w:val="es-ES" w:eastAsia="es-ES"/>
        </w:rPr>
        <w:t>BOE</w:t>
      </w:r>
      <w:r w:rsidR="00523589">
        <w:rPr>
          <w:rFonts w:eastAsia="Times New Roman" w:cs="Times New Roman"/>
          <w:bdr w:val="none" w:sz="0" w:space="0" w:color="auto" w:frame="1"/>
          <w:lang w:val="es-ES" w:eastAsia="es-ES"/>
        </w:rPr>
        <w:t xml:space="preserve"> </w:t>
      </w:r>
      <w:r w:rsidR="00523589" w:rsidRPr="00523589">
        <w:rPr>
          <w:rFonts w:eastAsia="Times New Roman" w:cs="Times New Roman"/>
          <w:bdr w:val="none" w:sz="0" w:space="0" w:color="auto" w:frame="1"/>
          <w:lang w:val="es-ES" w:eastAsia="es-ES"/>
        </w:rPr>
        <w:t>2018)</w:t>
      </w:r>
      <w:r w:rsidRPr="00D97B0D">
        <w:rPr>
          <w:rFonts w:eastAsia="Times New Roman" w:cs="Times New Roman"/>
          <w:bdr w:val="none" w:sz="0" w:space="0" w:color="auto" w:frame="1"/>
          <w:lang w:val="es-ES" w:eastAsia="es-ES"/>
        </w:rPr>
        <w:t xml:space="preserve">; </w:t>
      </w:r>
      <w:r w:rsidR="00523589">
        <w:rPr>
          <w:rFonts w:eastAsia="Times New Roman" w:cs="Times New Roman"/>
          <w:bdr w:val="none" w:sz="0" w:space="0" w:color="auto" w:frame="1"/>
          <w:lang w:val="es-ES" w:eastAsia="es-ES"/>
        </w:rPr>
        <w:t>J L García Pita y Lastres</w:t>
      </w:r>
      <w:r w:rsidRPr="00D97B0D">
        <w:rPr>
          <w:rFonts w:cs="Times New Roman"/>
          <w:lang w:val="es-ES"/>
        </w:rPr>
        <w:t xml:space="preserve">, </w:t>
      </w:r>
      <w:r w:rsidR="00523589">
        <w:rPr>
          <w:rFonts w:cs="Times New Roman"/>
          <w:lang w:val="es-ES"/>
        </w:rPr>
        <w:t>`</w:t>
      </w:r>
      <w:r w:rsidRPr="00D97B0D">
        <w:rPr>
          <w:rFonts w:cs="Times New Roman"/>
          <w:lang w:val="es-ES"/>
        </w:rPr>
        <w:t xml:space="preserve">Las sentencias </w:t>
      </w:r>
      <w:r w:rsidR="00CD5A1A" w:rsidRPr="00D97B0D">
        <w:rPr>
          <w:rFonts w:cs="Times New Roman"/>
          <w:lang w:val="es-ES"/>
        </w:rPr>
        <w:t>“</w:t>
      </w:r>
      <w:r w:rsidRPr="00D97B0D">
        <w:rPr>
          <w:rFonts w:cs="Times New Roman"/>
          <w:lang w:val="es-ES"/>
        </w:rPr>
        <w:t>Prestige</w:t>
      </w:r>
      <w:r w:rsidR="00CD5A1A" w:rsidRPr="00D97B0D">
        <w:rPr>
          <w:rFonts w:cs="Times New Roman"/>
          <w:lang w:val="es-ES"/>
        </w:rPr>
        <w:t>”</w:t>
      </w:r>
      <w:r w:rsidRPr="00D97B0D">
        <w:rPr>
          <w:rFonts w:cs="Times New Roman"/>
          <w:lang w:val="es-ES"/>
        </w:rPr>
        <w:t xml:space="preserve"> </w:t>
      </w:r>
      <w:r w:rsidRPr="00D97B0D">
        <w:rPr>
          <w:rFonts w:eastAsia="Times New Roman" w:cs="Times New Roman"/>
          <w:bdr w:val="none" w:sz="0" w:space="0" w:color="auto" w:frame="1"/>
          <w:lang w:val="es-ES" w:eastAsia="es-ES"/>
        </w:rPr>
        <w:t>último acto (¿una gloriosa primavera, un breve estío o el invierno de nuestro descontento?)</w:t>
      </w:r>
      <w:r w:rsidR="00523589">
        <w:rPr>
          <w:rFonts w:eastAsia="Times New Roman" w:cs="Times New Roman"/>
          <w:bdr w:val="none" w:sz="0" w:space="0" w:color="auto" w:frame="1"/>
          <w:lang w:val="es-ES" w:eastAsia="es-ES"/>
        </w:rPr>
        <w:t>´</w:t>
      </w:r>
      <w:r w:rsidRPr="00D97B0D">
        <w:rPr>
          <w:rFonts w:eastAsia="Times New Roman" w:cs="Times New Roman"/>
          <w:bdr w:val="none" w:sz="0" w:space="0" w:color="auto" w:frame="1"/>
          <w:lang w:val="es-ES" w:eastAsia="es-ES"/>
        </w:rPr>
        <w:t xml:space="preserve"> </w:t>
      </w:r>
      <w:r w:rsidR="00523589" w:rsidRPr="00D97B0D">
        <w:rPr>
          <w:rFonts w:cs="Times New Roman"/>
          <w:lang w:val="es-ES"/>
        </w:rPr>
        <w:t>(2016)</w:t>
      </w:r>
      <w:r w:rsidR="00523589">
        <w:rPr>
          <w:rFonts w:cs="Times New Roman"/>
          <w:lang w:val="es-ES"/>
        </w:rPr>
        <w:t xml:space="preserve"> 17 </w:t>
      </w:r>
      <w:r w:rsidRPr="00D97B0D">
        <w:rPr>
          <w:rFonts w:eastAsia="Times New Roman" w:cs="Times New Roman"/>
          <w:i/>
          <w:bdr w:val="none" w:sz="0" w:space="0" w:color="auto" w:frame="1"/>
          <w:lang w:val="es-ES" w:eastAsia="es-ES"/>
        </w:rPr>
        <w:t>Revista de Derecho del Transporte: Terrestre, marítimo, aéreo y multimodal</w:t>
      </w:r>
      <w:r w:rsidRPr="00D97B0D">
        <w:rPr>
          <w:rFonts w:eastAsia="Times New Roman" w:cs="Times New Roman"/>
          <w:bdr w:val="none" w:sz="0" w:space="0" w:color="auto" w:frame="1"/>
          <w:lang w:val="es-ES" w:eastAsia="es-ES"/>
        </w:rPr>
        <w:t>, 11-57</w:t>
      </w:r>
      <w:r w:rsidR="00CF3CC0" w:rsidRPr="00D97B0D">
        <w:rPr>
          <w:rFonts w:eastAsia="Times New Roman" w:cs="Times New Roman"/>
          <w:bdr w:val="none" w:sz="0" w:space="0" w:color="auto" w:frame="1"/>
          <w:lang w:val="es-ES" w:eastAsia="es-ES"/>
        </w:rPr>
        <w:t xml:space="preserve">; </w:t>
      </w:r>
      <w:r w:rsidR="00C70F63" w:rsidRPr="00D97B0D">
        <w:rPr>
          <w:rFonts w:eastAsia="Times New Roman" w:cs="Times New Roman"/>
          <w:bdr w:val="none" w:sz="0" w:space="0" w:color="auto" w:frame="1"/>
          <w:lang w:val="es-ES" w:eastAsia="es-ES"/>
        </w:rPr>
        <w:t xml:space="preserve">and, </w:t>
      </w:r>
      <w:r w:rsidR="00523589">
        <w:rPr>
          <w:rFonts w:eastAsia="Times New Roman" w:cs="Times New Roman"/>
          <w:bdr w:val="none" w:sz="0" w:space="0" w:color="auto" w:frame="1"/>
          <w:lang w:val="es-ES" w:eastAsia="es-ES"/>
        </w:rPr>
        <w:t>E Sierra</w:t>
      </w:r>
      <w:r w:rsidR="00570C3F">
        <w:rPr>
          <w:rFonts w:eastAsia="Times New Roman" w:cs="Times New Roman"/>
          <w:bdr w:val="none" w:sz="0" w:space="0" w:color="auto" w:frame="1"/>
          <w:lang w:val="es-ES" w:eastAsia="es-ES"/>
        </w:rPr>
        <w:t>-</w:t>
      </w:r>
      <w:r w:rsidR="00523589">
        <w:rPr>
          <w:rFonts w:eastAsia="Times New Roman" w:cs="Times New Roman"/>
          <w:bdr w:val="none" w:sz="0" w:space="0" w:color="auto" w:frame="1"/>
          <w:lang w:val="es-ES" w:eastAsia="es-ES"/>
        </w:rPr>
        <w:t>Noguero</w:t>
      </w:r>
      <w:r w:rsidR="009C4C9E" w:rsidRPr="00D97B0D">
        <w:rPr>
          <w:rFonts w:eastAsia="Times New Roman" w:cs="Times New Roman"/>
          <w:bdr w:val="none" w:sz="0" w:space="0" w:color="auto" w:frame="1"/>
          <w:lang w:val="es-ES" w:eastAsia="es-ES"/>
        </w:rPr>
        <w:t xml:space="preserve">, </w:t>
      </w:r>
      <w:r w:rsidR="009C4C9E" w:rsidRPr="00523589">
        <w:rPr>
          <w:rFonts w:eastAsia="Times New Roman" w:cs="Times New Roman"/>
          <w:i/>
          <w:iCs/>
          <w:bdr w:val="none" w:sz="0" w:space="0" w:color="auto" w:frame="1"/>
          <w:lang w:val="es-ES" w:eastAsia="es-ES"/>
        </w:rPr>
        <w:t>El seguro de responsabilidad civil derivada de la navegación de buque</w:t>
      </w:r>
      <w:r w:rsidR="009C4C9E" w:rsidRPr="00D97B0D">
        <w:rPr>
          <w:rFonts w:eastAsia="Times New Roman" w:cs="Times New Roman"/>
          <w:bdr w:val="none" w:sz="0" w:space="0" w:color="auto" w:frame="1"/>
          <w:lang w:val="es-ES" w:eastAsia="es-ES"/>
        </w:rPr>
        <w:t xml:space="preserve"> </w:t>
      </w:r>
      <w:r w:rsidR="00523589">
        <w:rPr>
          <w:rFonts w:eastAsia="Times New Roman" w:cs="Times New Roman"/>
          <w:bdr w:val="none" w:sz="0" w:space="0" w:color="auto" w:frame="1"/>
          <w:lang w:val="es-ES" w:eastAsia="es-ES"/>
        </w:rPr>
        <w:t>(</w:t>
      </w:r>
      <w:r w:rsidR="009C4C9E" w:rsidRPr="00D97B0D">
        <w:rPr>
          <w:rFonts w:eastAsia="Times New Roman" w:cs="Times New Roman"/>
          <w:bdr w:val="none" w:sz="0" w:space="0" w:color="auto" w:frame="1"/>
          <w:lang w:val="es-ES" w:eastAsia="es-ES"/>
        </w:rPr>
        <w:t>Fundación Mapfre</w:t>
      </w:r>
      <w:r w:rsidR="00523589">
        <w:rPr>
          <w:rFonts w:eastAsia="Times New Roman" w:cs="Times New Roman"/>
          <w:bdr w:val="none" w:sz="0" w:space="0" w:color="auto" w:frame="1"/>
          <w:lang w:val="es-ES" w:eastAsia="es-ES"/>
        </w:rPr>
        <w:t xml:space="preserve"> 2016)</w:t>
      </w:r>
      <w:r w:rsidR="009C4C9E" w:rsidRPr="00D97B0D">
        <w:rPr>
          <w:rFonts w:eastAsia="Times New Roman" w:cs="Times New Roman"/>
          <w:bdr w:val="none" w:sz="0" w:space="0" w:color="auto" w:frame="1"/>
          <w:lang w:val="es-ES" w:eastAsia="es-ES"/>
        </w:rPr>
        <w:t xml:space="preserve">, </w:t>
      </w:r>
      <w:r w:rsidRPr="00D97B0D">
        <w:rPr>
          <w:rFonts w:eastAsia="Times New Roman" w:cs="Times New Roman"/>
          <w:bdr w:val="none" w:sz="0" w:space="0" w:color="auto" w:frame="1"/>
          <w:lang w:val="es-ES" w:eastAsia="es-ES"/>
        </w:rPr>
        <w:t>233-236</w:t>
      </w:r>
      <w:r w:rsidR="00CF3CC0" w:rsidRPr="00D97B0D">
        <w:rPr>
          <w:rFonts w:eastAsia="Times New Roman" w:cs="Times New Roman"/>
          <w:bdr w:val="none" w:sz="0" w:space="0" w:color="auto" w:frame="1"/>
          <w:lang w:val="es-ES" w:eastAsia="es-ES"/>
        </w:rPr>
        <w:t xml:space="preserve">. </w:t>
      </w:r>
    </w:p>
  </w:footnote>
  <w:footnote w:id="5">
    <w:p w14:paraId="5E424477" w14:textId="4358995E" w:rsidR="00E23A92" w:rsidRPr="00E51E66" w:rsidRDefault="00BB539D" w:rsidP="00523589">
      <w:pPr>
        <w:pStyle w:val="Textonotapie"/>
        <w:spacing w:before="120" w:after="120"/>
        <w:jc w:val="both"/>
      </w:pPr>
      <w:r w:rsidRPr="00B43C4B">
        <w:rPr>
          <w:rStyle w:val="Refdenotaalpie"/>
          <w:lang w:val="es-ES_tradnl"/>
        </w:rPr>
        <w:footnoteRef/>
      </w:r>
      <w:r w:rsidRPr="00D97B0D">
        <w:rPr>
          <w:lang w:val="en-US"/>
        </w:rPr>
        <w:t xml:space="preserve"> </w:t>
      </w:r>
      <w:r w:rsidRPr="00E51E66">
        <w:t xml:space="preserve">See IOPC Fund website, https://rb.gy/pcccm, accessed </w:t>
      </w:r>
      <w:r w:rsidR="00570C3F">
        <w:t>20 November</w:t>
      </w:r>
      <w:r w:rsidRPr="00E51E66">
        <w:t xml:space="preserve"> 2023.</w:t>
      </w:r>
    </w:p>
  </w:footnote>
  <w:footnote w:id="6">
    <w:p w14:paraId="2F497654" w14:textId="6D876559" w:rsidR="00E23A92" w:rsidRPr="00D97B0D" w:rsidRDefault="00BB539D" w:rsidP="00523589">
      <w:pPr>
        <w:pStyle w:val="Textonotapie"/>
        <w:spacing w:before="120" w:after="120"/>
        <w:jc w:val="both"/>
        <w:rPr>
          <w:rFonts w:cs="Times New Roman"/>
          <w:lang w:val="es-ES"/>
        </w:rPr>
      </w:pPr>
      <w:r w:rsidRPr="00E51E66">
        <w:rPr>
          <w:rStyle w:val="Refdenotaalpie"/>
          <w:rFonts w:cs="Times New Roman"/>
        </w:rPr>
        <w:footnoteRef/>
      </w:r>
      <w:r w:rsidRPr="00D97B0D">
        <w:rPr>
          <w:rFonts w:cs="Times New Roman"/>
          <w:lang w:val="es-ES"/>
        </w:rPr>
        <w:t xml:space="preserve"> On the enforcement process, in greater detail, </w:t>
      </w:r>
      <w:r w:rsidRPr="00D97B0D">
        <w:rPr>
          <w:rFonts w:cs="Times New Roman"/>
          <w:i/>
          <w:iCs/>
          <w:lang w:val="es-ES"/>
        </w:rPr>
        <w:t xml:space="preserve">see </w:t>
      </w:r>
      <w:r w:rsidRPr="00D97B0D">
        <w:rPr>
          <w:rFonts w:cs="Times New Roman"/>
          <w:lang w:val="es-ES"/>
        </w:rPr>
        <w:t>E</w:t>
      </w:r>
      <w:r w:rsidR="00570C3F">
        <w:rPr>
          <w:rFonts w:cs="Times New Roman"/>
          <w:lang w:val="es-ES"/>
        </w:rPr>
        <w:t xml:space="preserve"> Sierra-Noguero</w:t>
      </w:r>
      <w:r w:rsidRPr="00D97B0D">
        <w:rPr>
          <w:rFonts w:cs="Times New Roman"/>
          <w:lang w:val="es-ES"/>
        </w:rPr>
        <w:t xml:space="preserve">, </w:t>
      </w:r>
      <w:r w:rsidR="00570C3F">
        <w:rPr>
          <w:rFonts w:cs="Times New Roman"/>
          <w:lang w:val="es-ES"/>
        </w:rPr>
        <w:t>`</w:t>
      </w:r>
      <w:r w:rsidRPr="00D97B0D">
        <w:rPr>
          <w:rFonts w:cs="Times New Roman"/>
          <w:lang w:val="es-ES"/>
        </w:rPr>
        <w:t>Proceso de ejecución de la sentencia del tribunal supremo frente al club P&amp;I del buque &lt;Prestige&gt; en el Reino Unido</w:t>
      </w:r>
      <w:r w:rsidR="00570C3F">
        <w:rPr>
          <w:rFonts w:cs="Times New Roman"/>
          <w:lang w:val="es-ES"/>
        </w:rPr>
        <w:t>´</w:t>
      </w:r>
      <w:r w:rsidRPr="00D97B0D">
        <w:rPr>
          <w:rFonts w:cs="Times New Roman"/>
          <w:lang w:val="es-ES"/>
        </w:rPr>
        <w:t xml:space="preserve"> </w:t>
      </w:r>
      <w:r w:rsidR="00570C3F">
        <w:rPr>
          <w:rFonts w:cs="Times New Roman"/>
          <w:lang w:val="es-ES"/>
        </w:rPr>
        <w:t>i</w:t>
      </w:r>
      <w:r w:rsidRPr="00D97B0D">
        <w:rPr>
          <w:rFonts w:cs="Times New Roman"/>
          <w:lang w:val="es-ES"/>
        </w:rPr>
        <w:t xml:space="preserve">n </w:t>
      </w:r>
      <w:r w:rsidR="00570C3F">
        <w:rPr>
          <w:rFonts w:cs="Times New Roman"/>
          <w:lang w:val="es-ES"/>
        </w:rPr>
        <w:t xml:space="preserve">P </w:t>
      </w:r>
      <w:r w:rsidRPr="00D97B0D">
        <w:rPr>
          <w:rFonts w:cs="Times New Roman"/>
          <w:lang w:val="es-ES"/>
        </w:rPr>
        <w:t>G</w:t>
      </w:r>
      <w:r w:rsidR="00570C3F">
        <w:rPr>
          <w:rFonts w:cs="Times New Roman"/>
          <w:lang w:val="es-ES"/>
        </w:rPr>
        <w:t>irgado and J P. Gonzáles Bustos</w:t>
      </w:r>
      <w:r w:rsidRPr="00D97B0D">
        <w:rPr>
          <w:rFonts w:cs="Times New Roman"/>
          <w:lang w:val="es-ES"/>
        </w:rPr>
        <w:t xml:space="preserve"> (coords.), </w:t>
      </w:r>
      <w:r w:rsidRPr="00D97B0D">
        <w:rPr>
          <w:rFonts w:cs="Times New Roman"/>
          <w:i/>
          <w:iCs/>
          <w:lang w:val="es-ES"/>
        </w:rPr>
        <w:t>Transparencia y competitividad en el mercado asegurador. Insurtech, distribución, protección del cliente, seguro marítimo y pandemia</w:t>
      </w:r>
      <w:r w:rsidR="00570C3F">
        <w:rPr>
          <w:rFonts w:cs="Times New Roman"/>
          <w:i/>
          <w:iCs/>
          <w:lang w:val="es-ES"/>
        </w:rPr>
        <w:t xml:space="preserve"> </w:t>
      </w:r>
      <w:r w:rsidR="00570C3F" w:rsidRPr="00570C3F">
        <w:rPr>
          <w:rFonts w:cs="Times New Roman"/>
          <w:lang w:val="es-ES"/>
        </w:rPr>
        <w:t>(</w:t>
      </w:r>
      <w:r w:rsidRPr="00D97B0D">
        <w:rPr>
          <w:rFonts w:cs="Times New Roman"/>
          <w:lang w:val="es-ES"/>
        </w:rPr>
        <w:t>Comares 2021</w:t>
      </w:r>
      <w:r w:rsidR="00570C3F">
        <w:rPr>
          <w:rFonts w:cs="Times New Roman"/>
          <w:lang w:val="es-ES"/>
        </w:rPr>
        <w:t>)</w:t>
      </w:r>
      <w:r w:rsidRPr="00D97B0D">
        <w:rPr>
          <w:rFonts w:cs="Times New Roman"/>
          <w:lang w:val="es-ES"/>
        </w:rPr>
        <w:t xml:space="preserve"> 457-480 and </w:t>
      </w:r>
      <w:r w:rsidR="00570C3F">
        <w:rPr>
          <w:rFonts w:cs="Times New Roman"/>
          <w:lang w:val="es-ES"/>
        </w:rPr>
        <w:t>E Sierra-Noguero</w:t>
      </w:r>
      <w:r w:rsidRPr="00D97B0D">
        <w:rPr>
          <w:rFonts w:cs="Times New Roman"/>
          <w:lang w:val="es-ES"/>
        </w:rPr>
        <w:t xml:space="preserve">, </w:t>
      </w:r>
      <w:r w:rsidR="00570C3F">
        <w:rPr>
          <w:rFonts w:cs="Times New Roman"/>
          <w:lang w:val="es-ES"/>
        </w:rPr>
        <w:t>`</w:t>
      </w:r>
      <w:r w:rsidRPr="00D97B0D">
        <w:rPr>
          <w:rFonts w:cs="Times New Roman"/>
          <w:lang w:val="es-ES"/>
        </w:rPr>
        <w:t>Valorisation judiciaire du montant des dommages et intéréts résultant du naufrage du Prestige</w:t>
      </w:r>
      <w:r w:rsidR="00570C3F">
        <w:rPr>
          <w:rFonts w:cs="Times New Roman"/>
          <w:lang w:val="es-ES"/>
        </w:rPr>
        <w:t>´ (2019)</w:t>
      </w:r>
      <w:r w:rsidRPr="00D97B0D">
        <w:rPr>
          <w:rFonts w:cs="Times New Roman"/>
          <w:lang w:val="es-ES"/>
        </w:rPr>
        <w:t xml:space="preserve"> </w:t>
      </w:r>
      <w:r w:rsidR="00570C3F">
        <w:rPr>
          <w:rFonts w:cs="Times New Roman"/>
          <w:lang w:val="es-ES"/>
        </w:rPr>
        <w:t xml:space="preserve">816 </w:t>
      </w:r>
      <w:r w:rsidRPr="00D97B0D">
        <w:rPr>
          <w:rFonts w:cs="Times New Roman"/>
          <w:i/>
          <w:iCs/>
          <w:lang w:val="es-ES"/>
        </w:rPr>
        <w:t>Le Droit Maritime Français</w:t>
      </w:r>
      <w:r w:rsidRPr="00D97B0D">
        <w:rPr>
          <w:rFonts w:cs="Times New Roman"/>
          <w:lang w:val="es-ES"/>
        </w:rPr>
        <w:t>, 687-696.</w:t>
      </w:r>
    </w:p>
  </w:footnote>
  <w:footnote w:id="7">
    <w:p w14:paraId="304D39FA" w14:textId="77777777" w:rsidR="00E23A92" w:rsidRPr="00D97B0D" w:rsidRDefault="00BB539D" w:rsidP="00523589">
      <w:pPr>
        <w:pStyle w:val="Textonotapie"/>
        <w:spacing w:before="120" w:after="120"/>
        <w:jc w:val="both"/>
        <w:rPr>
          <w:lang w:val="es-ES"/>
        </w:rPr>
      </w:pPr>
      <w:r w:rsidRPr="00E51E66">
        <w:rPr>
          <w:rStyle w:val="Refdenotaalpie"/>
        </w:rPr>
        <w:footnoteRef/>
      </w:r>
      <w:r w:rsidR="005C4B61" w:rsidRPr="00D97B0D">
        <w:rPr>
          <w:i/>
          <w:iCs/>
          <w:lang w:val="es-ES"/>
        </w:rPr>
        <w:t xml:space="preserve"> Cendoj </w:t>
      </w:r>
      <w:r w:rsidR="005C4B61" w:rsidRPr="00D97B0D">
        <w:rPr>
          <w:lang w:val="es-ES"/>
        </w:rPr>
        <w:t>15030370012019200616.</w:t>
      </w:r>
    </w:p>
  </w:footnote>
  <w:footnote w:id="8">
    <w:p w14:paraId="1DB5EDE9" w14:textId="3F5E3994" w:rsidR="00E23A92" w:rsidRPr="00D97B0D" w:rsidRDefault="00BB539D" w:rsidP="00523589">
      <w:pPr>
        <w:pStyle w:val="Textonotapie"/>
        <w:spacing w:before="120" w:after="120"/>
        <w:jc w:val="both"/>
        <w:rPr>
          <w:lang w:val="es-ES"/>
        </w:rPr>
      </w:pPr>
      <w:r w:rsidRPr="00E51E66">
        <w:rPr>
          <w:rStyle w:val="Refdenotaalpie"/>
        </w:rPr>
        <w:footnoteRef/>
      </w:r>
      <w:r w:rsidRPr="00D97B0D">
        <w:rPr>
          <w:lang w:val="es-ES"/>
        </w:rPr>
        <w:t xml:space="preserve"> </w:t>
      </w:r>
      <w:r w:rsidR="00F85E59" w:rsidRPr="00D97B0D">
        <w:rPr>
          <w:lang w:val="es-ES"/>
        </w:rPr>
        <w:t xml:space="preserve">This strategy is also noted in </w:t>
      </w:r>
      <w:r w:rsidR="00570C3F">
        <w:rPr>
          <w:lang w:val="es-ES"/>
        </w:rPr>
        <w:t>M Gómez Jene</w:t>
      </w:r>
      <w:r w:rsidRPr="00D97B0D">
        <w:rPr>
          <w:lang w:val="es-ES"/>
        </w:rPr>
        <w:t xml:space="preserve">, </w:t>
      </w:r>
      <w:r w:rsidR="00570C3F">
        <w:rPr>
          <w:rFonts w:cs="Times New Roman"/>
          <w:lang w:val="es-ES"/>
        </w:rPr>
        <w:t>`</w:t>
      </w:r>
      <w:r w:rsidRPr="00D97B0D">
        <w:rPr>
          <w:lang w:val="es-ES"/>
        </w:rPr>
        <w:t xml:space="preserve">Prestige y arbitraje europeo: a propósito de la sentencia </w:t>
      </w:r>
      <w:r w:rsidR="005C4B61" w:rsidRPr="00D97B0D">
        <w:rPr>
          <w:lang w:val="es-ES"/>
        </w:rPr>
        <w:t>London Steam-ship del TJUE (asunto C-700/20)</w:t>
      </w:r>
      <w:r w:rsidR="00570C3F">
        <w:rPr>
          <w:rFonts w:cs="Times New Roman"/>
          <w:lang w:val="es-ES"/>
        </w:rPr>
        <w:t>´ (2022)</w:t>
      </w:r>
      <w:r w:rsidR="005C4B61" w:rsidRPr="00D97B0D">
        <w:rPr>
          <w:lang w:val="es-ES"/>
        </w:rPr>
        <w:t xml:space="preserve"> </w:t>
      </w:r>
      <w:r w:rsidR="00570C3F">
        <w:rPr>
          <w:lang w:val="es-ES"/>
        </w:rPr>
        <w:t>14</w:t>
      </w:r>
      <w:r w:rsidR="005C4B61" w:rsidRPr="00D97B0D">
        <w:rPr>
          <w:lang w:val="es-ES"/>
        </w:rPr>
        <w:t xml:space="preserve"> </w:t>
      </w:r>
      <w:r w:rsidR="005C4B61" w:rsidRPr="00D97B0D">
        <w:rPr>
          <w:i/>
          <w:iCs/>
          <w:lang w:val="es-ES"/>
        </w:rPr>
        <w:t>Cuadernos de Derecho Transnacional</w:t>
      </w:r>
      <w:r w:rsidR="00570C3F">
        <w:rPr>
          <w:i/>
          <w:iCs/>
          <w:lang w:val="es-ES"/>
        </w:rPr>
        <w:t xml:space="preserve"> </w:t>
      </w:r>
      <w:r w:rsidR="00570C3F" w:rsidRPr="00570C3F">
        <w:rPr>
          <w:lang w:val="es-ES"/>
        </w:rPr>
        <w:t>2</w:t>
      </w:r>
      <w:r w:rsidR="005C4B61" w:rsidRPr="00D97B0D">
        <w:rPr>
          <w:lang w:val="es-ES"/>
        </w:rPr>
        <w:t>, 1090.</w:t>
      </w:r>
    </w:p>
  </w:footnote>
  <w:footnote w:id="9">
    <w:p w14:paraId="6774BF10" w14:textId="60ECB865" w:rsidR="00E23A92" w:rsidRPr="00F85E59" w:rsidRDefault="00BB539D" w:rsidP="00523589">
      <w:pPr>
        <w:spacing w:before="120" w:after="120" w:line="240" w:lineRule="auto"/>
        <w:jc w:val="both"/>
        <w:rPr>
          <w:lang w:val="en-GB"/>
        </w:rPr>
      </w:pPr>
      <w:r w:rsidRPr="00B43C4B">
        <w:rPr>
          <w:rStyle w:val="Refdenotaalpie"/>
        </w:rPr>
        <w:footnoteRef/>
      </w:r>
      <w:r w:rsidRPr="00D97B0D">
        <w:rPr>
          <w:rFonts w:cs="Times New Roman"/>
          <w:lang w:val="en-US"/>
        </w:rPr>
        <w:t xml:space="preserve"> </w:t>
      </w:r>
      <w:r w:rsidRPr="00F85E59">
        <w:rPr>
          <w:rFonts w:cs="Times New Roman"/>
          <w:lang w:val="en-GB"/>
        </w:rPr>
        <w:t xml:space="preserve">In contrast, the P&amp;I </w:t>
      </w:r>
      <w:r w:rsidR="0056069D">
        <w:rPr>
          <w:rFonts w:cs="Times New Roman"/>
          <w:lang w:val="en-GB"/>
        </w:rPr>
        <w:t>C</w:t>
      </w:r>
      <w:r w:rsidRPr="00F85E59">
        <w:rPr>
          <w:rFonts w:cs="Times New Roman"/>
          <w:lang w:val="en-GB"/>
        </w:rPr>
        <w:t>lub does not claim in arbitration against the other claimants in the Spanish proceedings. This is important, as they are not bound by the English proceedings.</w:t>
      </w:r>
    </w:p>
  </w:footnote>
  <w:footnote w:id="10">
    <w:p w14:paraId="04D2A43B" w14:textId="77777777" w:rsidR="00E23A92" w:rsidRPr="00F85E59" w:rsidRDefault="00BB539D" w:rsidP="00523589">
      <w:pPr>
        <w:pStyle w:val="Textonotapie"/>
        <w:spacing w:before="120" w:after="120"/>
        <w:jc w:val="both"/>
      </w:pPr>
      <w:r w:rsidRPr="00F85E59">
        <w:rPr>
          <w:rStyle w:val="Refdenotaalpie"/>
        </w:rPr>
        <w:footnoteRef/>
      </w:r>
      <w:r w:rsidRPr="00F85E59">
        <w:t xml:space="preserve"> For example, rule 3.1 of the P&amp;I Insurance Rules, 2023-2024 edition of The London P&amp;I Club.</w:t>
      </w:r>
    </w:p>
  </w:footnote>
  <w:footnote w:id="11">
    <w:p w14:paraId="1FF30FA0" w14:textId="2B2ABCD2" w:rsidR="00E23A92" w:rsidRPr="00D97B0D" w:rsidRDefault="00BB539D" w:rsidP="00523589">
      <w:pPr>
        <w:pStyle w:val="Textonotapie"/>
        <w:spacing w:before="120" w:after="120"/>
        <w:jc w:val="both"/>
        <w:rPr>
          <w:rFonts w:cs="Times New Roman"/>
          <w:lang w:val="en-US"/>
        </w:rPr>
      </w:pPr>
      <w:r w:rsidRPr="00B43C4B">
        <w:rPr>
          <w:rStyle w:val="Refdenotaalpie"/>
          <w:rFonts w:cs="Times New Roman"/>
          <w:lang w:val="es-ES_tradnl"/>
        </w:rPr>
        <w:footnoteRef/>
      </w:r>
      <w:r w:rsidRPr="00B43C4B">
        <w:rPr>
          <w:rFonts w:cs="Times New Roman"/>
          <w:lang w:val="en-US"/>
        </w:rPr>
        <w:t xml:space="preserve"> </w:t>
      </w:r>
      <w:r w:rsidRPr="001B4BAF">
        <w:rPr>
          <w:rFonts w:cs="Times New Roman"/>
          <w:i/>
          <w:iCs/>
          <w:lang w:val="en-US"/>
        </w:rPr>
        <w:t>The London Steam-Ship Owners</w:t>
      </w:r>
      <w:r w:rsidR="00DE5299" w:rsidRPr="001B4BAF">
        <w:rPr>
          <w:rFonts w:cs="Times New Roman"/>
          <w:i/>
          <w:iCs/>
          <w:lang w:val="en-US"/>
        </w:rPr>
        <w:t>’</w:t>
      </w:r>
      <w:r w:rsidRPr="001B4BAF">
        <w:rPr>
          <w:rFonts w:cs="Times New Roman"/>
          <w:i/>
          <w:iCs/>
          <w:lang w:val="en-US"/>
        </w:rPr>
        <w:t xml:space="preserve"> Mutual Insurance Association Ltd v. The Kingdom of Spain and The French State</w:t>
      </w:r>
      <w:r w:rsidRPr="00B43C4B">
        <w:rPr>
          <w:rFonts w:cs="Times New Roman"/>
          <w:lang w:val="en-US"/>
        </w:rPr>
        <w:t xml:space="preserve"> [2013] EWHC 3188 (Comm). </w:t>
      </w:r>
      <w:r w:rsidRPr="00D97B0D">
        <w:rPr>
          <w:rFonts w:cs="Times New Roman"/>
          <w:lang w:val="en-US"/>
        </w:rPr>
        <w:t xml:space="preserve">Available at https://rb.gy/su6hx, accessed </w:t>
      </w:r>
      <w:r w:rsidR="001B4BAF">
        <w:rPr>
          <w:rFonts w:cs="Times New Roman"/>
          <w:lang w:val="en-US"/>
        </w:rPr>
        <w:t xml:space="preserve"> 20 November</w:t>
      </w:r>
      <w:r w:rsidR="003A262A" w:rsidRPr="00D97B0D">
        <w:rPr>
          <w:rFonts w:cs="Times New Roman"/>
          <w:lang w:val="en-US"/>
        </w:rPr>
        <w:t xml:space="preserve"> </w:t>
      </w:r>
      <w:r w:rsidRPr="00D97B0D">
        <w:rPr>
          <w:rFonts w:cs="Times New Roman"/>
          <w:lang w:val="en-US"/>
        </w:rPr>
        <w:t>2023.</w:t>
      </w:r>
    </w:p>
  </w:footnote>
  <w:footnote w:id="12">
    <w:p w14:paraId="4AAB3CB3" w14:textId="7D8E855C" w:rsidR="00E23A92" w:rsidRPr="00D97B0D" w:rsidRDefault="00BB539D" w:rsidP="00523589">
      <w:pPr>
        <w:pStyle w:val="Textonotapie"/>
        <w:spacing w:before="120" w:after="120"/>
        <w:jc w:val="both"/>
        <w:rPr>
          <w:rFonts w:cs="Times New Roman"/>
          <w:lang w:val="en-US"/>
        </w:rPr>
      </w:pPr>
      <w:r w:rsidRPr="00B43C4B">
        <w:rPr>
          <w:rStyle w:val="Refdenotaalpie"/>
          <w:rFonts w:cs="Times New Roman"/>
          <w:lang w:val="es-ES_tradnl"/>
        </w:rPr>
        <w:footnoteRef/>
      </w:r>
      <w:r w:rsidRPr="00D97B0D">
        <w:rPr>
          <w:rFonts w:cs="Times New Roman"/>
          <w:lang w:val="en-US"/>
        </w:rPr>
        <w:t xml:space="preserve"> </w:t>
      </w:r>
      <w:r w:rsidR="001B4BAF">
        <w:rPr>
          <w:rFonts w:cs="Times New Roman"/>
          <w:lang w:val="en-US"/>
        </w:rPr>
        <w:t xml:space="preserve">See M </w:t>
      </w:r>
      <w:r w:rsidRPr="00D97B0D">
        <w:rPr>
          <w:rFonts w:cs="Times New Roman"/>
          <w:lang w:val="en-US"/>
        </w:rPr>
        <w:t>A</w:t>
      </w:r>
      <w:r w:rsidR="001B4BAF">
        <w:rPr>
          <w:rFonts w:cs="Times New Roman"/>
          <w:lang w:val="en-US"/>
        </w:rPr>
        <w:t>lba and J L Gabaldón (4)</w:t>
      </w:r>
      <w:r w:rsidRPr="00D97B0D">
        <w:rPr>
          <w:rFonts w:cs="Times New Roman"/>
          <w:lang w:val="en-US"/>
        </w:rPr>
        <w:t xml:space="preserve"> 349-351.</w:t>
      </w:r>
    </w:p>
  </w:footnote>
  <w:footnote w:id="13">
    <w:p w14:paraId="2644751F" w14:textId="5272F1E8" w:rsidR="00E23A92" w:rsidRPr="00D97B0D" w:rsidRDefault="00BB539D" w:rsidP="00523589">
      <w:pPr>
        <w:pStyle w:val="Textonotapie"/>
        <w:spacing w:before="120" w:after="120"/>
        <w:jc w:val="both"/>
        <w:rPr>
          <w:lang w:val="en-US"/>
        </w:rPr>
      </w:pPr>
      <w:r w:rsidRPr="00B43C4B">
        <w:rPr>
          <w:rStyle w:val="Refdenotaalpie"/>
        </w:rPr>
        <w:footnoteRef/>
      </w:r>
      <w:r w:rsidRPr="00D97B0D">
        <w:rPr>
          <w:lang w:val="en-US"/>
        </w:rPr>
        <w:t xml:space="preserve"> This is also the majority position </w:t>
      </w:r>
      <w:r w:rsidR="00383D44" w:rsidRPr="00D97B0D">
        <w:rPr>
          <w:lang w:val="en-US"/>
        </w:rPr>
        <w:t xml:space="preserve">on direct action </w:t>
      </w:r>
      <w:r w:rsidRPr="00D97B0D">
        <w:rPr>
          <w:lang w:val="en-US"/>
        </w:rPr>
        <w:t xml:space="preserve">in Spanish case law. </w:t>
      </w:r>
    </w:p>
  </w:footnote>
  <w:footnote w:id="14">
    <w:p w14:paraId="2B4DF4CA" w14:textId="7CF3CB83" w:rsidR="00E23A92" w:rsidRDefault="00BB539D" w:rsidP="00523589">
      <w:pPr>
        <w:pStyle w:val="Textonotapie"/>
        <w:spacing w:before="120" w:after="120"/>
        <w:jc w:val="both"/>
        <w:rPr>
          <w:rFonts w:cs="Times New Roman"/>
          <w:lang w:val="en-US"/>
        </w:rPr>
      </w:pPr>
      <w:r w:rsidRPr="00B43C4B">
        <w:rPr>
          <w:rStyle w:val="Refdenotaalpie"/>
          <w:rFonts w:cs="Times New Roman"/>
          <w:lang w:val="es-ES_tradnl"/>
        </w:rPr>
        <w:footnoteRef/>
      </w:r>
      <w:bookmarkStart w:id="6" w:name="_Hlk148590728"/>
      <w:r w:rsidRPr="00B43C4B">
        <w:rPr>
          <w:rFonts w:cs="Times New Roman"/>
          <w:lang w:val="en-US"/>
        </w:rPr>
        <w:t xml:space="preserve"> </w:t>
      </w:r>
      <w:r w:rsidRPr="001B4BAF">
        <w:rPr>
          <w:rFonts w:cs="Times New Roman"/>
          <w:i/>
          <w:iCs/>
          <w:lang w:val="en-US"/>
        </w:rPr>
        <w:t>The London Steamship Owners</w:t>
      </w:r>
      <w:r w:rsidR="00DE5299" w:rsidRPr="001B4BAF">
        <w:rPr>
          <w:rFonts w:cs="Times New Roman"/>
          <w:i/>
          <w:iCs/>
          <w:lang w:val="en-US"/>
        </w:rPr>
        <w:t>’</w:t>
      </w:r>
      <w:r w:rsidRPr="001B4BAF">
        <w:rPr>
          <w:rFonts w:cs="Times New Roman"/>
          <w:i/>
          <w:iCs/>
          <w:lang w:val="en-US"/>
        </w:rPr>
        <w:t xml:space="preserve"> Mutual Insurance Association Ltd</w:t>
      </w:r>
      <w:bookmarkEnd w:id="6"/>
      <w:r w:rsidRPr="001B4BAF">
        <w:rPr>
          <w:rFonts w:cs="Times New Roman"/>
          <w:i/>
          <w:iCs/>
          <w:lang w:val="en-US"/>
        </w:rPr>
        <w:t xml:space="preserve"> and (1) The Kingdom of Spain (2) The French State, The </w:t>
      </w:r>
      <w:r w:rsidR="00CD5A1A" w:rsidRPr="001B4BAF">
        <w:rPr>
          <w:rFonts w:cs="Times New Roman"/>
          <w:i/>
          <w:iCs/>
          <w:lang w:val="en-US"/>
        </w:rPr>
        <w:t>“</w:t>
      </w:r>
      <w:r w:rsidRPr="001B4BAF">
        <w:rPr>
          <w:rFonts w:cs="Times New Roman"/>
          <w:i/>
          <w:iCs/>
          <w:lang w:val="en-US"/>
        </w:rPr>
        <w:t>Prestige</w:t>
      </w:r>
      <w:r w:rsidR="00CD5A1A" w:rsidRPr="001B4BAF">
        <w:rPr>
          <w:rFonts w:cs="Times New Roman"/>
          <w:i/>
          <w:iCs/>
          <w:lang w:val="en-US"/>
        </w:rPr>
        <w:t>”</w:t>
      </w:r>
      <w:r w:rsidRPr="00B43C4B">
        <w:rPr>
          <w:rFonts w:cs="Times New Roman"/>
          <w:lang w:val="en-US"/>
        </w:rPr>
        <w:t xml:space="preserve"> [2015] EWCA Civ 333, available at https://bit.ly/3cTxCvO, accessed </w:t>
      </w:r>
      <w:r w:rsidR="001B4BAF">
        <w:rPr>
          <w:rFonts w:cs="Times New Roman"/>
          <w:lang w:val="en-US"/>
        </w:rPr>
        <w:t>20</w:t>
      </w:r>
      <w:r w:rsidR="003A262A" w:rsidRPr="00B43C4B">
        <w:rPr>
          <w:rFonts w:cs="Times New Roman"/>
          <w:lang w:val="en-US"/>
        </w:rPr>
        <w:t xml:space="preserve"> </w:t>
      </w:r>
      <w:r w:rsidR="001B4BAF">
        <w:rPr>
          <w:rFonts w:cs="Times New Roman"/>
          <w:lang w:val="en-US"/>
        </w:rPr>
        <w:t>November</w:t>
      </w:r>
      <w:r w:rsidR="003A262A" w:rsidRPr="00B43C4B">
        <w:rPr>
          <w:rFonts w:cs="Times New Roman"/>
          <w:lang w:val="en-US"/>
        </w:rPr>
        <w:t xml:space="preserve"> </w:t>
      </w:r>
      <w:r w:rsidRPr="00B43C4B">
        <w:rPr>
          <w:rFonts w:cs="Times New Roman"/>
          <w:lang w:val="en-US"/>
        </w:rPr>
        <w:t>2023.</w:t>
      </w:r>
      <w:r w:rsidR="00383D44">
        <w:rPr>
          <w:rFonts w:cs="Times New Roman"/>
          <w:lang w:val="en-US"/>
        </w:rPr>
        <w:t xml:space="preserve"> </w:t>
      </w:r>
    </w:p>
  </w:footnote>
  <w:footnote w:id="15">
    <w:p w14:paraId="68B4AAA5" w14:textId="77777777" w:rsidR="00E23A92" w:rsidRPr="00465FC1" w:rsidRDefault="00BB539D" w:rsidP="00523589">
      <w:pPr>
        <w:pStyle w:val="Textonotapie"/>
        <w:spacing w:before="120" w:after="120"/>
        <w:jc w:val="both"/>
        <w:rPr>
          <w:rFonts w:cs="Times New Roman"/>
        </w:rPr>
      </w:pPr>
      <w:r w:rsidRPr="00465FC1">
        <w:rPr>
          <w:rStyle w:val="Refdenotaalpie"/>
          <w:rFonts w:cs="Times New Roman"/>
        </w:rPr>
        <w:footnoteRef/>
      </w:r>
      <w:r w:rsidRPr="00465FC1">
        <w:rPr>
          <w:rFonts w:cs="Times New Roman"/>
          <w:i/>
        </w:rPr>
        <w:t xml:space="preserve"> Official Journal of the European Communities</w:t>
      </w:r>
      <w:r w:rsidRPr="00465FC1">
        <w:rPr>
          <w:rFonts w:cs="Times New Roman"/>
        </w:rPr>
        <w:t xml:space="preserve">, L 12/1 of 16 January 2001. </w:t>
      </w:r>
    </w:p>
  </w:footnote>
  <w:footnote w:id="16">
    <w:p w14:paraId="76035DCB" w14:textId="3C018363" w:rsidR="00E23A92" w:rsidRPr="00465FC1" w:rsidRDefault="00BB539D" w:rsidP="00523589">
      <w:pPr>
        <w:pStyle w:val="Textonotapie"/>
        <w:spacing w:before="120" w:after="120"/>
        <w:jc w:val="both"/>
        <w:rPr>
          <w:rFonts w:cs="Times New Roman"/>
        </w:rPr>
      </w:pPr>
      <w:r w:rsidRPr="00465FC1">
        <w:rPr>
          <w:rStyle w:val="Refdenotaalpie"/>
          <w:rFonts w:cs="Times New Roman"/>
        </w:rPr>
        <w:footnoteRef/>
      </w:r>
      <w:r w:rsidRPr="00465FC1">
        <w:rPr>
          <w:rFonts w:cs="Times New Roman"/>
        </w:rPr>
        <w:t xml:space="preserve"> </w:t>
      </w:r>
      <w:r w:rsidRPr="001B4BAF">
        <w:rPr>
          <w:rFonts w:cs="Times New Roman"/>
          <w:i/>
          <w:iCs/>
        </w:rPr>
        <w:t xml:space="preserve">The London Steam-Ship Mutual Insurance Association Limited and The Kingdom of Spain, M/T </w:t>
      </w:r>
      <w:r w:rsidR="00DE5299" w:rsidRPr="001B4BAF">
        <w:rPr>
          <w:rFonts w:cs="Times New Roman"/>
          <w:i/>
          <w:iCs/>
        </w:rPr>
        <w:t>‘</w:t>
      </w:r>
      <w:r w:rsidRPr="001B4BAF">
        <w:rPr>
          <w:rFonts w:cs="Times New Roman"/>
          <w:i/>
          <w:iCs/>
        </w:rPr>
        <w:t>Prestige</w:t>
      </w:r>
      <w:r w:rsidR="00DE5299" w:rsidRPr="001B4BAF">
        <w:rPr>
          <w:rFonts w:cs="Times New Roman"/>
          <w:i/>
          <w:iCs/>
        </w:rPr>
        <w:t>’</w:t>
      </w:r>
      <w:r w:rsidRPr="00465FC1">
        <w:rPr>
          <w:rFonts w:cs="Times New Roman"/>
        </w:rPr>
        <w:t xml:space="preserve"> [2021] EWHC 1247 (Comm), </w:t>
      </w:r>
      <w:r w:rsidRPr="00465FC1">
        <w:rPr>
          <w:rFonts w:cs="Times New Roman"/>
          <w:i/>
        </w:rPr>
        <w:t>introduction</w:t>
      </w:r>
      <w:r w:rsidRPr="00465FC1">
        <w:rPr>
          <w:rFonts w:cs="Times New Roman"/>
        </w:rPr>
        <w:t>, paragraphs 32 and 33.</w:t>
      </w:r>
    </w:p>
  </w:footnote>
  <w:footnote w:id="17">
    <w:p w14:paraId="7A323D7D" w14:textId="361AD0F1" w:rsidR="00E23A92" w:rsidRPr="00465FC1" w:rsidRDefault="00BB539D" w:rsidP="00523589">
      <w:pPr>
        <w:pStyle w:val="Textonotapie"/>
        <w:spacing w:before="120" w:after="120"/>
        <w:jc w:val="both"/>
        <w:rPr>
          <w:rFonts w:cs="Times New Roman"/>
        </w:rPr>
      </w:pPr>
      <w:r w:rsidRPr="00465FC1">
        <w:rPr>
          <w:rStyle w:val="Refdenotaalpie"/>
          <w:rFonts w:cs="Times New Roman"/>
        </w:rPr>
        <w:footnoteRef/>
      </w:r>
      <w:r w:rsidR="00AD4990" w:rsidRPr="00465FC1">
        <w:rPr>
          <w:rFonts w:cs="Times New Roman"/>
        </w:rPr>
        <w:t xml:space="preserve"> It also alleged a breach of the P&amp;I </w:t>
      </w:r>
      <w:r w:rsidR="00EE6D07">
        <w:rPr>
          <w:rFonts w:cs="Times New Roman"/>
        </w:rPr>
        <w:t>C</w:t>
      </w:r>
      <w:r w:rsidR="00AD4990" w:rsidRPr="00465FC1">
        <w:rPr>
          <w:rFonts w:cs="Times New Roman"/>
        </w:rPr>
        <w:t>lub</w:t>
      </w:r>
      <w:r w:rsidR="00DE5299" w:rsidRPr="00465FC1">
        <w:rPr>
          <w:rFonts w:cs="Times New Roman"/>
        </w:rPr>
        <w:t>’</w:t>
      </w:r>
      <w:r w:rsidR="00AD4990" w:rsidRPr="00465FC1">
        <w:rPr>
          <w:rFonts w:cs="Times New Roman"/>
        </w:rPr>
        <w:t xml:space="preserve">s human rights. This argument was </w:t>
      </w:r>
      <w:r w:rsidRPr="00465FC1">
        <w:rPr>
          <w:rFonts w:cs="Times New Roman"/>
        </w:rPr>
        <w:t xml:space="preserve">subsequently </w:t>
      </w:r>
      <w:r w:rsidR="00AD4990" w:rsidRPr="00465FC1">
        <w:rPr>
          <w:rFonts w:cs="Times New Roman"/>
        </w:rPr>
        <w:t xml:space="preserve">rejected </w:t>
      </w:r>
      <w:r w:rsidRPr="00465FC1">
        <w:rPr>
          <w:rFonts w:cs="Times New Roman"/>
        </w:rPr>
        <w:t xml:space="preserve">by the </w:t>
      </w:r>
      <w:r w:rsidRPr="00EE6D07">
        <w:rPr>
          <w:rFonts w:cs="Times New Roman"/>
          <w:iCs/>
        </w:rPr>
        <w:t>Court of Appeal</w:t>
      </w:r>
      <w:r w:rsidRPr="00465FC1">
        <w:rPr>
          <w:rFonts w:cs="Times New Roman"/>
        </w:rPr>
        <w:t xml:space="preserve">, which </w:t>
      </w:r>
      <w:r w:rsidR="00AD4990" w:rsidRPr="00465FC1">
        <w:rPr>
          <w:rFonts w:cs="Times New Roman"/>
        </w:rPr>
        <w:t xml:space="preserve">held </w:t>
      </w:r>
      <w:r w:rsidRPr="00465FC1">
        <w:rPr>
          <w:rFonts w:cs="Times New Roman"/>
        </w:rPr>
        <w:t xml:space="preserve">that there had been no breach of </w:t>
      </w:r>
      <w:r w:rsidR="00AD4990" w:rsidRPr="00465FC1">
        <w:rPr>
          <w:rFonts w:cs="Times New Roman"/>
        </w:rPr>
        <w:t xml:space="preserve">those </w:t>
      </w:r>
      <w:r w:rsidRPr="00465FC1">
        <w:rPr>
          <w:rFonts w:cs="Times New Roman"/>
        </w:rPr>
        <w:t xml:space="preserve">rights in </w:t>
      </w:r>
      <w:r w:rsidRPr="001B4BAF">
        <w:rPr>
          <w:rFonts w:cs="Times New Roman"/>
          <w:i/>
          <w:iCs/>
        </w:rPr>
        <w:t xml:space="preserve">The London Steam-Ship Mutual Insurance Association Limited and the Kingdom of Spain, M/T </w:t>
      </w:r>
      <w:r w:rsidR="00DE5299" w:rsidRPr="001B4BAF">
        <w:rPr>
          <w:rFonts w:cs="Times New Roman"/>
          <w:i/>
          <w:iCs/>
        </w:rPr>
        <w:t>‘</w:t>
      </w:r>
      <w:r w:rsidRPr="001B4BAF">
        <w:rPr>
          <w:rFonts w:cs="Times New Roman"/>
          <w:i/>
          <w:iCs/>
        </w:rPr>
        <w:t>Prestige</w:t>
      </w:r>
      <w:r w:rsidR="00DE5299" w:rsidRPr="001B4BAF">
        <w:rPr>
          <w:rFonts w:cs="Times New Roman"/>
          <w:i/>
          <w:iCs/>
        </w:rPr>
        <w:t>’</w:t>
      </w:r>
      <w:r w:rsidRPr="00465FC1">
        <w:rPr>
          <w:rFonts w:cs="Times New Roman"/>
        </w:rPr>
        <w:t xml:space="preserve"> </w:t>
      </w:r>
      <w:r w:rsidRPr="00465FC1">
        <w:rPr>
          <w:rFonts w:cs="Times New Roman"/>
          <w:bCs/>
        </w:rPr>
        <w:t>[2021] EWHC 1247 (Comm)</w:t>
      </w:r>
      <w:r w:rsidR="003F23B0" w:rsidRPr="00465FC1">
        <w:rPr>
          <w:rFonts w:cs="Times New Roman"/>
          <w:bCs/>
        </w:rPr>
        <w:t xml:space="preserve">, at https://bitly.ws/XJqp, accessed </w:t>
      </w:r>
      <w:r w:rsidR="001B4BAF">
        <w:rPr>
          <w:rFonts w:cs="Times New Roman"/>
          <w:bCs/>
        </w:rPr>
        <w:t>20</w:t>
      </w:r>
      <w:r w:rsidR="003F23B0" w:rsidRPr="00465FC1">
        <w:rPr>
          <w:rFonts w:cs="Times New Roman"/>
          <w:bCs/>
        </w:rPr>
        <w:t xml:space="preserve"> </w:t>
      </w:r>
      <w:r w:rsidR="001B4BAF">
        <w:rPr>
          <w:rFonts w:cs="Times New Roman"/>
          <w:bCs/>
        </w:rPr>
        <w:t>November</w:t>
      </w:r>
      <w:r w:rsidR="003F23B0" w:rsidRPr="00465FC1">
        <w:rPr>
          <w:rFonts w:cs="Times New Roman"/>
          <w:bCs/>
        </w:rPr>
        <w:t xml:space="preserve"> 2023.</w:t>
      </w:r>
    </w:p>
  </w:footnote>
  <w:footnote w:id="18">
    <w:p w14:paraId="746DD147" w14:textId="47EE0438" w:rsidR="00E23A92" w:rsidRPr="00EE6D07" w:rsidRDefault="00BB539D" w:rsidP="00523589">
      <w:pPr>
        <w:pStyle w:val="Textonotapie"/>
        <w:spacing w:before="120" w:after="120"/>
        <w:jc w:val="both"/>
      </w:pPr>
      <w:r w:rsidRPr="00B43C4B">
        <w:rPr>
          <w:rStyle w:val="Refdenotaalpie"/>
          <w:lang w:val="es-ES_tradnl"/>
        </w:rPr>
        <w:footnoteRef/>
      </w:r>
      <w:r w:rsidRPr="00D97B0D">
        <w:rPr>
          <w:lang w:val="en-US"/>
        </w:rPr>
        <w:t xml:space="preserve"> </w:t>
      </w:r>
      <w:r w:rsidRPr="00EE6D07">
        <w:t xml:space="preserve">Case C-700/20, available at https://rb.gy/os88d, accessed on 20 </w:t>
      </w:r>
      <w:r w:rsidR="001B4BAF">
        <w:t>November</w:t>
      </w:r>
      <w:r w:rsidRPr="00EE6D07">
        <w:t xml:space="preserve"> 2023.</w:t>
      </w:r>
    </w:p>
  </w:footnote>
  <w:footnote w:id="19">
    <w:p w14:paraId="34028E26" w14:textId="227798C9" w:rsidR="00E23A92" w:rsidRPr="00EE6D07" w:rsidRDefault="00BB539D" w:rsidP="00523589">
      <w:pPr>
        <w:pStyle w:val="Textonotapie"/>
        <w:spacing w:before="120" w:after="120"/>
        <w:jc w:val="both"/>
      </w:pPr>
      <w:r w:rsidRPr="00EE6D07">
        <w:rPr>
          <w:rStyle w:val="Refdenotaalpie"/>
        </w:rPr>
        <w:footnoteRef/>
      </w:r>
      <w:r w:rsidRPr="00EE6D07">
        <w:t xml:space="preserve"> Judgment of the Court (Grand Chamber) of 20 June 2022. London Steam-Ship Owners</w:t>
      </w:r>
      <w:r w:rsidR="00DE5299" w:rsidRPr="00EE6D07">
        <w:t>’</w:t>
      </w:r>
      <w:r w:rsidRPr="00EE6D07">
        <w:t xml:space="preserve"> Mutual Insurance Association Limited v Kingdom of Spain. Reference for a preliminary ruling from</w:t>
      </w:r>
      <w:r w:rsidR="009C29B4">
        <w:t xml:space="preserve"> the</w:t>
      </w:r>
      <w:r w:rsidRPr="00EE6D07">
        <w:t xml:space="preserve"> </w:t>
      </w:r>
      <w:r w:rsidRPr="009C29B4">
        <w:t>High Court of Justice (England &amp; Wales), Queen</w:t>
      </w:r>
      <w:r w:rsidR="00DE5299" w:rsidRPr="009C29B4">
        <w:t>’</w:t>
      </w:r>
      <w:r w:rsidRPr="009C29B4">
        <w:t>s Bench Division</w:t>
      </w:r>
      <w:r w:rsidRPr="00EE6D07">
        <w:t>. Case C-700/20, available at https://rb.gy/53yzu, accessed</w:t>
      </w:r>
      <w:r w:rsidR="001B4BAF">
        <w:t xml:space="preserve"> 20 November</w:t>
      </w:r>
      <w:r w:rsidR="003A262A" w:rsidRPr="00EE6D07">
        <w:t xml:space="preserve"> </w:t>
      </w:r>
      <w:r w:rsidRPr="00EE6D07">
        <w:t>2023.</w:t>
      </w:r>
    </w:p>
  </w:footnote>
  <w:footnote w:id="20">
    <w:p w14:paraId="61141D4C" w14:textId="1B57C2E7" w:rsidR="00E23A92" w:rsidRPr="003B7AF7" w:rsidRDefault="00BB539D" w:rsidP="00523589">
      <w:pPr>
        <w:spacing w:before="120" w:after="120" w:line="240" w:lineRule="auto"/>
        <w:jc w:val="both"/>
        <w:rPr>
          <w:rFonts w:cs="Times New Roman"/>
          <w:lang w:val="en-GB"/>
        </w:rPr>
      </w:pPr>
      <w:r w:rsidRPr="00B43C4B">
        <w:rPr>
          <w:rStyle w:val="Refdenotaalpie"/>
          <w:rFonts w:cs="Times New Roman"/>
        </w:rPr>
        <w:footnoteRef/>
      </w:r>
      <w:r w:rsidRPr="00D97B0D">
        <w:rPr>
          <w:rFonts w:eastAsia="Times New Roman" w:cs="Times New Roman"/>
          <w:lang w:val="en-US" w:eastAsia="es-ES"/>
        </w:rPr>
        <w:t xml:space="preserve"> </w:t>
      </w:r>
      <w:r w:rsidRPr="003B7AF7">
        <w:rPr>
          <w:rFonts w:eastAsia="Times New Roman" w:cs="Times New Roman"/>
          <w:lang w:val="en-GB" w:eastAsia="es-ES"/>
        </w:rPr>
        <w:t>In this regard, the Judgment of the Court of Justice of the European Union (Eighth Chamber) of 13 July 2017</w:t>
      </w:r>
      <w:r w:rsidR="00F04584">
        <w:rPr>
          <w:rFonts w:eastAsia="Times New Roman" w:cs="Times New Roman"/>
          <w:lang w:val="en-GB" w:eastAsia="es-ES"/>
        </w:rPr>
        <w:t xml:space="preserve"> is cited</w:t>
      </w:r>
      <w:r w:rsidRPr="003B7AF7">
        <w:rPr>
          <w:rFonts w:eastAsia="Times New Roman" w:cs="Times New Roman"/>
          <w:lang w:val="en-GB" w:eastAsia="es-ES"/>
        </w:rPr>
        <w:t>.</w:t>
      </w:r>
    </w:p>
  </w:footnote>
  <w:footnote w:id="21">
    <w:p w14:paraId="5BB4D01D" w14:textId="296D9D50" w:rsidR="00E23A92" w:rsidRPr="003B7AF7" w:rsidRDefault="00BB539D" w:rsidP="00523589">
      <w:pPr>
        <w:pStyle w:val="Textonotapie"/>
        <w:spacing w:before="120" w:after="120"/>
        <w:jc w:val="both"/>
        <w:rPr>
          <w:rFonts w:cs="Times New Roman"/>
        </w:rPr>
      </w:pPr>
      <w:r w:rsidRPr="003B7AF7">
        <w:rPr>
          <w:rStyle w:val="Refdenotaalpie"/>
          <w:rFonts w:cs="Times New Roman"/>
        </w:rPr>
        <w:footnoteRef/>
      </w:r>
      <w:r w:rsidRPr="003B7AF7">
        <w:rPr>
          <w:rFonts w:cs="Times New Roman"/>
        </w:rPr>
        <w:t xml:space="preserve"> </w:t>
      </w:r>
      <w:r w:rsidRPr="001B4BAF">
        <w:rPr>
          <w:rFonts w:cs="Times New Roman"/>
          <w:i/>
          <w:iCs/>
        </w:rPr>
        <w:t>The London Steamship Owners</w:t>
      </w:r>
      <w:r w:rsidR="00DE5299" w:rsidRPr="001B4BAF">
        <w:rPr>
          <w:rFonts w:cs="Times New Roman"/>
          <w:i/>
          <w:iCs/>
        </w:rPr>
        <w:t>’</w:t>
      </w:r>
      <w:r w:rsidRPr="001B4BAF">
        <w:rPr>
          <w:rFonts w:cs="Times New Roman"/>
          <w:i/>
          <w:iCs/>
        </w:rPr>
        <w:t xml:space="preserve"> Mutual Insurance Association Ltd and The Kingdom of Spain, M/T </w:t>
      </w:r>
      <w:r w:rsidR="00CD5A1A" w:rsidRPr="001B4BAF">
        <w:rPr>
          <w:rFonts w:cs="Times New Roman"/>
          <w:i/>
          <w:iCs/>
        </w:rPr>
        <w:t>“</w:t>
      </w:r>
      <w:r w:rsidRPr="001B4BAF">
        <w:rPr>
          <w:rFonts w:cs="Times New Roman"/>
          <w:i/>
          <w:iCs/>
        </w:rPr>
        <w:t>Prestige</w:t>
      </w:r>
      <w:r w:rsidR="00CD5A1A" w:rsidRPr="001B4BAF">
        <w:rPr>
          <w:rFonts w:cs="Times New Roman"/>
          <w:i/>
          <w:iCs/>
        </w:rPr>
        <w:t>”</w:t>
      </w:r>
      <w:r w:rsidRPr="001B4BAF">
        <w:rPr>
          <w:rFonts w:cs="Times New Roman"/>
          <w:i/>
          <w:iCs/>
        </w:rPr>
        <w:t xml:space="preserve"> (No. 5)</w:t>
      </w:r>
      <w:r w:rsidRPr="003B7AF7">
        <w:rPr>
          <w:rFonts w:cs="Times New Roman"/>
        </w:rPr>
        <w:t xml:space="preserve"> [2022] EWCA Civ 238, available at https://rb.gy/o71p4, accessed </w:t>
      </w:r>
      <w:r w:rsidR="001B4BAF">
        <w:rPr>
          <w:rFonts w:cs="Times New Roman"/>
        </w:rPr>
        <w:t>20 November</w:t>
      </w:r>
      <w:r w:rsidR="003A262A" w:rsidRPr="003B7AF7">
        <w:rPr>
          <w:rFonts w:cs="Times New Roman"/>
        </w:rPr>
        <w:t xml:space="preserve"> </w:t>
      </w:r>
      <w:r w:rsidRPr="003B7AF7">
        <w:rPr>
          <w:rFonts w:cs="Times New Roman"/>
        </w:rPr>
        <w:t>2023.</w:t>
      </w:r>
    </w:p>
  </w:footnote>
  <w:footnote w:id="22">
    <w:p w14:paraId="42A0CAC4" w14:textId="5152F217" w:rsidR="00E23A92" w:rsidRPr="00D97B0D" w:rsidRDefault="00BB539D" w:rsidP="00523589">
      <w:pPr>
        <w:pStyle w:val="Textonotapie"/>
        <w:spacing w:before="120" w:after="120"/>
        <w:jc w:val="both"/>
        <w:rPr>
          <w:lang w:val="en-US"/>
        </w:rPr>
      </w:pPr>
      <w:r w:rsidRPr="00B43C4B">
        <w:rPr>
          <w:rStyle w:val="Refdenotaalpie"/>
        </w:rPr>
        <w:footnoteRef/>
      </w:r>
      <w:r w:rsidR="00F200CC" w:rsidRPr="00D97B0D">
        <w:rPr>
          <w:lang w:val="en-US"/>
        </w:rPr>
        <w:t xml:space="preserve"> </w:t>
      </w:r>
      <w:r w:rsidR="00F200CC" w:rsidRPr="00C6259A">
        <w:t xml:space="preserve">Information taken from </w:t>
      </w:r>
      <w:r w:rsidRPr="00C6259A">
        <w:t xml:space="preserve">paragraph 36 of the judgment of the </w:t>
      </w:r>
      <w:r w:rsidRPr="00526953">
        <w:t>High Court of Justice Business and Property Courts of England and Wales Commercial Court (KBD)</w:t>
      </w:r>
      <w:r w:rsidRPr="00C6259A">
        <w:t xml:space="preserve"> of 6 October 2023, [2023] EWHC 2473 (Comm), available at https://bitly.ws/X8WK, accessed on </w:t>
      </w:r>
      <w:r w:rsidR="001B4BAF">
        <w:t>20 November</w:t>
      </w:r>
      <w:r w:rsidRPr="00C6259A">
        <w:t xml:space="preserve"> 2023.</w:t>
      </w:r>
    </w:p>
  </w:footnote>
  <w:footnote w:id="23">
    <w:p w14:paraId="2D8FA010" w14:textId="7CDF29E4" w:rsidR="00E23A92" w:rsidRPr="00D97B0D" w:rsidRDefault="00BB539D" w:rsidP="00523589">
      <w:pPr>
        <w:pStyle w:val="Textonotapie"/>
        <w:spacing w:before="120" w:after="120"/>
        <w:jc w:val="both"/>
        <w:rPr>
          <w:lang w:val="en-US"/>
        </w:rPr>
      </w:pPr>
      <w:r>
        <w:rPr>
          <w:rStyle w:val="Refdenotaalpie"/>
        </w:rPr>
        <w:footnoteRef/>
      </w:r>
      <w:r w:rsidRPr="00D97B0D">
        <w:rPr>
          <w:lang w:val="en-US"/>
        </w:rPr>
        <w:t xml:space="preserve"> </w:t>
      </w:r>
      <w:r w:rsidRPr="00556E30">
        <w:t>As reported in paragraph 4(8) of the High Court</w:t>
      </w:r>
      <w:r w:rsidRPr="00556E30">
        <w:rPr>
          <w:i/>
          <w:iCs/>
        </w:rPr>
        <w:t xml:space="preserve"> </w:t>
      </w:r>
      <w:r w:rsidRPr="00556E30">
        <w:t xml:space="preserve">judgment The French State and </w:t>
      </w:r>
      <w:r w:rsidRPr="00556E30">
        <w:rPr>
          <w:rFonts w:cs="Times New Roman"/>
        </w:rPr>
        <w:t>The London Steamship Owners</w:t>
      </w:r>
      <w:r w:rsidR="00DE5299" w:rsidRPr="00556E30">
        <w:rPr>
          <w:rFonts w:cs="Times New Roman"/>
        </w:rPr>
        <w:t>’</w:t>
      </w:r>
      <w:r w:rsidRPr="00556E30">
        <w:rPr>
          <w:rFonts w:cs="Times New Roman"/>
        </w:rPr>
        <w:t xml:space="preserve"> Mutual Insurance Association Ltd </w:t>
      </w:r>
      <w:r w:rsidRPr="00556E30">
        <w:t xml:space="preserve">[2023] EWHC 2474 (Comm), 8-9 August 2023, available at https://bitly.ws/XL8M, accessed </w:t>
      </w:r>
      <w:r w:rsidR="001B4BAF">
        <w:t>20 November</w:t>
      </w:r>
      <w:r w:rsidRPr="00556E30">
        <w:t xml:space="preserve"> 2023.</w:t>
      </w:r>
    </w:p>
  </w:footnote>
  <w:footnote w:id="24">
    <w:p w14:paraId="79FC5E00" w14:textId="18CC7120" w:rsidR="00E23A92" w:rsidRPr="00EF1DFC" w:rsidRDefault="00BB539D" w:rsidP="00523589">
      <w:pPr>
        <w:pStyle w:val="Textonotapie"/>
        <w:spacing w:before="120" w:after="120"/>
        <w:jc w:val="both"/>
        <w:rPr>
          <w:rFonts w:cs="Times New Roman"/>
        </w:rPr>
      </w:pPr>
      <w:r w:rsidRPr="00EF1DFC">
        <w:rPr>
          <w:rStyle w:val="Refdenotaalpie"/>
          <w:rFonts w:cs="Times New Roman"/>
        </w:rPr>
        <w:footnoteRef/>
      </w:r>
      <w:r w:rsidRPr="00EF1DFC">
        <w:rPr>
          <w:rFonts w:cs="Times New Roman"/>
        </w:rPr>
        <w:t xml:space="preserve"> See https://www.igpandi.org/, accessed </w:t>
      </w:r>
      <w:r w:rsidR="001B4BAF">
        <w:rPr>
          <w:rFonts w:cs="Times New Roman"/>
        </w:rPr>
        <w:t>20 November</w:t>
      </w:r>
      <w:r w:rsidRPr="00EF1DFC">
        <w:rPr>
          <w:rFonts w:cs="Times New Roman"/>
        </w:rPr>
        <w:t xml:space="preserve"> 2023. </w:t>
      </w:r>
    </w:p>
  </w:footnote>
  <w:footnote w:id="25">
    <w:p w14:paraId="61AF1E2F" w14:textId="64E9D882" w:rsidR="00E23A92" w:rsidRPr="00EF1DFC" w:rsidRDefault="00BB539D" w:rsidP="00523589">
      <w:pPr>
        <w:pStyle w:val="Textonotapie"/>
        <w:spacing w:before="120" w:after="120"/>
        <w:jc w:val="both"/>
        <w:rPr>
          <w:rFonts w:cs="Times New Roman"/>
        </w:rPr>
      </w:pPr>
      <w:r w:rsidRPr="00EF1DFC">
        <w:rPr>
          <w:rStyle w:val="Refdenotaalpie"/>
          <w:rFonts w:cs="Times New Roman"/>
        </w:rPr>
        <w:footnoteRef/>
      </w:r>
      <w:r w:rsidRPr="00EF1DFC">
        <w:rPr>
          <w:rFonts w:cs="Times New Roman"/>
        </w:rPr>
        <w:t xml:space="preserve"> See IMO website at https://bit.ly/3HWkGnr, accessed </w:t>
      </w:r>
      <w:r w:rsidR="001B4BAF">
        <w:rPr>
          <w:rFonts w:cs="Times New Roman"/>
        </w:rPr>
        <w:t>20 Novemb</w:t>
      </w:r>
      <w:r w:rsidRPr="00EF1DFC">
        <w:rPr>
          <w:rFonts w:cs="Times New Roman"/>
        </w:rPr>
        <w:t xml:space="preserve">er 2023. </w:t>
      </w:r>
    </w:p>
  </w:footnote>
  <w:footnote w:id="26">
    <w:p w14:paraId="1625D867" w14:textId="77777777" w:rsidR="00E23A92" w:rsidRPr="00EF1DFC" w:rsidRDefault="00BB539D" w:rsidP="00523589">
      <w:pPr>
        <w:spacing w:before="120" w:after="120" w:line="240" w:lineRule="auto"/>
        <w:jc w:val="both"/>
        <w:rPr>
          <w:lang w:val="en-GB"/>
        </w:rPr>
      </w:pPr>
      <w:r w:rsidRPr="00EF1DFC">
        <w:rPr>
          <w:rStyle w:val="Refdenotaalpie"/>
          <w:lang w:val="en-GB"/>
        </w:rPr>
        <w:footnoteRef/>
      </w:r>
      <w:r w:rsidRPr="00EF1DFC">
        <w:rPr>
          <w:rFonts w:cs="Times New Roman"/>
          <w:lang w:val="en-GB"/>
        </w:rPr>
        <w:t xml:space="preserve"> There is an alternative market to the IGP&amp;I P&amp;I clubs, but their insurers do not have as much coverage and solvency capacity. </w:t>
      </w:r>
    </w:p>
  </w:footnote>
  <w:footnote w:id="27">
    <w:p w14:paraId="44EBAD67" w14:textId="5BA616E6" w:rsidR="00E23A92" w:rsidRPr="00D97B0D" w:rsidRDefault="00BB539D" w:rsidP="00523589">
      <w:pPr>
        <w:pStyle w:val="Textonotapie"/>
        <w:spacing w:before="120" w:after="120"/>
        <w:jc w:val="both"/>
        <w:rPr>
          <w:lang w:val="en-US"/>
        </w:rPr>
      </w:pPr>
      <w:r w:rsidRPr="00EF1DFC">
        <w:rPr>
          <w:rStyle w:val="Refdenotaalpie"/>
        </w:rPr>
        <w:footnoteRef/>
      </w:r>
      <w:r w:rsidRPr="00EF1DFC">
        <w:t xml:space="preserve"> E</w:t>
      </w:r>
      <w:r w:rsidR="001B4BAF">
        <w:t>quasis</w:t>
      </w:r>
      <w:r w:rsidRPr="00EF1DFC">
        <w:t xml:space="preserve">, </w:t>
      </w:r>
      <w:r w:rsidR="001B4BAF">
        <w:rPr>
          <w:rFonts w:cs="Times New Roman"/>
        </w:rPr>
        <w:t>`</w:t>
      </w:r>
      <w:r w:rsidRPr="00EF1DFC">
        <w:rPr>
          <w:i/>
          <w:iCs/>
        </w:rPr>
        <w:t>The 2021 world merchant fleet. Statistics from Equasis</w:t>
      </w:r>
      <w:r w:rsidR="001B4BAF">
        <w:rPr>
          <w:rFonts w:cs="Times New Roman"/>
          <w:i/>
          <w:iCs/>
        </w:rPr>
        <w:t>´</w:t>
      </w:r>
      <w:r w:rsidR="001B4BAF">
        <w:rPr>
          <w:i/>
          <w:iCs/>
        </w:rPr>
        <w:t xml:space="preserve"> </w:t>
      </w:r>
      <w:r w:rsidR="001B4BAF" w:rsidRPr="001B4BAF">
        <w:t>(Equasis, 2022</w:t>
      </w:r>
      <w:r w:rsidR="001B4BAF">
        <w:rPr>
          <w:i/>
          <w:iCs/>
        </w:rPr>
        <w:t>)</w:t>
      </w:r>
      <w:r w:rsidRPr="00EF1DFC">
        <w:t xml:space="preserve">, available at </w:t>
      </w:r>
      <w:r w:rsidR="008404B8" w:rsidRPr="00EF1DFC">
        <w:t xml:space="preserve">https://bitly.ws/XMEP, accessed </w:t>
      </w:r>
      <w:r w:rsidR="001B4BAF">
        <w:t>20</w:t>
      </w:r>
      <w:r w:rsidR="008404B8" w:rsidRPr="00EF1DFC">
        <w:t xml:space="preserve"> </w:t>
      </w:r>
      <w:r w:rsidR="001B4BAF">
        <w:t>November</w:t>
      </w:r>
      <w:r w:rsidR="008404B8" w:rsidRPr="00EF1DFC">
        <w:t xml:space="preserve"> 2023.</w:t>
      </w:r>
    </w:p>
  </w:footnote>
  <w:footnote w:id="28">
    <w:p w14:paraId="206814EC" w14:textId="4768274D" w:rsidR="00E23A92" w:rsidRPr="00D97B0D" w:rsidRDefault="00BB539D" w:rsidP="00523589">
      <w:pPr>
        <w:pStyle w:val="Textonotapie"/>
        <w:spacing w:before="120" w:after="120"/>
        <w:jc w:val="both"/>
        <w:rPr>
          <w:rFonts w:cs="Times New Roman"/>
          <w:lang w:val="es-ES"/>
        </w:rPr>
      </w:pPr>
      <w:r w:rsidRPr="00552464">
        <w:rPr>
          <w:rStyle w:val="Refdenotaalpie"/>
          <w:rFonts w:cs="Times New Roman"/>
        </w:rPr>
        <w:footnoteRef/>
      </w:r>
      <w:r w:rsidRPr="00D97B0D">
        <w:rPr>
          <w:rFonts w:cs="Times New Roman"/>
          <w:lang w:val="es-ES"/>
        </w:rPr>
        <w:t xml:space="preserve"> See</w:t>
      </w:r>
      <w:r w:rsidR="001B4BAF">
        <w:rPr>
          <w:rFonts w:cs="Times New Roman"/>
          <w:lang w:val="es-ES"/>
        </w:rPr>
        <w:t xml:space="preserve"> E Sierra-Noguero</w:t>
      </w:r>
      <w:r w:rsidRPr="00D97B0D">
        <w:rPr>
          <w:rFonts w:cs="Times New Roman"/>
          <w:lang w:val="es-ES"/>
        </w:rPr>
        <w:t xml:space="preserve">, </w:t>
      </w:r>
      <w:r w:rsidR="001B4BAF">
        <w:rPr>
          <w:rFonts w:cs="Times New Roman"/>
          <w:lang w:val="es-ES"/>
        </w:rPr>
        <w:t>`</w:t>
      </w:r>
      <w:r w:rsidRPr="00D97B0D">
        <w:rPr>
          <w:rFonts w:cs="Times New Roman"/>
          <w:lang w:val="es-ES"/>
        </w:rPr>
        <w:t>El grupo internacional de clubes de protección e indemnización</w:t>
      </w:r>
      <w:r w:rsidR="001B4BAF">
        <w:rPr>
          <w:rFonts w:cs="Times New Roman"/>
          <w:lang w:val="es-ES"/>
        </w:rPr>
        <w:t>´ i</w:t>
      </w:r>
      <w:r w:rsidRPr="00D97B0D">
        <w:rPr>
          <w:rFonts w:cs="Times New Roman"/>
          <w:lang w:val="es-ES"/>
        </w:rPr>
        <w:t xml:space="preserve">n </w:t>
      </w:r>
      <w:r w:rsidR="001B4BAF">
        <w:rPr>
          <w:rFonts w:cs="Times New Roman"/>
          <w:lang w:val="es-ES"/>
        </w:rPr>
        <w:t xml:space="preserve">M V Petit </w:t>
      </w:r>
      <w:r w:rsidRPr="00D97B0D">
        <w:rPr>
          <w:rFonts w:cs="Times New Roman"/>
          <w:lang w:val="es-ES"/>
        </w:rPr>
        <w:t>L</w:t>
      </w:r>
      <w:r w:rsidR="001B4BAF">
        <w:rPr>
          <w:rFonts w:cs="Times New Roman"/>
          <w:lang w:val="es-ES"/>
        </w:rPr>
        <w:t>avall and F Martínez Sanz (</w:t>
      </w:r>
      <w:r w:rsidRPr="00D97B0D">
        <w:rPr>
          <w:rFonts w:cs="Times New Roman"/>
          <w:lang w:val="es-ES"/>
        </w:rPr>
        <w:t xml:space="preserve">dirs.) and </w:t>
      </w:r>
      <w:r w:rsidR="001B4BAF">
        <w:rPr>
          <w:rFonts w:cs="Times New Roman"/>
          <w:lang w:val="es-ES"/>
        </w:rPr>
        <w:t xml:space="preserve">A </w:t>
      </w:r>
      <w:r w:rsidRPr="00D97B0D">
        <w:rPr>
          <w:rFonts w:cs="Times New Roman"/>
          <w:lang w:val="es-ES"/>
        </w:rPr>
        <w:t>P</w:t>
      </w:r>
      <w:r w:rsidR="001B4BAF">
        <w:rPr>
          <w:rFonts w:cs="Times New Roman"/>
          <w:lang w:val="es-ES"/>
        </w:rPr>
        <w:t>uetz</w:t>
      </w:r>
      <w:r w:rsidRPr="00D97B0D">
        <w:rPr>
          <w:rFonts w:cs="Times New Roman"/>
          <w:lang w:val="es-ES"/>
        </w:rPr>
        <w:t xml:space="preserve"> (coord.), </w:t>
      </w:r>
      <w:r w:rsidRPr="00D97B0D">
        <w:rPr>
          <w:rFonts w:cs="Times New Roman"/>
          <w:i/>
          <w:lang w:val="es-ES"/>
        </w:rPr>
        <w:t>La nueva ordenación del mercado de transporte</w:t>
      </w:r>
      <w:r w:rsidRPr="00D97B0D">
        <w:rPr>
          <w:rFonts w:cs="Times New Roman"/>
          <w:lang w:val="es-ES"/>
        </w:rPr>
        <w:t xml:space="preserve">, </w:t>
      </w:r>
      <w:r w:rsidR="000A6A94">
        <w:rPr>
          <w:rFonts w:cs="Times New Roman"/>
          <w:lang w:val="es-ES"/>
        </w:rPr>
        <w:t>(</w:t>
      </w:r>
      <w:r w:rsidRPr="00D97B0D">
        <w:rPr>
          <w:rFonts w:cs="Times New Roman"/>
          <w:lang w:val="es-ES"/>
        </w:rPr>
        <w:t>Marcial Pons</w:t>
      </w:r>
      <w:r w:rsidR="000A6A94">
        <w:rPr>
          <w:rFonts w:cs="Times New Roman"/>
          <w:lang w:val="es-ES"/>
        </w:rPr>
        <w:t xml:space="preserve"> 2013) </w:t>
      </w:r>
      <w:r w:rsidRPr="00D97B0D">
        <w:rPr>
          <w:rFonts w:cs="Times New Roman"/>
          <w:lang w:val="es-ES"/>
        </w:rPr>
        <w:t>789-807.</w:t>
      </w:r>
    </w:p>
  </w:footnote>
  <w:footnote w:id="29">
    <w:p w14:paraId="53F766AB" w14:textId="08C6F60B" w:rsidR="00E23A92" w:rsidRPr="00552464" w:rsidRDefault="00BB539D" w:rsidP="00523589">
      <w:pPr>
        <w:pStyle w:val="Textonotapie"/>
        <w:spacing w:before="120" w:after="120"/>
        <w:jc w:val="both"/>
      </w:pPr>
      <w:r w:rsidRPr="00552464">
        <w:rPr>
          <w:rStyle w:val="Refdenotaalpie"/>
        </w:rPr>
        <w:footnoteRef/>
      </w:r>
      <w:r w:rsidRPr="00552464">
        <w:rPr>
          <w:iCs/>
        </w:rPr>
        <w:t xml:space="preserve"> For example, Rule 11.3 of the P&amp;I Insurance Rules 2023-2024 edition of The London P&amp;I Club provides that if the aggregate amount of claims against an insured for oil pollution liability per incident exceeds </w:t>
      </w:r>
      <w:r w:rsidRPr="00552464">
        <w:rPr>
          <w:i/>
        </w:rPr>
        <w:t>U.S. Dollars One Billion</w:t>
      </w:r>
      <w:r w:rsidRPr="00552464">
        <w:rPr>
          <w:iCs/>
        </w:rPr>
        <w:t>, the association shall not be liable for the payment of any amount for such claims in excess of this limitation of coverage</w:t>
      </w:r>
      <w:r w:rsidRPr="00552464">
        <w:t xml:space="preserve">. </w:t>
      </w:r>
    </w:p>
  </w:footnote>
  <w:footnote w:id="30">
    <w:p w14:paraId="552A8C28" w14:textId="42FF234A" w:rsidR="00E23A92" w:rsidRPr="00D97B0D" w:rsidRDefault="00BB539D" w:rsidP="00523589">
      <w:pPr>
        <w:pStyle w:val="Textonotapie"/>
        <w:spacing w:before="120" w:after="120"/>
        <w:rPr>
          <w:lang w:val="en-US"/>
        </w:rPr>
      </w:pPr>
      <w:r w:rsidRPr="00552464">
        <w:rPr>
          <w:rStyle w:val="Refdenotaalpie"/>
        </w:rPr>
        <w:footnoteRef/>
      </w:r>
      <w:r w:rsidRPr="00552464">
        <w:t xml:space="preserve"> Available at https://bitly.ws/XMMf, accessed </w:t>
      </w:r>
      <w:r w:rsidR="000A6A94">
        <w:t>20 November</w:t>
      </w:r>
      <w:r w:rsidRPr="00552464">
        <w:t xml:space="preserve"> 2023.</w:t>
      </w:r>
    </w:p>
  </w:footnote>
  <w:footnote w:id="31">
    <w:p w14:paraId="5C4FB2CC" w14:textId="07EFCA31" w:rsidR="00E23A92" w:rsidRPr="00D97B0D" w:rsidRDefault="00BB539D" w:rsidP="00523589">
      <w:pPr>
        <w:pStyle w:val="Textonotapie"/>
        <w:spacing w:before="120" w:after="120"/>
        <w:jc w:val="both"/>
        <w:rPr>
          <w:lang w:val="en-US"/>
        </w:rPr>
      </w:pPr>
      <w:r>
        <w:rPr>
          <w:rStyle w:val="Refdenotaalpie"/>
        </w:rPr>
        <w:footnoteRef/>
      </w:r>
      <w:r w:rsidRPr="00D97B0D">
        <w:rPr>
          <w:lang w:val="en-US"/>
        </w:rPr>
        <w:t xml:space="preserve"> </w:t>
      </w:r>
      <w:r w:rsidRPr="000907A4">
        <w:t xml:space="preserve">Judgment of the Court (Eighth Chamber) of 13 July 2017. </w:t>
      </w:r>
      <w:r w:rsidRPr="000A6A94">
        <w:rPr>
          <w:i/>
          <w:iCs/>
        </w:rPr>
        <w:t>Assens Havn v Navigators Management (UK) Limited</w:t>
      </w:r>
      <w:r w:rsidRPr="000907A4">
        <w:t xml:space="preserve">. Case C-368/16, available at https://bitly.ws/XN4J, accessed </w:t>
      </w:r>
      <w:r w:rsidR="000A6A94">
        <w:t>20</w:t>
      </w:r>
      <w:r w:rsidRPr="000907A4">
        <w:t xml:space="preserve"> </w:t>
      </w:r>
      <w:r w:rsidR="000A6A94">
        <w:t>November</w:t>
      </w:r>
      <w:r w:rsidRPr="000907A4">
        <w:t xml:space="preserve"> 2023.</w:t>
      </w:r>
    </w:p>
  </w:footnote>
  <w:footnote w:id="32">
    <w:p w14:paraId="788B14E5" w14:textId="19FD14CE" w:rsidR="00E23A92" w:rsidRPr="001E299C" w:rsidRDefault="00BB539D" w:rsidP="00523589">
      <w:pPr>
        <w:pStyle w:val="Textonotapie"/>
        <w:spacing w:before="120" w:after="120"/>
        <w:jc w:val="both"/>
      </w:pPr>
      <w:r w:rsidRPr="00B43C4B">
        <w:rPr>
          <w:rStyle w:val="Refdenotaalpie"/>
        </w:rPr>
        <w:footnoteRef/>
      </w:r>
      <w:r w:rsidRPr="00D97B0D">
        <w:rPr>
          <w:lang w:val="en-US"/>
        </w:rPr>
        <w:t xml:space="preserve"> </w:t>
      </w:r>
      <w:r w:rsidRPr="001E299C">
        <w:t>See B</w:t>
      </w:r>
      <w:r w:rsidR="000A6A94">
        <w:t>imco</w:t>
      </w:r>
      <w:r w:rsidRPr="001E299C">
        <w:t xml:space="preserve"> website at https://bitly.ws/XiCU, accessed </w:t>
      </w:r>
      <w:r w:rsidR="000A6A94">
        <w:t>20 November</w:t>
      </w:r>
      <w:r w:rsidRPr="001E299C">
        <w:t xml:space="preserve"> 2023.</w:t>
      </w:r>
    </w:p>
  </w:footnote>
  <w:footnote w:id="33">
    <w:p w14:paraId="0AAD9EC3" w14:textId="77777777" w:rsidR="00E23A92" w:rsidRPr="001E299C" w:rsidRDefault="00BB539D" w:rsidP="00523589">
      <w:pPr>
        <w:pStyle w:val="Textonotapie"/>
        <w:spacing w:before="120" w:after="120"/>
        <w:jc w:val="both"/>
      </w:pPr>
      <w:r w:rsidRPr="001E299C">
        <w:rPr>
          <w:rStyle w:val="Refdenotaalpie"/>
        </w:rPr>
        <w:footnoteRef/>
      </w:r>
      <w:r w:rsidRPr="001E299C">
        <w:t xml:space="preserve"> </w:t>
      </w:r>
      <w:r w:rsidRPr="000A6A94">
        <w:rPr>
          <w:i/>
          <w:iCs/>
        </w:rPr>
        <w:t>The Fanti and the Padre Island</w:t>
      </w:r>
      <w:r w:rsidRPr="001E299C">
        <w:t xml:space="preserve"> [1991] 2 AC 1.</w:t>
      </w:r>
    </w:p>
  </w:footnote>
  <w:footnote w:id="34">
    <w:p w14:paraId="3A584AF4" w14:textId="6AB208EC" w:rsidR="00A52E8C" w:rsidRPr="001E299C" w:rsidRDefault="00A52E8C" w:rsidP="00523589">
      <w:pPr>
        <w:pStyle w:val="Textonotapie"/>
        <w:spacing w:before="120" w:after="120"/>
        <w:jc w:val="both"/>
      </w:pPr>
      <w:r w:rsidRPr="001E299C">
        <w:rPr>
          <w:rStyle w:val="Refdenotaalpie"/>
        </w:rPr>
        <w:footnoteRef/>
      </w:r>
      <w:r w:rsidRPr="001E299C">
        <w:rPr>
          <w:rFonts w:cs="Times New Roman"/>
        </w:rPr>
        <w:t xml:space="preserve"> </w:t>
      </w:r>
      <w:r w:rsidRPr="000A6A94">
        <w:rPr>
          <w:rFonts w:cs="Times New Roman"/>
          <w:i/>
          <w:iCs/>
        </w:rPr>
        <w:t>West Tankers v Allianz</w:t>
      </w:r>
      <w:r w:rsidRPr="001E299C">
        <w:rPr>
          <w:rFonts w:cs="Times New Roman"/>
        </w:rPr>
        <w:t xml:space="preserve"> [2012] EWCA Civ 27, available at https://bitly.ws/XiFo, accessed </w:t>
      </w:r>
      <w:r w:rsidR="000A6A94">
        <w:rPr>
          <w:rFonts w:cs="Times New Roman"/>
        </w:rPr>
        <w:t xml:space="preserve">20 November </w:t>
      </w:r>
      <w:r w:rsidRPr="001E299C">
        <w:rPr>
          <w:rFonts w:cs="Times New Roman"/>
        </w:rPr>
        <w:t>2023.</w:t>
      </w:r>
    </w:p>
  </w:footnote>
  <w:footnote w:id="35">
    <w:p w14:paraId="27271E82" w14:textId="5258B260" w:rsidR="00E23A92" w:rsidRPr="001E299C" w:rsidRDefault="00BB539D" w:rsidP="00523589">
      <w:pPr>
        <w:pStyle w:val="Textonotapie"/>
        <w:spacing w:before="120" w:after="120"/>
        <w:jc w:val="both"/>
        <w:rPr>
          <w:rFonts w:cs="Times New Roman"/>
        </w:rPr>
      </w:pPr>
      <w:r w:rsidRPr="001E299C">
        <w:rPr>
          <w:rStyle w:val="Refdenotaalpie"/>
          <w:rFonts w:cs="Times New Roman"/>
        </w:rPr>
        <w:footnoteRef/>
      </w:r>
      <w:r w:rsidRPr="001E299C">
        <w:rPr>
          <w:i/>
          <w:iCs/>
        </w:rPr>
        <w:t xml:space="preserve"> </w:t>
      </w:r>
      <w:r w:rsidR="00ED555C">
        <w:rPr>
          <w:i/>
          <w:iCs/>
        </w:rPr>
        <w:t>See</w:t>
      </w:r>
      <w:r w:rsidRPr="001E299C">
        <w:rPr>
          <w:i/>
          <w:iCs/>
        </w:rPr>
        <w:t xml:space="preserve"> </w:t>
      </w:r>
      <w:r w:rsidRPr="001E299C">
        <w:rPr>
          <w:rFonts w:cs="Times New Roman"/>
        </w:rPr>
        <w:t>SSTS 6 February 2003 (</w:t>
      </w:r>
      <w:r w:rsidRPr="001E299C">
        <w:rPr>
          <w:rFonts w:cs="Times New Roman"/>
          <w:i/>
          <w:iCs/>
        </w:rPr>
        <w:t xml:space="preserve">Cendoj </w:t>
      </w:r>
      <w:r w:rsidRPr="001E299C">
        <w:rPr>
          <w:rFonts w:cs="Times New Roman"/>
        </w:rPr>
        <w:t xml:space="preserve">28079110012003102108) and 3 July 2003, </w:t>
      </w:r>
      <w:r w:rsidRPr="000A6A94">
        <w:rPr>
          <w:rFonts w:cs="Times New Roman"/>
          <w:i/>
          <w:iCs/>
        </w:rPr>
        <w:t>Seabank</w:t>
      </w:r>
      <w:r w:rsidRPr="001E299C">
        <w:rPr>
          <w:rFonts w:cs="Times New Roman"/>
        </w:rPr>
        <w:t xml:space="preserve"> case (</w:t>
      </w:r>
      <w:r w:rsidRPr="001E299C">
        <w:rPr>
          <w:rFonts w:cs="Times New Roman"/>
          <w:i/>
        </w:rPr>
        <w:t xml:space="preserve">La Ley </w:t>
      </w:r>
      <w:r w:rsidRPr="001E299C">
        <w:rPr>
          <w:rFonts w:cs="Times New Roman"/>
        </w:rPr>
        <w:t>2609/2003).</w:t>
      </w:r>
    </w:p>
  </w:footnote>
  <w:footnote w:id="36">
    <w:p w14:paraId="22CA37EC" w14:textId="62745DDE" w:rsidR="00E23A92" w:rsidRPr="00284CFE" w:rsidRDefault="00BB539D" w:rsidP="00523589">
      <w:pPr>
        <w:pStyle w:val="Textonotapie"/>
        <w:spacing w:before="120" w:after="120"/>
        <w:jc w:val="both"/>
        <w:rPr>
          <w:lang w:val="es-ES"/>
        </w:rPr>
      </w:pPr>
      <w:r w:rsidRPr="00B43C4B">
        <w:rPr>
          <w:rStyle w:val="Refdenotaalpie"/>
          <w:lang w:val="es-ES_tradnl"/>
        </w:rPr>
        <w:footnoteRef/>
      </w:r>
      <w:r w:rsidRPr="00D97B0D">
        <w:rPr>
          <w:lang w:val="en-US"/>
        </w:rPr>
        <w:t xml:space="preserve"> </w:t>
      </w:r>
      <w:r w:rsidRPr="0099227F">
        <w:t xml:space="preserve">On the website of the International Maritime Organisation, see http://bitly.ws/J3rUm, </w:t>
      </w:r>
      <w:r w:rsidR="00284CFE">
        <w:t>accessed 20 November</w:t>
      </w:r>
      <w:r w:rsidR="006E69FA" w:rsidRPr="0099227F">
        <w:t xml:space="preserve"> </w:t>
      </w:r>
      <w:r w:rsidRPr="0099227F">
        <w:t xml:space="preserve">2023. </w:t>
      </w:r>
      <w:r w:rsidR="00284CFE" w:rsidRPr="00284CFE">
        <w:rPr>
          <w:lang w:val="es-ES"/>
        </w:rPr>
        <w:t>Se</w:t>
      </w:r>
      <w:r w:rsidR="00284CFE">
        <w:rPr>
          <w:lang w:val="es-ES"/>
        </w:rPr>
        <w:t xml:space="preserve">e </w:t>
      </w:r>
      <w:r w:rsidRPr="00284CFE">
        <w:rPr>
          <w:lang w:val="es-ES"/>
        </w:rPr>
        <w:t xml:space="preserve">also </w:t>
      </w:r>
      <w:r w:rsidR="00284CFE" w:rsidRPr="00284CFE">
        <w:rPr>
          <w:lang w:val="es-ES"/>
        </w:rPr>
        <w:t xml:space="preserve">M </w:t>
      </w:r>
      <w:r w:rsidRPr="00284CFE">
        <w:rPr>
          <w:lang w:val="es-ES"/>
        </w:rPr>
        <w:t>G</w:t>
      </w:r>
      <w:r w:rsidR="00284CFE" w:rsidRPr="00284CFE">
        <w:rPr>
          <w:lang w:val="es-ES"/>
        </w:rPr>
        <w:t xml:space="preserve">arcía Pérez and J </w:t>
      </w:r>
      <w:r w:rsidRPr="00284CFE">
        <w:rPr>
          <w:lang w:val="es-ES"/>
        </w:rPr>
        <w:t>S</w:t>
      </w:r>
      <w:r w:rsidR="00284CFE" w:rsidRPr="00284CFE">
        <w:rPr>
          <w:lang w:val="es-ES"/>
        </w:rPr>
        <w:t>anz Larruga</w:t>
      </w:r>
      <w:r w:rsidRPr="00284CFE">
        <w:rPr>
          <w:lang w:val="es-ES"/>
        </w:rPr>
        <w:t xml:space="preserve"> (</w:t>
      </w:r>
      <w:r w:rsidR="00284CFE" w:rsidRPr="00284CFE">
        <w:rPr>
          <w:lang w:val="es-ES"/>
        </w:rPr>
        <w:t>c</w:t>
      </w:r>
      <w:r w:rsidRPr="00284CFE">
        <w:rPr>
          <w:lang w:val="es-ES"/>
        </w:rPr>
        <w:t xml:space="preserve">oords.), </w:t>
      </w:r>
      <w:r w:rsidRPr="00284CFE">
        <w:rPr>
          <w:i/>
          <w:iCs/>
          <w:lang w:val="es-ES"/>
        </w:rPr>
        <w:t>Seguridad marítima y medio ambiente</w:t>
      </w:r>
      <w:r w:rsidR="00284CFE" w:rsidRPr="00284CFE">
        <w:rPr>
          <w:i/>
          <w:iCs/>
          <w:lang w:val="es-ES"/>
        </w:rPr>
        <w:t xml:space="preserve"> </w:t>
      </w:r>
      <w:r w:rsidR="00284CFE" w:rsidRPr="00284CFE">
        <w:rPr>
          <w:lang w:val="es-ES"/>
        </w:rPr>
        <w:t>(</w:t>
      </w:r>
      <w:r w:rsidRPr="00284CFE">
        <w:rPr>
          <w:lang w:val="es-ES"/>
        </w:rPr>
        <w:t>Netbiblo, 2016</w:t>
      </w:r>
      <w:r w:rsidR="00284CFE" w:rsidRPr="00284CFE">
        <w:rPr>
          <w:lang w:val="es-ES"/>
        </w:rPr>
        <w:t xml:space="preserve">) </w:t>
      </w:r>
      <w:r w:rsidRPr="00284CFE">
        <w:rPr>
          <w:lang w:val="es-ES"/>
        </w:rPr>
        <w:t xml:space="preserve">19. </w:t>
      </w:r>
    </w:p>
  </w:footnote>
  <w:footnote w:id="37">
    <w:p w14:paraId="42D01248" w14:textId="2CE0D2ED" w:rsidR="00E23A92" w:rsidRPr="00D97B0D" w:rsidRDefault="00BB539D" w:rsidP="00523589">
      <w:pPr>
        <w:pStyle w:val="Textonotapie"/>
        <w:spacing w:before="120" w:after="120"/>
        <w:jc w:val="both"/>
        <w:rPr>
          <w:rFonts w:cs="Times New Roman"/>
          <w:lang w:val="es-ES"/>
        </w:rPr>
      </w:pPr>
      <w:r w:rsidRPr="0099227F">
        <w:rPr>
          <w:rStyle w:val="Refdenotaalpie"/>
          <w:rFonts w:cs="Times New Roman"/>
        </w:rPr>
        <w:footnoteRef/>
      </w:r>
      <w:r w:rsidRPr="00D97B0D">
        <w:rPr>
          <w:rFonts w:cs="Times New Roman"/>
          <w:i/>
          <w:lang w:val="es-ES"/>
        </w:rPr>
        <w:t xml:space="preserve"> </w:t>
      </w:r>
      <w:r w:rsidR="00DC138C" w:rsidRPr="00B43C4B">
        <w:rPr>
          <w:rFonts w:cs="Times New Roman"/>
          <w:i/>
          <w:lang w:val="es-ES_tradnl"/>
        </w:rPr>
        <w:t>Boletín Oficial del Estado</w:t>
      </w:r>
      <w:r w:rsidRPr="00D97B0D">
        <w:rPr>
          <w:rFonts w:cs="Times New Roman"/>
          <w:lang w:val="es-ES"/>
        </w:rPr>
        <w:t>, no. 28, 2 February 2005.</w:t>
      </w:r>
    </w:p>
  </w:footnote>
  <w:footnote w:id="38">
    <w:p w14:paraId="435A1AD0" w14:textId="22604644" w:rsidR="00E23A92" w:rsidRPr="00FE1947" w:rsidRDefault="00BB539D" w:rsidP="00523589">
      <w:pPr>
        <w:pStyle w:val="Textonotapie"/>
        <w:spacing w:before="120" w:after="120"/>
        <w:jc w:val="both"/>
      </w:pPr>
      <w:r w:rsidRPr="00B43C4B">
        <w:rPr>
          <w:rStyle w:val="Refdenotaalpie"/>
          <w:lang w:val="es-ES_tradnl"/>
        </w:rPr>
        <w:footnoteRef/>
      </w:r>
      <w:r w:rsidR="00673801" w:rsidRPr="00D97B0D">
        <w:rPr>
          <w:lang w:val="en-US"/>
        </w:rPr>
        <w:t xml:space="preserve"> </w:t>
      </w:r>
      <w:r w:rsidR="00673801" w:rsidRPr="00FE1947">
        <w:t xml:space="preserve">Available at </w:t>
      </w:r>
      <w:r w:rsidRPr="00FE1947">
        <w:t xml:space="preserve">https://bitly.ws/XMWQ, accessed </w:t>
      </w:r>
      <w:r w:rsidR="00284CFE">
        <w:t>20 November</w:t>
      </w:r>
      <w:r w:rsidRPr="00FE1947">
        <w:t xml:space="preserve"> 2023.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B1AB8"/>
    <w:multiLevelType w:val="hybridMultilevel"/>
    <w:tmpl w:val="C07AB62E"/>
    <w:lvl w:ilvl="0" w:tplc="86142D96">
      <w:start w:val="1"/>
      <w:numFmt w:val="decimal"/>
      <w:lvlText w:val="%1."/>
      <w:lvlJc w:val="left"/>
      <w:pPr>
        <w:ind w:left="720" w:hanging="360"/>
      </w:pPr>
      <w:rPr>
        <w:rFonts w:hint="default"/>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0BB2469"/>
    <w:multiLevelType w:val="hybridMultilevel"/>
    <w:tmpl w:val="CF627BFC"/>
    <w:lvl w:ilvl="0" w:tplc="F50C68C6">
      <w:start w:val="1"/>
      <w:numFmt w:val="decimal"/>
      <w:lvlText w:val="%1."/>
      <w:lvlJc w:val="left"/>
      <w:pPr>
        <w:ind w:left="720" w:hanging="360"/>
      </w:pPr>
      <w:rPr>
        <w:rFonts w:hint="default"/>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23F5505"/>
    <w:multiLevelType w:val="hybridMultilevel"/>
    <w:tmpl w:val="3D241FCC"/>
    <w:lvl w:ilvl="0" w:tplc="0C0A000F">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4D20FAC"/>
    <w:multiLevelType w:val="hybridMultilevel"/>
    <w:tmpl w:val="F282144E"/>
    <w:lvl w:ilvl="0" w:tplc="563A78D6">
      <w:start w:val="1"/>
      <w:numFmt w:val="decimal"/>
      <w:lvlText w:val="%1)"/>
      <w:lvlJc w:val="left"/>
      <w:pPr>
        <w:ind w:left="720"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4DB6462"/>
    <w:multiLevelType w:val="multilevel"/>
    <w:tmpl w:val="FE12BE0A"/>
    <w:lvl w:ilvl="0">
      <w:start w:val="1"/>
      <w:numFmt w:val="upperRoman"/>
      <w:lvlText w:val="%1."/>
      <w:lvlJc w:val="left"/>
      <w:pPr>
        <w:ind w:left="1080" w:hanging="720"/>
      </w:pPr>
      <w:rPr>
        <w:rFonts w:eastAsia="Times New Roman" w:hint="default"/>
        <w:color w:val="00000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4F55460"/>
    <w:multiLevelType w:val="multilevel"/>
    <w:tmpl w:val="D21869A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5BE064D"/>
    <w:multiLevelType w:val="hybridMultilevel"/>
    <w:tmpl w:val="0FFC9092"/>
    <w:lvl w:ilvl="0" w:tplc="1EFE48D2">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821032D"/>
    <w:multiLevelType w:val="multilevel"/>
    <w:tmpl w:val="7CEA8BCE"/>
    <w:lvl w:ilvl="0">
      <w:start w:val="1"/>
      <w:numFmt w:val="decimal"/>
      <w:lvlText w:val="%1."/>
      <w:lvlJc w:val="left"/>
      <w:pPr>
        <w:ind w:left="144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440"/>
      </w:pPr>
      <w:rPr>
        <w:rFonts w:hint="default"/>
      </w:rPr>
    </w:lvl>
    <w:lvl w:ilvl="4">
      <w:start w:val="1"/>
      <w:numFmt w:val="decimal"/>
      <w:isLgl/>
      <w:lvlText w:val="%1.%2.%3.%4.%5."/>
      <w:lvlJc w:val="left"/>
      <w:pPr>
        <w:ind w:left="2880" w:hanging="1800"/>
      </w:pPr>
      <w:rPr>
        <w:rFonts w:hint="default"/>
      </w:rPr>
    </w:lvl>
    <w:lvl w:ilvl="5">
      <w:start w:val="1"/>
      <w:numFmt w:val="decimal"/>
      <w:isLgl/>
      <w:lvlText w:val="%1.%2.%3.%4.%5.%6."/>
      <w:lvlJc w:val="left"/>
      <w:pPr>
        <w:ind w:left="2880" w:hanging="1800"/>
      </w:pPr>
      <w:rPr>
        <w:rFonts w:hint="default"/>
      </w:rPr>
    </w:lvl>
    <w:lvl w:ilvl="6">
      <w:start w:val="1"/>
      <w:numFmt w:val="decimal"/>
      <w:isLgl/>
      <w:lvlText w:val="%1.%2.%3.%4.%5.%6.%7."/>
      <w:lvlJc w:val="left"/>
      <w:pPr>
        <w:ind w:left="3240" w:hanging="2160"/>
      </w:pPr>
      <w:rPr>
        <w:rFonts w:hint="default"/>
      </w:rPr>
    </w:lvl>
    <w:lvl w:ilvl="7">
      <w:start w:val="1"/>
      <w:numFmt w:val="decimal"/>
      <w:isLgl/>
      <w:lvlText w:val="%1.%2.%3.%4.%5.%6.%7.%8."/>
      <w:lvlJc w:val="left"/>
      <w:pPr>
        <w:ind w:left="3600" w:hanging="2520"/>
      </w:pPr>
      <w:rPr>
        <w:rFonts w:hint="default"/>
      </w:rPr>
    </w:lvl>
    <w:lvl w:ilvl="8">
      <w:start w:val="1"/>
      <w:numFmt w:val="decimal"/>
      <w:isLgl/>
      <w:lvlText w:val="%1.%2.%3.%4.%5.%6.%7.%8.%9."/>
      <w:lvlJc w:val="left"/>
      <w:pPr>
        <w:ind w:left="3960" w:hanging="2880"/>
      </w:pPr>
      <w:rPr>
        <w:rFonts w:hint="default"/>
      </w:rPr>
    </w:lvl>
  </w:abstractNum>
  <w:abstractNum w:abstractNumId="8" w15:restartNumberingAfterBreak="0">
    <w:nsid w:val="09355AC8"/>
    <w:multiLevelType w:val="hybridMultilevel"/>
    <w:tmpl w:val="571E746C"/>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16B70F9"/>
    <w:multiLevelType w:val="hybridMultilevel"/>
    <w:tmpl w:val="EAFA197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329305E"/>
    <w:multiLevelType w:val="hybridMultilevel"/>
    <w:tmpl w:val="83DC3920"/>
    <w:lvl w:ilvl="0" w:tplc="6FE65648">
      <w:start w:val="1"/>
      <w:numFmt w:val="decimal"/>
      <w:lvlText w:val="%1."/>
      <w:lvlJc w:val="left"/>
      <w:pPr>
        <w:ind w:left="1437" w:hanging="360"/>
      </w:pPr>
      <w:rPr>
        <w:rFonts w:hint="default"/>
      </w:rPr>
    </w:lvl>
    <w:lvl w:ilvl="1" w:tplc="0C0A0019" w:tentative="1">
      <w:start w:val="1"/>
      <w:numFmt w:val="lowerLetter"/>
      <w:lvlText w:val="%2."/>
      <w:lvlJc w:val="left"/>
      <w:pPr>
        <w:ind w:left="2157" w:hanging="360"/>
      </w:pPr>
    </w:lvl>
    <w:lvl w:ilvl="2" w:tplc="0C0A001B" w:tentative="1">
      <w:start w:val="1"/>
      <w:numFmt w:val="lowerRoman"/>
      <w:lvlText w:val="%3."/>
      <w:lvlJc w:val="right"/>
      <w:pPr>
        <w:ind w:left="2877" w:hanging="180"/>
      </w:pPr>
    </w:lvl>
    <w:lvl w:ilvl="3" w:tplc="0C0A000F" w:tentative="1">
      <w:start w:val="1"/>
      <w:numFmt w:val="decimal"/>
      <w:lvlText w:val="%4."/>
      <w:lvlJc w:val="left"/>
      <w:pPr>
        <w:ind w:left="3597" w:hanging="360"/>
      </w:pPr>
    </w:lvl>
    <w:lvl w:ilvl="4" w:tplc="0C0A0019" w:tentative="1">
      <w:start w:val="1"/>
      <w:numFmt w:val="lowerLetter"/>
      <w:lvlText w:val="%5."/>
      <w:lvlJc w:val="left"/>
      <w:pPr>
        <w:ind w:left="4317" w:hanging="360"/>
      </w:pPr>
    </w:lvl>
    <w:lvl w:ilvl="5" w:tplc="0C0A001B" w:tentative="1">
      <w:start w:val="1"/>
      <w:numFmt w:val="lowerRoman"/>
      <w:lvlText w:val="%6."/>
      <w:lvlJc w:val="right"/>
      <w:pPr>
        <w:ind w:left="5037" w:hanging="180"/>
      </w:pPr>
    </w:lvl>
    <w:lvl w:ilvl="6" w:tplc="0C0A000F" w:tentative="1">
      <w:start w:val="1"/>
      <w:numFmt w:val="decimal"/>
      <w:lvlText w:val="%7."/>
      <w:lvlJc w:val="left"/>
      <w:pPr>
        <w:ind w:left="5757" w:hanging="360"/>
      </w:pPr>
    </w:lvl>
    <w:lvl w:ilvl="7" w:tplc="0C0A0019" w:tentative="1">
      <w:start w:val="1"/>
      <w:numFmt w:val="lowerLetter"/>
      <w:lvlText w:val="%8."/>
      <w:lvlJc w:val="left"/>
      <w:pPr>
        <w:ind w:left="6477" w:hanging="360"/>
      </w:pPr>
    </w:lvl>
    <w:lvl w:ilvl="8" w:tplc="0C0A001B" w:tentative="1">
      <w:start w:val="1"/>
      <w:numFmt w:val="lowerRoman"/>
      <w:lvlText w:val="%9."/>
      <w:lvlJc w:val="right"/>
      <w:pPr>
        <w:ind w:left="7197" w:hanging="180"/>
      </w:pPr>
    </w:lvl>
  </w:abstractNum>
  <w:abstractNum w:abstractNumId="11" w15:restartNumberingAfterBreak="0">
    <w:nsid w:val="141653B7"/>
    <w:multiLevelType w:val="hybridMultilevel"/>
    <w:tmpl w:val="537ADBD6"/>
    <w:lvl w:ilvl="0" w:tplc="3BBCF68E">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4F5230B"/>
    <w:multiLevelType w:val="hybridMultilevel"/>
    <w:tmpl w:val="5D04D65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79A3080"/>
    <w:multiLevelType w:val="hybridMultilevel"/>
    <w:tmpl w:val="874AC240"/>
    <w:lvl w:ilvl="0" w:tplc="A5A2CE1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BE43596"/>
    <w:multiLevelType w:val="hybridMultilevel"/>
    <w:tmpl w:val="38686ADC"/>
    <w:lvl w:ilvl="0" w:tplc="65C22A12">
      <w:start w:val="2"/>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1D1A2A16"/>
    <w:multiLevelType w:val="hybridMultilevel"/>
    <w:tmpl w:val="5B52F318"/>
    <w:lvl w:ilvl="0" w:tplc="D76260EA">
      <w:start w:val="1"/>
      <w:numFmt w:val="decimal"/>
      <w:lvlText w:val="%1."/>
      <w:lvlJc w:val="left"/>
      <w:pPr>
        <w:ind w:left="1440" w:hanging="360"/>
      </w:pPr>
      <w:rPr>
        <w:rFonts w:hint="default"/>
      </w:rPr>
    </w:lvl>
    <w:lvl w:ilvl="1" w:tplc="0C0A0019">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6" w15:restartNumberingAfterBreak="0">
    <w:nsid w:val="1E875744"/>
    <w:multiLevelType w:val="multilevel"/>
    <w:tmpl w:val="DCB0E190"/>
    <w:lvl w:ilvl="0">
      <w:start w:val="1"/>
      <w:numFmt w:val="decimal"/>
      <w:lvlText w:val="%1."/>
      <w:lvlJc w:val="left"/>
      <w:pPr>
        <w:ind w:left="720" w:hanging="360"/>
      </w:pPr>
      <w:rPr>
        <w:rFonts w:hint="default"/>
        <w:i w:val="0"/>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600" w:hanging="3240"/>
      </w:pPr>
      <w:rPr>
        <w:rFonts w:hint="default"/>
      </w:rPr>
    </w:lvl>
  </w:abstractNum>
  <w:abstractNum w:abstractNumId="17" w15:restartNumberingAfterBreak="0">
    <w:nsid w:val="1FDE3BE4"/>
    <w:multiLevelType w:val="hybridMultilevel"/>
    <w:tmpl w:val="5AC2568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9A555EE"/>
    <w:multiLevelType w:val="multilevel"/>
    <w:tmpl w:val="9A1CAB9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1D04668"/>
    <w:multiLevelType w:val="multilevel"/>
    <w:tmpl w:val="7FEE2F4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1F54ADD"/>
    <w:multiLevelType w:val="hybridMultilevel"/>
    <w:tmpl w:val="B128BD6A"/>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60A693D"/>
    <w:multiLevelType w:val="multilevel"/>
    <w:tmpl w:val="6AC0E376"/>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7864796"/>
    <w:multiLevelType w:val="multilevel"/>
    <w:tmpl w:val="69ECFB3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3" w15:restartNumberingAfterBreak="0">
    <w:nsid w:val="382932B3"/>
    <w:multiLevelType w:val="hybridMultilevel"/>
    <w:tmpl w:val="C1B024AE"/>
    <w:lvl w:ilvl="0" w:tplc="5C6611D6">
      <w:start w:val="1"/>
      <w:numFmt w:val="decimal"/>
      <w:lvlText w:val="%1)"/>
      <w:lvlJc w:val="left"/>
      <w:pPr>
        <w:ind w:left="720" w:hanging="360"/>
      </w:pPr>
      <w:rPr>
        <w:rFonts w:eastAsia="Times New Roman" w:hint="default"/>
        <w:color w:val="00000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8C23539"/>
    <w:multiLevelType w:val="hybridMultilevel"/>
    <w:tmpl w:val="FD74EF7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E837607"/>
    <w:multiLevelType w:val="hybridMultilevel"/>
    <w:tmpl w:val="9906F750"/>
    <w:lvl w:ilvl="0" w:tplc="92C2CA54">
      <w:start w:val="1"/>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0530412"/>
    <w:multiLevelType w:val="hybridMultilevel"/>
    <w:tmpl w:val="B0DEBAEE"/>
    <w:lvl w:ilvl="0" w:tplc="0C0A0019">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7" w15:restartNumberingAfterBreak="0">
    <w:nsid w:val="41FD4FAC"/>
    <w:multiLevelType w:val="hybridMultilevel"/>
    <w:tmpl w:val="534ABAC0"/>
    <w:lvl w:ilvl="0" w:tplc="ADC27C06">
      <w:start w:val="2"/>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48021EE"/>
    <w:multiLevelType w:val="hybridMultilevel"/>
    <w:tmpl w:val="E6C25CBE"/>
    <w:lvl w:ilvl="0" w:tplc="4A7AAF76">
      <w:start w:val="1"/>
      <w:numFmt w:val="decimal"/>
      <w:lvlText w:val="%1)"/>
      <w:lvlJc w:val="left"/>
      <w:pPr>
        <w:ind w:left="720" w:hanging="360"/>
      </w:pPr>
      <w:rPr>
        <w:rFonts w:ascii="Times New Roman" w:eastAsia="Times New Roman" w:hAnsi="Times New Roman" w:cs="Times New Roman"/>
        <w:i w:val="0"/>
        <w:iCs w:val="0"/>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4710718D"/>
    <w:multiLevelType w:val="hybridMultilevel"/>
    <w:tmpl w:val="280A8B0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47CD449D"/>
    <w:multiLevelType w:val="hybridMultilevel"/>
    <w:tmpl w:val="4E3849C0"/>
    <w:lvl w:ilvl="0" w:tplc="62E429AE">
      <w:start w:val="3"/>
      <w:numFmt w:val="upperRoman"/>
      <w:lvlText w:val="%1."/>
      <w:lvlJc w:val="left"/>
      <w:pPr>
        <w:ind w:left="960" w:hanging="720"/>
      </w:pPr>
      <w:rPr>
        <w:rFonts w:hint="default"/>
      </w:rPr>
    </w:lvl>
    <w:lvl w:ilvl="1" w:tplc="0C0A0019" w:tentative="1">
      <w:start w:val="1"/>
      <w:numFmt w:val="lowerLetter"/>
      <w:lvlText w:val="%2."/>
      <w:lvlJc w:val="left"/>
      <w:pPr>
        <w:ind w:left="1320" w:hanging="360"/>
      </w:pPr>
    </w:lvl>
    <w:lvl w:ilvl="2" w:tplc="0C0A001B" w:tentative="1">
      <w:start w:val="1"/>
      <w:numFmt w:val="lowerRoman"/>
      <w:lvlText w:val="%3."/>
      <w:lvlJc w:val="right"/>
      <w:pPr>
        <w:ind w:left="2040" w:hanging="180"/>
      </w:pPr>
    </w:lvl>
    <w:lvl w:ilvl="3" w:tplc="0C0A000F" w:tentative="1">
      <w:start w:val="1"/>
      <w:numFmt w:val="decimal"/>
      <w:lvlText w:val="%4."/>
      <w:lvlJc w:val="left"/>
      <w:pPr>
        <w:ind w:left="2760" w:hanging="360"/>
      </w:pPr>
    </w:lvl>
    <w:lvl w:ilvl="4" w:tplc="0C0A0019" w:tentative="1">
      <w:start w:val="1"/>
      <w:numFmt w:val="lowerLetter"/>
      <w:lvlText w:val="%5."/>
      <w:lvlJc w:val="left"/>
      <w:pPr>
        <w:ind w:left="3480" w:hanging="360"/>
      </w:pPr>
    </w:lvl>
    <w:lvl w:ilvl="5" w:tplc="0C0A001B" w:tentative="1">
      <w:start w:val="1"/>
      <w:numFmt w:val="lowerRoman"/>
      <w:lvlText w:val="%6."/>
      <w:lvlJc w:val="right"/>
      <w:pPr>
        <w:ind w:left="4200" w:hanging="180"/>
      </w:pPr>
    </w:lvl>
    <w:lvl w:ilvl="6" w:tplc="0C0A000F" w:tentative="1">
      <w:start w:val="1"/>
      <w:numFmt w:val="decimal"/>
      <w:lvlText w:val="%7."/>
      <w:lvlJc w:val="left"/>
      <w:pPr>
        <w:ind w:left="4920" w:hanging="360"/>
      </w:pPr>
    </w:lvl>
    <w:lvl w:ilvl="7" w:tplc="0C0A0019" w:tentative="1">
      <w:start w:val="1"/>
      <w:numFmt w:val="lowerLetter"/>
      <w:lvlText w:val="%8."/>
      <w:lvlJc w:val="left"/>
      <w:pPr>
        <w:ind w:left="5640" w:hanging="360"/>
      </w:pPr>
    </w:lvl>
    <w:lvl w:ilvl="8" w:tplc="0C0A001B" w:tentative="1">
      <w:start w:val="1"/>
      <w:numFmt w:val="lowerRoman"/>
      <w:lvlText w:val="%9."/>
      <w:lvlJc w:val="right"/>
      <w:pPr>
        <w:ind w:left="6360" w:hanging="180"/>
      </w:pPr>
    </w:lvl>
  </w:abstractNum>
  <w:abstractNum w:abstractNumId="31" w15:restartNumberingAfterBreak="0">
    <w:nsid w:val="4CA06BD8"/>
    <w:multiLevelType w:val="hybridMultilevel"/>
    <w:tmpl w:val="E5C0AEF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51766721"/>
    <w:multiLevelType w:val="hybridMultilevel"/>
    <w:tmpl w:val="4D3C464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571D3820"/>
    <w:multiLevelType w:val="hybridMultilevel"/>
    <w:tmpl w:val="C99E6A9E"/>
    <w:lvl w:ilvl="0" w:tplc="0A7EF460">
      <w:start w:val="2"/>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59090999"/>
    <w:multiLevelType w:val="hybridMultilevel"/>
    <w:tmpl w:val="B44E8752"/>
    <w:lvl w:ilvl="0" w:tplc="7ECA70B0">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5AD735EC"/>
    <w:multiLevelType w:val="hybridMultilevel"/>
    <w:tmpl w:val="C8FE397C"/>
    <w:lvl w:ilvl="0" w:tplc="C48265A4">
      <w:start w:val="4"/>
      <w:numFmt w:val="lowerRoman"/>
      <w:lvlText w:val="%1."/>
      <w:lvlJc w:val="left"/>
      <w:pPr>
        <w:ind w:left="1080" w:hanging="720"/>
      </w:pPr>
      <w:rPr>
        <w:rFonts w:ascii="Times New Roman" w:hAnsi="Times New Roman" w:cs="Times New Roman" w:hint="default"/>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5C4B7290"/>
    <w:multiLevelType w:val="hybridMultilevel"/>
    <w:tmpl w:val="B304564E"/>
    <w:lvl w:ilvl="0" w:tplc="805E0CFE">
      <w:start w:val="2"/>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5C7536A9"/>
    <w:multiLevelType w:val="hybridMultilevel"/>
    <w:tmpl w:val="A8CE8BE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5C980E92"/>
    <w:multiLevelType w:val="hybridMultilevel"/>
    <w:tmpl w:val="280A8B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E036DB5"/>
    <w:multiLevelType w:val="hybridMultilevel"/>
    <w:tmpl w:val="1E1217E8"/>
    <w:lvl w:ilvl="0" w:tplc="6E2E6AA2">
      <w:start w:val="1"/>
      <w:numFmt w:val="upperRoman"/>
      <w:lvlText w:val="%1."/>
      <w:lvlJc w:val="left"/>
      <w:pPr>
        <w:ind w:left="312" w:hanging="196"/>
      </w:pPr>
      <w:rPr>
        <w:rFonts w:ascii="Times New Roman" w:eastAsia="Times New Roman" w:hAnsi="Times New Roman" w:cs="Times New Roman" w:hint="default"/>
        <w:b/>
        <w:bCs/>
        <w:spacing w:val="-1"/>
        <w:w w:val="100"/>
        <w:sz w:val="22"/>
        <w:szCs w:val="22"/>
        <w:lang w:val="es-ES" w:eastAsia="en-US" w:bidi="ar-SA"/>
      </w:rPr>
    </w:lvl>
    <w:lvl w:ilvl="1" w:tplc="6AFA61E8">
      <w:start w:val="1"/>
      <w:numFmt w:val="decimal"/>
      <w:lvlText w:val="%2."/>
      <w:lvlJc w:val="left"/>
      <w:pPr>
        <w:ind w:left="117" w:hanging="216"/>
      </w:pPr>
      <w:rPr>
        <w:rFonts w:ascii="Times New Roman" w:eastAsia="Times New Roman" w:hAnsi="Times New Roman" w:cs="Times New Roman" w:hint="default"/>
        <w:b/>
        <w:bCs/>
        <w:w w:val="100"/>
        <w:sz w:val="22"/>
        <w:szCs w:val="22"/>
        <w:lang w:val="es-ES" w:eastAsia="en-US" w:bidi="ar-SA"/>
      </w:rPr>
    </w:lvl>
    <w:lvl w:ilvl="2" w:tplc="8460DC66">
      <w:numFmt w:val="bullet"/>
      <w:lvlText w:val="•"/>
      <w:lvlJc w:val="left"/>
      <w:pPr>
        <w:ind w:left="1318" w:hanging="216"/>
      </w:pPr>
      <w:rPr>
        <w:rFonts w:hint="default"/>
        <w:lang w:val="es-ES" w:eastAsia="en-US" w:bidi="ar-SA"/>
      </w:rPr>
    </w:lvl>
    <w:lvl w:ilvl="3" w:tplc="F2BA8D30">
      <w:numFmt w:val="bullet"/>
      <w:lvlText w:val="•"/>
      <w:lvlJc w:val="left"/>
      <w:pPr>
        <w:ind w:left="2316" w:hanging="216"/>
      </w:pPr>
      <w:rPr>
        <w:rFonts w:hint="default"/>
        <w:lang w:val="es-ES" w:eastAsia="en-US" w:bidi="ar-SA"/>
      </w:rPr>
    </w:lvl>
    <w:lvl w:ilvl="4" w:tplc="CF268530">
      <w:numFmt w:val="bullet"/>
      <w:lvlText w:val="•"/>
      <w:lvlJc w:val="left"/>
      <w:pPr>
        <w:ind w:left="3315" w:hanging="216"/>
      </w:pPr>
      <w:rPr>
        <w:rFonts w:hint="default"/>
        <w:lang w:val="es-ES" w:eastAsia="en-US" w:bidi="ar-SA"/>
      </w:rPr>
    </w:lvl>
    <w:lvl w:ilvl="5" w:tplc="003075CA">
      <w:numFmt w:val="bullet"/>
      <w:lvlText w:val="•"/>
      <w:lvlJc w:val="left"/>
      <w:pPr>
        <w:ind w:left="4313" w:hanging="216"/>
      </w:pPr>
      <w:rPr>
        <w:rFonts w:hint="default"/>
        <w:lang w:val="es-ES" w:eastAsia="en-US" w:bidi="ar-SA"/>
      </w:rPr>
    </w:lvl>
    <w:lvl w:ilvl="6" w:tplc="4488A3DA">
      <w:numFmt w:val="bullet"/>
      <w:lvlText w:val="•"/>
      <w:lvlJc w:val="left"/>
      <w:pPr>
        <w:ind w:left="5311" w:hanging="216"/>
      </w:pPr>
      <w:rPr>
        <w:rFonts w:hint="default"/>
        <w:lang w:val="es-ES" w:eastAsia="en-US" w:bidi="ar-SA"/>
      </w:rPr>
    </w:lvl>
    <w:lvl w:ilvl="7" w:tplc="68D88C32">
      <w:numFmt w:val="bullet"/>
      <w:lvlText w:val="•"/>
      <w:lvlJc w:val="left"/>
      <w:pPr>
        <w:ind w:left="6310" w:hanging="216"/>
      </w:pPr>
      <w:rPr>
        <w:rFonts w:hint="default"/>
        <w:lang w:val="es-ES" w:eastAsia="en-US" w:bidi="ar-SA"/>
      </w:rPr>
    </w:lvl>
    <w:lvl w:ilvl="8" w:tplc="DF42804C">
      <w:numFmt w:val="bullet"/>
      <w:lvlText w:val="•"/>
      <w:lvlJc w:val="left"/>
      <w:pPr>
        <w:ind w:left="7308" w:hanging="216"/>
      </w:pPr>
      <w:rPr>
        <w:rFonts w:hint="default"/>
        <w:lang w:val="es-ES" w:eastAsia="en-US" w:bidi="ar-SA"/>
      </w:rPr>
    </w:lvl>
  </w:abstractNum>
  <w:abstractNum w:abstractNumId="40" w15:restartNumberingAfterBreak="0">
    <w:nsid w:val="61A71D0E"/>
    <w:multiLevelType w:val="hybridMultilevel"/>
    <w:tmpl w:val="DCBA541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637C5A68"/>
    <w:multiLevelType w:val="multilevel"/>
    <w:tmpl w:val="DCB0E190"/>
    <w:lvl w:ilvl="0">
      <w:start w:val="1"/>
      <w:numFmt w:val="decimal"/>
      <w:lvlText w:val="%1."/>
      <w:lvlJc w:val="left"/>
      <w:pPr>
        <w:ind w:left="720" w:hanging="360"/>
      </w:pPr>
      <w:rPr>
        <w:rFonts w:hint="default"/>
        <w:i w:val="0"/>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600" w:hanging="3240"/>
      </w:pPr>
      <w:rPr>
        <w:rFonts w:hint="default"/>
      </w:rPr>
    </w:lvl>
  </w:abstractNum>
  <w:abstractNum w:abstractNumId="42" w15:restartNumberingAfterBreak="0">
    <w:nsid w:val="652F0716"/>
    <w:multiLevelType w:val="hybridMultilevel"/>
    <w:tmpl w:val="6FE65A94"/>
    <w:lvl w:ilvl="0" w:tplc="0C0A000F">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674B660C"/>
    <w:multiLevelType w:val="multilevel"/>
    <w:tmpl w:val="099C29B2"/>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6B50258B"/>
    <w:multiLevelType w:val="hybridMultilevel"/>
    <w:tmpl w:val="F876711A"/>
    <w:lvl w:ilvl="0" w:tplc="7D545DC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725755DB"/>
    <w:multiLevelType w:val="hybridMultilevel"/>
    <w:tmpl w:val="329604D4"/>
    <w:lvl w:ilvl="0" w:tplc="33DCC904">
      <w:start w:val="3"/>
      <w:numFmt w:val="bullet"/>
      <w:lvlText w:val="-"/>
      <w:lvlJc w:val="left"/>
      <w:pPr>
        <w:ind w:left="720" w:hanging="360"/>
      </w:pPr>
      <w:rPr>
        <w:rFonts w:ascii="Times New Roman" w:eastAsiaTheme="minorHAnsi" w:hAnsi="Times New Roman" w:cs="Times New Roman"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15:restartNumberingAfterBreak="0">
    <w:nsid w:val="731005A6"/>
    <w:multiLevelType w:val="hybridMultilevel"/>
    <w:tmpl w:val="E5767F4A"/>
    <w:lvl w:ilvl="0" w:tplc="7FB4887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75D70B9F"/>
    <w:multiLevelType w:val="multilevel"/>
    <w:tmpl w:val="1EA02152"/>
    <w:lvl w:ilvl="0">
      <w:start w:val="1"/>
      <w:numFmt w:val="decimal"/>
      <w:pStyle w:val="ParaLevel1"/>
      <w:lvlText w:val="%1."/>
      <w:lvlJc w:val="left"/>
      <w:pPr>
        <w:tabs>
          <w:tab w:val="num" w:pos="960"/>
        </w:tabs>
        <w:ind w:left="960" w:hanging="720"/>
      </w:pPr>
      <w:rPr>
        <w:rFonts w:cs="Times New Roman" w:hint="default"/>
        <w:b w:val="0"/>
        <w:i w:val="0"/>
        <w:u w:val="none"/>
      </w:rPr>
    </w:lvl>
    <w:lvl w:ilvl="1">
      <w:start w:val="1"/>
      <w:numFmt w:val="lowerRoman"/>
      <w:pStyle w:val="ParaLevel2"/>
      <w:lvlText w:val="%2)"/>
      <w:lvlJc w:val="left"/>
      <w:pPr>
        <w:tabs>
          <w:tab w:val="num" w:pos="1418"/>
        </w:tabs>
        <w:ind w:left="1418" w:hanging="709"/>
      </w:pPr>
      <w:rPr>
        <w:rFonts w:ascii="Times New Roman" w:eastAsia="Times New Roman" w:hAnsi="Times New Roman" w:cs="Times New Roman" w:hint="default"/>
        <w:b w:val="0"/>
        <w:i w:val="0"/>
      </w:rPr>
    </w:lvl>
    <w:lvl w:ilvl="2">
      <w:start w:val="1"/>
      <w:numFmt w:val="lowerLetter"/>
      <w:pStyle w:val="ParaLevel3"/>
      <w:lvlText w:val="%3)"/>
      <w:lvlJc w:val="left"/>
      <w:pPr>
        <w:tabs>
          <w:tab w:val="num" w:pos="2127"/>
        </w:tabs>
        <w:ind w:left="2127" w:hanging="709"/>
      </w:pPr>
      <w:rPr>
        <w:rFonts w:cs="Times New Roman" w:hint="default"/>
      </w:rPr>
    </w:lvl>
    <w:lvl w:ilvl="3">
      <w:start w:val="1"/>
      <w:numFmt w:val="lowerRoman"/>
      <w:pStyle w:val="ParaLevel4"/>
      <w:lvlText w:val="%4)"/>
      <w:lvlJc w:val="left"/>
      <w:pPr>
        <w:tabs>
          <w:tab w:val="num" w:pos="3207"/>
        </w:tabs>
        <w:ind w:left="2836" w:hanging="709"/>
      </w:pPr>
      <w:rPr>
        <w:rFonts w:cs="Times New Roman" w:hint="default"/>
      </w:rPr>
    </w:lvl>
    <w:lvl w:ilvl="4">
      <w:start w:val="1"/>
      <w:numFmt w:val="lowerLetter"/>
      <w:pStyle w:val="ParaLevel5"/>
      <w:lvlText w:val="(%5)"/>
      <w:lvlJc w:val="left"/>
      <w:pPr>
        <w:tabs>
          <w:tab w:val="num" w:pos="3545"/>
        </w:tabs>
        <w:ind w:left="3545" w:hanging="709"/>
      </w:pPr>
      <w:rPr>
        <w:rFonts w:cs="Times New Roman" w:hint="default"/>
      </w:rPr>
    </w:lvl>
    <w:lvl w:ilvl="5">
      <w:start w:val="1"/>
      <w:numFmt w:val="lowerRoman"/>
      <w:pStyle w:val="ParaLevel6"/>
      <w:lvlText w:val="(%6)"/>
      <w:lvlJc w:val="left"/>
      <w:pPr>
        <w:tabs>
          <w:tab w:val="num" w:pos="4625"/>
        </w:tabs>
        <w:ind w:left="4254" w:hanging="709"/>
      </w:pPr>
      <w:rPr>
        <w:rFonts w:cs="Times New Roman" w:hint="default"/>
      </w:rPr>
    </w:lvl>
    <w:lvl w:ilvl="6">
      <w:start w:val="1"/>
      <w:numFmt w:val="lowerLetter"/>
      <w:pStyle w:val="ParaLevel7"/>
      <w:lvlText w:val="(%7)"/>
      <w:lvlJc w:val="left"/>
      <w:pPr>
        <w:tabs>
          <w:tab w:val="num" w:pos="4963"/>
        </w:tabs>
        <w:ind w:left="4963" w:hanging="709"/>
      </w:pPr>
      <w:rPr>
        <w:rFonts w:cs="Times New Roman" w:hint="default"/>
      </w:rPr>
    </w:lvl>
    <w:lvl w:ilvl="7">
      <w:start w:val="1"/>
      <w:numFmt w:val="lowerRoman"/>
      <w:pStyle w:val="ParaLevel8"/>
      <w:lvlText w:val="(%8)"/>
      <w:lvlJc w:val="left"/>
      <w:pPr>
        <w:tabs>
          <w:tab w:val="num" w:pos="6043"/>
        </w:tabs>
        <w:ind w:left="5672" w:hanging="709"/>
      </w:pPr>
      <w:rPr>
        <w:rFonts w:cs="Times New Roman" w:hint="default"/>
      </w:rPr>
    </w:lvl>
    <w:lvl w:ilvl="8">
      <w:start w:val="1"/>
      <w:numFmt w:val="lowerLetter"/>
      <w:pStyle w:val="ParaLevel9"/>
      <w:lvlText w:val="(%9)"/>
      <w:lvlJc w:val="left"/>
      <w:pPr>
        <w:tabs>
          <w:tab w:val="num" w:pos="6381"/>
        </w:tabs>
        <w:ind w:left="6381" w:hanging="709"/>
      </w:pPr>
      <w:rPr>
        <w:rFonts w:cs="Times New Roman" w:hint="default"/>
      </w:rPr>
    </w:lvl>
  </w:abstractNum>
  <w:abstractNum w:abstractNumId="48" w15:restartNumberingAfterBreak="0">
    <w:nsid w:val="780947BB"/>
    <w:multiLevelType w:val="hybridMultilevel"/>
    <w:tmpl w:val="1D602E42"/>
    <w:lvl w:ilvl="0" w:tplc="E5AC7956">
      <w:start w:val="1"/>
      <w:numFmt w:val="upperLetter"/>
      <w:lvlText w:val="%1)"/>
      <w:lvlJc w:val="left"/>
      <w:pPr>
        <w:ind w:left="720" w:hanging="360"/>
      </w:pPr>
      <w:rPr>
        <w:rFonts w:hint="default"/>
        <w:lang w:val="es-E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7B3A4433"/>
    <w:multiLevelType w:val="multilevel"/>
    <w:tmpl w:val="79A87CCA"/>
    <w:lvl w:ilvl="0">
      <w:start w:val="1"/>
      <w:numFmt w:val="upperRoman"/>
      <w:lvlText w:val="%1."/>
      <w:lvlJc w:val="left"/>
      <w:pPr>
        <w:ind w:left="1080" w:hanging="720"/>
      </w:pPr>
      <w:rPr>
        <w:rFonts w:hint="default"/>
        <w:b/>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091846062">
    <w:abstractNumId w:val="47"/>
  </w:num>
  <w:num w:numId="2" w16cid:durableId="789081979">
    <w:abstractNumId w:val="49"/>
  </w:num>
  <w:num w:numId="3" w16cid:durableId="1588802590">
    <w:abstractNumId w:val="21"/>
  </w:num>
  <w:num w:numId="4" w16cid:durableId="1488015704">
    <w:abstractNumId w:val="30"/>
  </w:num>
  <w:num w:numId="5" w16cid:durableId="1330060449">
    <w:abstractNumId w:val="22"/>
  </w:num>
  <w:num w:numId="6" w16cid:durableId="674843631">
    <w:abstractNumId w:val="0"/>
  </w:num>
  <w:num w:numId="7" w16cid:durableId="595287838">
    <w:abstractNumId w:val="37"/>
  </w:num>
  <w:num w:numId="8" w16cid:durableId="895047329">
    <w:abstractNumId w:val="14"/>
  </w:num>
  <w:num w:numId="9" w16cid:durableId="2103792876">
    <w:abstractNumId w:val="27"/>
  </w:num>
  <w:num w:numId="10" w16cid:durableId="17894698">
    <w:abstractNumId w:val="24"/>
  </w:num>
  <w:num w:numId="11" w16cid:durableId="438795713">
    <w:abstractNumId w:val="9"/>
  </w:num>
  <w:num w:numId="12" w16cid:durableId="447089953">
    <w:abstractNumId w:val="16"/>
  </w:num>
  <w:num w:numId="13" w16cid:durableId="175777600">
    <w:abstractNumId w:val="35"/>
  </w:num>
  <w:num w:numId="14" w16cid:durableId="809908977">
    <w:abstractNumId w:val="10"/>
  </w:num>
  <w:num w:numId="15" w16cid:durableId="1789009100">
    <w:abstractNumId w:val="32"/>
  </w:num>
  <w:num w:numId="16" w16cid:durableId="1070733605">
    <w:abstractNumId w:val="17"/>
  </w:num>
  <w:num w:numId="17" w16cid:durableId="1956400852">
    <w:abstractNumId w:val="12"/>
  </w:num>
  <w:num w:numId="18" w16cid:durableId="766585560">
    <w:abstractNumId w:val="25"/>
  </w:num>
  <w:num w:numId="19" w16cid:durableId="1720592752">
    <w:abstractNumId w:val="36"/>
  </w:num>
  <w:num w:numId="20" w16cid:durableId="559826991">
    <w:abstractNumId w:val="45"/>
  </w:num>
  <w:num w:numId="21" w16cid:durableId="2058770856">
    <w:abstractNumId w:val="41"/>
  </w:num>
  <w:num w:numId="22" w16cid:durableId="408502310">
    <w:abstractNumId w:val="48"/>
  </w:num>
  <w:num w:numId="23" w16cid:durableId="53160163">
    <w:abstractNumId w:val="4"/>
  </w:num>
  <w:num w:numId="24" w16cid:durableId="1999653773">
    <w:abstractNumId w:val="29"/>
  </w:num>
  <w:num w:numId="25" w16cid:durableId="144855398">
    <w:abstractNumId w:val="6"/>
  </w:num>
  <w:num w:numId="26" w16cid:durableId="1845050392">
    <w:abstractNumId w:val="42"/>
  </w:num>
  <w:num w:numId="27" w16cid:durableId="1854494665">
    <w:abstractNumId w:val="18"/>
  </w:num>
  <w:num w:numId="28" w16cid:durableId="940723219">
    <w:abstractNumId w:val="5"/>
  </w:num>
  <w:num w:numId="29" w16cid:durableId="920869187">
    <w:abstractNumId w:val="38"/>
  </w:num>
  <w:num w:numId="30" w16cid:durableId="907038815">
    <w:abstractNumId w:val="33"/>
  </w:num>
  <w:num w:numId="31" w16cid:durableId="1254818165">
    <w:abstractNumId w:val="19"/>
  </w:num>
  <w:num w:numId="32" w16cid:durableId="1923373266">
    <w:abstractNumId w:val="34"/>
  </w:num>
  <w:num w:numId="33" w16cid:durableId="1430196971">
    <w:abstractNumId w:val="13"/>
  </w:num>
  <w:num w:numId="34" w16cid:durableId="10763851">
    <w:abstractNumId w:val="31"/>
  </w:num>
  <w:num w:numId="35" w16cid:durableId="1724022221">
    <w:abstractNumId w:val="15"/>
  </w:num>
  <w:num w:numId="36" w16cid:durableId="1827741418">
    <w:abstractNumId w:val="2"/>
  </w:num>
  <w:num w:numId="37" w16cid:durableId="189995968">
    <w:abstractNumId w:val="44"/>
  </w:num>
  <w:num w:numId="38" w16cid:durableId="2063866232">
    <w:abstractNumId w:val="46"/>
  </w:num>
  <w:num w:numId="39" w16cid:durableId="1612083448">
    <w:abstractNumId w:val="7"/>
  </w:num>
  <w:num w:numId="40" w16cid:durableId="1371102729">
    <w:abstractNumId w:val="20"/>
  </w:num>
  <w:num w:numId="41" w16cid:durableId="2031376874">
    <w:abstractNumId w:val="11"/>
  </w:num>
  <w:num w:numId="42" w16cid:durableId="1282301380">
    <w:abstractNumId w:val="40"/>
  </w:num>
  <w:num w:numId="43" w16cid:durableId="160901023">
    <w:abstractNumId w:val="8"/>
  </w:num>
  <w:num w:numId="44" w16cid:durableId="1794857986">
    <w:abstractNumId w:val="28"/>
  </w:num>
  <w:num w:numId="45" w16cid:durableId="478964487">
    <w:abstractNumId w:val="23"/>
  </w:num>
  <w:num w:numId="46" w16cid:durableId="412706799">
    <w:abstractNumId w:val="3"/>
  </w:num>
  <w:num w:numId="47" w16cid:durableId="269439631">
    <w:abstractNumId w:val="1"/>
  </w:num>
  <w:num w:numId="48" w16cid:durableId="905609132">
    <w:abstractNumId w:val="26"/>
  </w:num>
  <w:num w:numId="49" w16cid:durableId="1144085584">
    <w:abstractNumId w:val="39"/>
  </w:num>
  <w:num w:numId="50" w16cid:durableId="663123359">
    <w:abstractNumId w:val="4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activeWritingStyle w:appName="MSWord" w:lang="es-ES" w:vendorID="64" w:dllVersion="6" w:nlCheck="1" w:checkStyle="0"/>
  <w:activeWritingStyle w:appName="MSWord" w:lang="en-GB" w:vendorID="64" w:dllVersion="6" w:nlCheck="1" w:checkStyle="1"/>
  <w:activeWritingStyle w:appName="MSWord" w:lang="en-US" w:vendorID="64" w:dllVersion="6" w:nlCheck="1" w:checkStyle="1"/>
  <w:activeWritingStyle w:appName="MSWord" w:lang="es-ES_tradnl" w:vendorID="64" w:dllVersion="6" w:nlCheck="1" w:checkStyle="0"/>
  <w:activeWritingStyle w:appName="MSWord" w:lang="es-ES" w:vendorID="64" w:dllVersion="0" w:nlCheck="1" w:checkStyle="0"/>
  <w:activeWritingStyle w:appName="MSWord" w:lang="es-ES_tradnl" w:vendorID="64" w:dllVersion="0" w:nlCheck="1" w:checkStyle="0"/>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5BB"/>
    <w:rsid w:val="000005F9"/>
    <w:rsid w:val="00001B10"/>
    <w:rsid w:val="00001E9C"/>
    <w:rsid w:val="00002749"/>
    <w:rsid w:val="0000432F"/>
    <w:rsid w:val="00004537"/>
    <w:rsid w:val="00004CF9"/>
    <w:rsid w:val="00005167"/>
    <w:rsid w:val="0000783A"/>
    <w:rsid w:val="00007AFC"/>
    <w:rsid w:val="00010D13"/>
    <w:rsid w:val="000129D3"/>
    <w:rsid w:val="00013047"/>
    <w:rsid w:val="00014051"/>
    <w:rsid w:val="000145AB"/>
    <w:rsid w:val="000146C4"/>
    <w:rsid w:val="00015D7D"/>
    <w:rsid w:val="0001617C"/>
    <w:rsid w:val="00020CE4"/>
    <w:rsid w:val="00022A2B"/>
    <w:rsid w:val="000230B9"/>
    <w:rsid w:val="00023B50"/>
    <w:rsid w:val="00024858"/>
    <w:rsid w:val="00024F08"/>
    <w:rsid w:val="0002592B"/>
    <w:rsid w:val="00025DAD"/>
    <w:rsid w:val="00026B4B"/>
    <w:rsid w:val="00030E0C"/>
    <w:rsid w:val="00031244"/>
    <w:rsid w:val="00032E43"/>
    <w:rsid w:val="000351F5"/>
    <w:rsid w:val="0003673E"/>
    <w:rsid w:val="00037A41"/>
    <w:rsid w:val="00040367"/>
    <w:rsid w:val="000415AB"/>
    <w:rsid w:val="0004215D"/>
    <w:rsid w:val="00042857"/>
    <w:rsid w:val="0004285C"/>
    <w:rsid w:val="0004286D"/>
    <w:rsid w:val="00043FF1"/>
    <w:rsid w:val="0004439B"/>
    <w:rsid w:val="0004514D"/>
    <w:rsid w:val="00045FD3"/>
    <w:rsid w:val="00046954"/>
    <w:rsid w:val="00047045"/>
    <w:rsid w:val="00047383"/>
    <w:rsid w:val="00047FDA"/>
    <w:rsid w:val="000504CF"/>
    <w:rsid w:val="00050526"/>
    <w:rsid w:val="0005248A"/>
    <w:rsid w:val="00052D62"/>
    <w:rsid w:val="0005512E"/>
    <w:rsid w:val="00055D01"/>
    <w:rsid w:val="00056FA5"/>
    <w:rsid w:val="00057CE3"/>
    <w:rsid w:val="0006046D"/>
    <w:rsid w:val="000614D9"/>
    <w:rsid w:val="000624AB"/>
    <w:rsid w:val="000632C6"/>
    <w:rsid w:val="00063869"/>
    <w:rsid w:val="00064AA3"/>
    <w:rsid w:val="000650A9"/>
    <w:rsid w:val="00065AB0"/>
    <w:rsid w:val="00065B1F"/>
    <w:rsid w:val="00067428"/>
    <w:rsid w:val="000704AE"/>
    <w:rsid w:val="000709C3"/>
    <w:rsid w:val="00071C11"/>
    <w:rsid w:val="00072564"/>
    <w:rsid w:val="00072919"/>
    <w:rsid w:val="0007361B"/>
    <w:rsid w:val="00073ECE"/>
    <w:rsid w:val="00073FBC"/>
    <w:rsid w:val="000740A2"/>
    <w:rsid w:val="00074479"/>
    <w:rsid w:val="00077355"/>
    <w:rsid w:val="00077CF9"/>
    <w:rsid w:val="00082857"/>
    <w:rsid w:val="00083C99"/>
    <w:rsid w:val="00086351"/>
    <w:rsid w:val="00086C36"/>
    <w:rsid w:val="000871BD"/>
    <w:rsid w:val="00087560"/>
    <w:rsid w:val="000907A4"/>
    <w:rsid w:val="00090E94"/>
    <w:rsid w:val="000912A2"/>
    <w:rsid w:val="00092E61"/>
    <w:rsid w:val="00093673"/>
    <w:rsid w:val="000942C0"/>
    <w:rsid w:val="00095BFC"/>
    <w:rsid w:val="00095E03"/>
    <w:rsid w:val="000A0755"/>
    <w:rsid w:val="000A132C"/>
    <w:rsid w:val="000A1348"/>
    <w:rsid w:val="000A14B2"/>
    <w:rsid w:val="000A2E36"/>
    <w:rsid w:val="000A448A"/>
    <w:rsid w:val="000A4A7A"/>
    <w:rsid w:val="000A66EA"/>
    <w:rsid w:val="000A6A94"/>
    <w:rsid w:val="000A6D40"/>
    <w:rsid w:val="000A7CF8"/>
    <w:rsid w:val="000B0016"/>
    <w:rsid w:val="000B0E99"/>
    <w:rsid w:val="000B1120"/>
    <w:rsid w:val="000B14F9"/>
    <w:rsid w:val="000B43D6"/>
    <w:rsid w:val="000B4B74"/>
    <w:rsid w:val="000B4BCA"/>
    <w:rsid w:val="000B4CDC"/>
    <w:rsid w:val="000B5362"/>
    <w:rsid w:val="000B5899"/>
    <w:rsid w:val="000B5A90"/>
    <w:rsid w:val="000B680F"/>
    <w:rsid w:val="000B7526"/>
    <w:rsid w:val="000B79B9"/>
    <w:rsid w:val="000C023D"/>
    <w:rsid w:val="000C04BF"/>
    <w:rsid w:val="000C09D6"/>
    <w:rsid w:val="000C1FA2"/>
    <w:rsid w:val="000C2B94"/>
    <w:rsid w:val="000C4058"/>
    <w:rsid w:val="000C4C93"/>
    <w:rsid w:val="000C52ED"/>
    <w:rsid w:val="000C6FBE"/>
    <w:rsid w:val="000C7C23"/>
    <w:rsid w:val="000C7E87"/>
    <w:rsid w:val="000D04BA"/>
    <w:rsid w:val="000D09DA"/>
    <w:rsid w:val="000D40E3"/>
    <w:rsid w:val="000D5900"/>
    <w:rsid w:val="000D5C79"/>
    <w:rsid w:val="000E1C05"/>
    <w:rsid w:val="000E2BCB"/>
    <w:rsid w:val="000E3087"/>
    <w:rsid w:val="000E402C"/>
    <w:rsid w:val="000E5B2C"/>
    <w:rsid w:val="000E5B86"/>
    <w:rsid w:val="000E6CC8"/>
    <w:rsid w:val="000F0282"/>
    <w:rsid w:val="000F0AD5"/>
    <w:rsid w:val="000F0AE8"/>
    <w:rsid w:val="000F0B97"/>
    <w:rsid w:val="000F1788"/>
    <w:rsid w:val="000F4882"/>
    <w:rsid w:val="000F51F3"/>
    <w:rsid w:val="000F5B54"/>
    <w:rsid w:val="000F7266"/>
    <w:rsid w:val="000F7343"/>
    <w:rsid w:val="000F75B4"/>
    <w:rsid w:val="00100878"/>
    <w:rsid w:val="00100E67"/>
    <w:rsid w:val="00100EFA"/>
    <w:rsid w:val="00102D2B"/>
    <w:rsid w:val="00103BBE"/>
    <w:rsid w:val="0010592C"/>
    <w:rsid w:val="0010706A"/>
    <w:rsid w:val="00107EDF"/>
    <w:rsid w:val="00110695"/>
    <w:rsid w:val="00112AB7"/>
    <w:rsid w:val="001134CF"/>
    <w:rsid w:val="00113D83"/>
    <w:rsid w:val="00114244"/>
    <w:rsid w:val="0011753D"/>
    <w:rsid w:val="00120A53"/>
    <w:rsid w:val="0012180D"/>
    <w:rsid w:val="00122197"/>
    <w:rsid w:val="001227C5"/>
    <w:rsid w:val="00123A71"/>
    <w:rsid w:val="00123DD5"/>
    <w:rsid w:val="001242E2"/>
    <w:rsid w:val="00124379"/>
    <w:rsid w:val="001250BC"/>
    <w:rsid w:val="00125699"/>
    <w:rsid w:val="00125F22"/>
    <w:rsid w:val="001269E8"/>
    <w:rsid w:val="00133724"/>
    <w:rsid w:val="00133FEC"/>
    <w:rsid w:val="0013537E"/>
    <w:rsid w:val="00137919"/>
    <w:rsid w:val="001405A3"/>
    <w:rsid w:val="00141ECA"/>
    <w:rsid w:val="00142940"/>
    <w:rsid w:val="0014330E"/>
    <w:rsid w:val="00143B65"/>
    <w:rsid w:val="00143C0C"/>
    <w:rsid w:val="001453A0"/>
    <w:rsid w:val="00145C9B"/>
    <w:rsid w:val="00146948"/>
    <w:rsid w:val="00146BF5"/>
    <w:rsid w:val="00150ABD"/>
    <w:rsid w:val="00151F72"/>
    <w:rsid w:val="00152D52"/>
    <w:rsid w:val="00154783"/>
    <w:rsid w:val="00156887"/>
    <w:rsid w:val="00160295"/>
    <w:rsid w:val="00160E22"/>
    <w:rsid w:val="00162917"/>
    <w:rsid w:val="00165FA1"/>
    <w:rsid w:val="001663B6"/>
    <w:rsid w:val="00166E7A"/>
    <w:rsid w:val="001675C9"/>
    <w:rsid w:val="00170A3E"/>
    <w:rsid w:val="00172429"/>
    <w:rsid w:val="001751E8"/>
    <w:rsid w:val="0017673B"/>
    <w:rsid w:val="00176EAC"/>
    <w:rsid w:val="00177320"/>
    <w:rsid w:val="001773D1"/>
    <w:rsid w:val="001777F4"/>
    <w:rsid w:val="00180024"/>
    <w:rsid w:val="00181363"/>
    <w:rsid w:val="00182446"/>
    <w:rsid w:val="001849EB"/>
    <w:rsid w:val="00184D45"/>
    <w:rsid w:val="0018581E"/>
    <w:rsid w:val="0018591E"/>
    <w:rsid w:val="00185D15"/>
    <w:rsid w:val="00190984"/>
    <w:rsid w:val="00190B27"/>
    <w:rsid w:val="00190E0E"/>
    <w:rsid w:val="00191F1E"/>
    <w:rsid w:val="00192A8B"/>
    <w:rsid w:val="00193018"/>
    <w:rsid w:val="00193E85"/>
    <w:rsid w:val="001944AB"/>
    <w:rsid w:val="00194FD9"/>
    <w:rsid w:val="00195200"/>
    <w:rsid w:val="00195BA7"/>
    <w:rsid w:val="001A09C8"/>
    <w:rsid w:val="001A0A23"/>
    <w:rsid w:val="001A21CD"/>
    <w:rsid w:val="001A38A9"/>
    <w:rsid w:val="001A411D"/>
    <w:rsid w:val="001A528C"/>
    <w:rsid w:val="001A5C75"/>
    <w:rsid w:val="001A64FF"/>
    <w:rsid w:val="001A6745"/>
    <w:rsid w:val="001A68D1"/>
    <w:rsid w:val="001A75AA"/>
    <w:rsid w:val="001A75E8"/>
    <w:rsid w:val="001B3FB5"/>
    <w:rsid w:val="001B4BA2"/>
    <w:rsid w:val="001B4BAF"/>
    <w:rsid w:val="001C09E2"/>
    <w:rsid w:val="001C0EAC"/>
    <w:rsid w:val="001C12BE"/>
    <w:rsid w:val="001C1C2F"/>
    <w:rsid w:val="001C2274"/>
    <w:rsid w:val="001C2D05"/>
    <w:rsid w:val="001C2E50"/>
    <w:rsid w:val="001C44BB"/>
    <w:rsid w:val="001C55CA"/>
    <w:rsid w:val="001C6EBA"/>
    <w:rsid w:val="001D1F74"/>
    <w:rsid w:val="001D2683"/>
    <w:rsid w:val="001D3003"/>
    <w:rsid w:val="001D4350"/>
    <w:rsid w:val="001D4A0C"/>
    <w:rsid w:val="001D5152"/>
    <w:rsid w:val="001E0528"/>
    <w:rsid w:val="001E299C"/>
    <w:rsid w:val="001E3C19"/>
    <w:rsid w:val="001E403C"/>
    <w:rsid w:val="001E4983"/>
    <w:rsid w:val="001E4B85"/>
    <w:rsid w:val="001E59C0"/>
    <w:rsid w:val="001E6A08"/>
    <w:rsid w:val="001F1795"/>
    <w:rsid w:val="001F1CD7"/>
    <w:rsid w:val="001F20EE"/>
    <w:rsid w:val="001F2C61"/>
    <w:rsid w:val="001F3F4E"/>
    <w:rsid w:val="001F41FC"/>
    <w:rsid w:val="001F75EF"/>
    <w:rsid w:val="00202115"/>
    <w:rsid w:val="002037A1"/>
    <w:rsid w:val="00203F94"/>
    <w:rsid w:val="00205534"/>
    <w:rsid w:val="002057B8"/>
    <w:rsid w:val="00205E22"/>
    <w:rsid w:val="00205FD5"/>
    <w:rsid w:val="002065BC"/>
    <w:rsid w:val="0020672F"/>
    <w:rsid w:val="00207D74"/>
    <w:rsid w:val="00210569"/>
    <w:rsid w:val="00212AA7"/>
    <w:rsid w:val="00212C87"/>
    <w:rsid w:val="00213247"/>
    <w:rsid w:val="002132B3"/>
    <w:rsid w:val="00214817"/>
    <w:rsid w:val="00214854"/>
    <w:rsid w:val="00215765"/>
    <w:rsid w:val="00222BEF"/>
    <w:rsid w:val="0022417E"/>
    <w:rsid w:val="00224959"/>
    <w:rsid w:val="00226458"/>
    <w:rsid w:val="002271B6"/>
    <w:rsid w:val="0023028E"/>
    <w:rsid w:val="002306EE"/>
    <w:rsid w:val="00230D16"/>
    <w:rsid w:val="0023219A"/>
    <w:rsid w:val="002324AE"/>
    <w:rsid w:val="00233642"/>
    <w:rsid w:val="002336E5"/>
    <w:rsid w:val="00233F4F"/>
    <w:rsid w:val="00233F9D"/>
    <w:rsid w:val="00236FAE"/>
    <w:rsid w:val="0023786D"/>
    <w:rsid w:val="00240B01"/>
    <w:rsid w:val="00243170"/>
    <w:rsid w:val="0024359E"/>
    <w:rsid w:val="002447F7"/>
    <w:rsid w:val="002478F6"/>
    <w:rsid w:val="00250772"/>
    <w:rsid w:val="0025103B"/>
    <w:rsid w:val="00251663"/>
    <w:rsid w:val="002521CE"/>
    <w:rsid w:val="0025307F"/>
    <w:rsid w:val="00256CB7"/>
    <w:rsid w:val="002600D5"/>
    <w:rsid w:val="002613B7"/>
    <w:rsid w:val="00263037"/>
    <w:rsid w:val="00263CE6"/>
    <w:rsid w:val="00267C34"/>
    <w:rsid w:val="002718FF"/>
    <w:rsid w:val="002735B8"/>
    <w:rsid w:val="00275545"/>
    <w:rsid w:val="00275D8E"/>
    <w:rsid w:val="00276B23"/>
    <w:rsid w:val="00276D3F"/>
    <w:rsid w:val="00277499"/>
    <w:rsid w:val="00280DB3"/>
    <w:rsid w:val="002820F4"/>
    <w:rsid w:val="002830DE"/>
    <w:rsid w:val="00284A48"/>
    <w:rsid w:val="00284CFE"/>
    <w:rsid w:val="0029009F"/>
    <w:rsid w:val="00290DAB"/>
    <w:rsid w:val="002920D7"/>
    <w:rsid w:val="00293003"/>
    <w:rsid w:val="002933A1"/>
    <w:rsid w:val="00293741"/>
    <w:rsid w:val="00295744"/>
    <w:rsid w:val="00297879"/>
    <w:rsid w:val="00297D0B"/>
    <w:rsid w:val="002A0D2A"/>
    <w:rsid w:val="002A0FB0"/>
    <w:rsid w:val="002A3FBC"/>
    <w:rsid w:val="002A478D"/>
    <w:rsid w:val="002A5D45"/>
    <w:rsid w:val="002A5DB3"/>
    <w:rsid w:val="002A7A4A"/>
    <w:rsid w:val="002B03BD"/>
    <w:rsid w:val="002B0E14"/>
    <w:rsid w:val="002B1658"/>
    <w:rsid w:val="002B193C"/>
    <w:rsid w:val="002B1E39"/>
    <w:rsid w:val="002B25D9"/>
    <w:rsid w:val="002B2EE5"/>
    <w:rsid w:val="002B37FD"/>
    <w:rsid w:val="002B3937"/>
    <w:rsid w:val="002B442C"/>
    <w:rsid w:val="002B47AF"/>
    <w:rsid w:val="002B570A"/>
    <w:rsid w:val="002B68CC"/>
    <w:rsid w:val="002B73A4"/>
    <w:rsid w:val="002C20DC"/>
    <w:rsid w:val="002C2167"/>
    <w:rsid w:val="002C41AF"/>
    <w:rsid w:val="002C4825"/>
    <w:rsid w:val="002C69D8"/>
    <w:rsid w:val="002D0007"/>
    <w:rsid w:val="002D1CB7"/>
    <w:rsid w:val="002D4150"/>
    <w:rsid w:val="002D47E1"/>
    <w:rsid w:val="002D760E"/>
    <w:rsid w:val="002D7DC0"/>
    <w:rsid w:val="002E191E"/>
    <w:rsid w:val="002E6AB8"/>
    <w:rsid w:val="002E7F52"/>
    <w:rsid w:val="002F0E70"/>
    <w:rsid w:val="002F1E7D"/>
    <w:rsid w:val="002F4014"/>
    <w:rsid w:val="002F4FF0"/>
    <w:rsid w:val="002F603A"/>
    <w:rsid w:val="002F675B"/>
    <w:rsid w:val="002F74DC"/>
    <w:rsid w:val="002F7BEB"/>
    <w:rsid w:val="002F7FB5"/>
    <w:rsid w:val="00302598"/>
    <w:rsid w:val="00302A63"/>
    <w:rsid w:val="003036B3"/>
    <w:rsid w:val="00303892"/>
    <w:rsid w:val="00303BEB"/>
    <w:rsid w:val="00305FCB"/>
    <w:rsid w:val="003075D3"/>
    <w:rsid w:val="00307802"/>
    <w:rsid w:val="0030796A"/>
    <w:rsid w:val="00307F68"/>
    <w:rsid w:val="00310FC1"/>
    <w:rsid w:val="003118A4"/>
    <w:rsid w:val="00312374"/>
    <w:rsid w:val="00312414"/>
    <w:rsid w:val="00312892"/>
    <w:rsid w:val="003131C0"/>
    <w:rsid w:val="00314D3F"/>
    <w:rsid w:val="003160AA"/>
    <w:rsid w:val="00316FD3"/>
    <w:rsid w:val="00317611"/>
    <w:rsid w:val="00317F1B"/>
    <w:rsid w:val="00323132"/>
    <w:rsid w:val="00324EB0"/>
    <w:rsid w:val="003256F7"/>
    <w:rsid w:val="0032638B"/>
    <w:rsid w:val="003304AD"/>
    <w:rsid w:val="00330585"/>
    <w:rsid w:val="00331178"/>
    <w:rsid w:val="003332E7"/>
    <w:rsid w:val="00333393"/>
    <w:rsid w:val="00333A54"/>
    <w:rsid w:val="00334F34"/>
    <w:rsid w:val="00334FEC"/>
    <w:rsid w:val="00335A68"/>
    <w:rsid w:val="00336B38"/>
    <w:rsid w:val="00336BCF"/>
    <w:rsid w:val="00337240"/>
    <w:rsid w:val="00337649"/>
    <w:rsid w:val="003376F7"/>
    <w:rsid w:val="00337D78"/>
    <w:rsid w:val="00337FEF"/>
    <w:rsid w:val="00340255"/>
    <w:rsid w:val="00340F33"/>
    <w:rsid w:val="00341913"/>
    <w:rsid w:val="003421B6"/>
    <w:rsid w:val="00342481"/>
    <w:rsid w:val="00342485"/>
    <w:rsid w:val="003425CF"/>
    <w:rsid w:val="003426A1"/>
    <w:rsid w:val="00350A48"/>
    <w:rsid w:val="00352446"/>
    <w:rsid w:val="00353F1B"/>
    <w:rsid w:val="00355D2B"/>
    <w:rsid w:val="00357E20"/>
    <w:rsid w:val="0036095F"/>
    <w:rsid w:val="00361239"/>
    <w:rsid w:val="0036125F"/>
    <w:rsid w:val="00361350"/>
    <w:rsid w:val="00361B9B"/>
    <w:rsid w:val="00362B73"/>
    <w:rsid w:val="00363EEB"/>
    <w:rsid w:val="0036494D"/>
    <w:rsid w:val="0036671B"/>
    <w:rsid w:val="00370F1F"/>
    <w:rsid w:val="003711E1"/>
    <w:rsid w:val="0037142A"/>
    <w:rsid w:val="00372629"/>
    <w:rsid w:val="003735E9"/>
    <w:rsid w:val="00373BD3"/>
    <w:rsid w:val="00374525"/>
    <w:rsid w:val="003766F0"/>
    <w:rsid w:val="003779AA"/>
    <w:rsid w:val="00377F11"/>
    <w:rsid w:val="00380AFA"/>
    <w:rsid w:val="00381138"/>
    <w:rsid w:val="00381180"/>
    <w:rsid w:val="0038119F"/>
    <w:rsid w:val="00382242"/>
    <w:rsid w:val="00382707"/>
    <w:rsid w:val="00383D44"/>
    <w:rsid w:val="00383D7F"/>
    <w:rsid w:val="00385204"/>
    <w:rsid w:val="003856D0"/>
    <w:rsid w:val="00385961"/>
    <w:rsid w:val="00386E1C"/>
    <w:rsid w:val="0039007C"/>
    <w:rsid w:val="00390585"/>
    <w:rsid w:val="00390B94"/>
    <w:rsid w:val="003943A5"/>
    <w:rsid w:val="00395145"/>
    <w:rsid w:val="00396A99"/>
    <w:rsid w:val="003A0964"/>
    <w:rsid w:val="003A0F98"/>
    <w:rsid w:val="003A150E"/>
    <w:rsid w:val="003A262A"/>
    <w:rsid w:val="003A2732"/>
    <w:rsid w:val="003A4A2A"/>
    <w:rsid w:val="003A5312"/>
    <w:rsid w:val="003A7647"/>
    <w:rsid w:val="003A79F7"/>
    <w:rsid w:val="003A7C6C"/>
    <w:rsid w:val="003B00A6"/>
    <w:rsid w:val="003B0350"/>
    <w:rsid w:val="003B0CDD"/>
    <w:rsid w:val="003B1B32"/>
    <w:rsid w:val="003B298E"/>
    <w:rsid w:val="003B4A4C"/>
    <w:rsid w:val="003B57E6"/>
    <w:rsid w:val="003B6796"/>
    <w:rsid w:val="003B776F"/>
    <w:rsid w:val="003B7AF7"/>
    <w:rsid w:val="003C325A"/>
    <w:rsid w:val="003C439B"/>
    <w:rsid w:val="003C499B"/>
    <w:rsid w:val="003C5565"/>
    <w:rsid w:val="003C561A"/>
    <w:rsid w:val="003C64DF"/>
    <w:rsid w:val="003C6BE2"/>
    <w:rsid w:val="003D5A47"/>
    <w:rsid w:val="003D69CA"/>
    <w:rsid w:val="003E0B13"/>
    <w:rsid w:val="003E3823"/>
    <w:rsid w:val="003E4C5B"/>
    <w:rsid w:val="003E534C"/>
    <w:rsid w:val="003E6690"/>
    <w:rsid w:val="003E6DFE"/>
    <w:rsid w:val="003F1428"/>
    <w:rsid w:val="003F1551"/>
    <w:rsid w:val="003F16B6"/>
    <w:rsid w:val="003F215C"/>
    <w:rsid w:val="003F23B0"/>
    <w:rsid w:val="003F27F5"/>
    <w:rsid w:val="003F2F76"/>
    <w:rsid w:val="003F4AFD"/>
    <w:rsid w:val="003F5424"/>
    <w:rsid w:val="003F65D4"/>
    <w:rsid w:val="003F67FC"/>
    <w:rsid w:val="003F7634"/>
    <w:rsid w:val="003F763B"/>
    <w:rsid w:val="00401945"/>
    <w:rsid w:val="00402BB0"/>
    <w:rsid w:val="0040402E"/>
    <w:rsid w:val="00412EB4"/>
    <w:rsid w:val="00414261"/>
    <w:rsid w:val="004143A9"/>
    <w:rsid w:val="00415408"/>
    <w:rsid w:val="004154AC"/>
    <w:rsid w:val="00415B39"/>
    <w:rsid w:val="004208AE"/>
    <w:rsid w:val="00421F62"/>
    <w:rsid w:val="004222C2"/>
    <w:rsid w:val="0042383A"/>
    <w:rsid w:val="00424E2D"/>
    <w:rsid w:val="004264F3"/>
    <w:rsid w:val="0042711F"/>
    <w:rsid w:val="00430E5F"/>
    <w:rsid w:val="0043177C"/>
    <w:rsid w:val="00435056"/>
    <w:rsid w:val="0043791D"/>
    <w:rsid w:val="004417AE"/>
    <w:rsid w:val="004420C0"/>
    <w:rsid w:val="0044308F"/>
    <w:rsid w:val="0044479D"/>
    <w:rsid w:val="004458BD"/>
    <w:rsid w:val="004504AE"/>
    <w:rsid w:val="00451BE5"/>
    <w:rsid w:val="00453225"/>
    <w:rsid w:val="0045395B"/>
    <w:rsid w:val="00453FBF"/>
    <w:rsid w:val="00460942"/>
    <w:rsid w:val="00461744"/>
    <w:rsid w:val="00465131"/>
    <w:rsid w:val="004658AB"/>
    <w:rsid w:val="00465B84"/>
    <w:rsid w:val="00465FC1"/>
    <w:rsid w:val="00465FDF"/>
    <w:rsid w:val="00466251"/>
    <w:rsid w:val="00466706"/>
    <w:rsid w:val="00467B48"/>
    <w:rsid w:val="00470980"/>
    <w:rsid w:val="004712B9"/>
    <w:rsid w:val="004750B9"/>
    <w:rsid w:val="0047591B"/>
    <w:rsid w:val="00475B57"/>
    <w:rsid w:val="00476B73"/>
    <w:rsid w:val="00476FED"/>
    <w:rsid w:val="004775A3"/>
    <w:rsid w:val="004777CF"/>
    <w:rsid w:val="00480E89"/>
    <w:rsid w:val="004812F3"/>
    <w:rsid w:val="00482A2A"/>
    <w:rsid w:val="00482A9A"/>
    <w:rsid w:val="00484518"/>
    <w:rsid w:val="00485DB6"/>
    <w:rsid w:val="00486760"/>
    <w:rsid w:val="00487B62"/>
    <w:rsid w:val="00490BC3"/>
    <w:rsid w:val="004A16D1"/>
    <w:rsid w:val="004A2753"/>
    <w:rsid w:val="004A29CB"/>
    <w:rsid w:val="004A3B14"/>
    <w:rsid w:val="004A43CC"/>
    <w:rsid w:val="004A4F30"/>
    <w:rsid w:val="004A5166"/>
    <w:rsid w:val="004A5299"/>
    <w:rsid w:val="004A7F4D"/>
    <w:rsid w:val="004B1940"/>
    <w:rsid w:val="004B4593"/>
    <w:rsid w:val="004B5C34"/>
    <w:rsid w:val="004B6835"/>
    <w:rsid w:val="004B7538"/>
    <w:rsid w:val="004C1713"/>
    <w:rsid w:val="004C1945"/>
    <w:rsid w:val="004C1F9E"/>
    <w:rsid w:val="004C2783"/>
    <w:rsid w:val="004C5FEC"/>
    <w:rsid w:val="004C633A"/>
    <w:rsid w:val="004C6455"/>
    <w:rsid w:val="004C64C8"/>
    <w:rsid w:val="004C702B"/>
    <w:rsid w:val="004C7173"/>
    <w:rsid w:val="004C7ADA"/>
    <w:rsid w:val="004D21B0"/>
    <w:rsid w:val="004D2DDD"/>
    <w:rsid w:val="004D5B68"/>
    <w:rsid w:val="004D5E8B"/>
    <w:rsid w:val="004D6C1F"/>
    <w:rsid w:val="004D7B56"/>
    <w:rsid w:val="004E2406"/>
    <w:rsid w:val="004E2AD9"/>
    <w:rsid w:val="004E6B38"/>
    <w:rsid w:val="004E7199"/>
    <w:rsid w:val="004E772E"/>
    <w:rsid w:val="004E7737"/>
    <w:rsid w:val="004F1C53"/>
    <w:rsid w:val="004F324A"/>
    <w:rsid w:val="004F5498"/>
    <w:rsid w:val="004F55AE"/>
    <w:rsid w:val="004F718E"/>
    <w:rsid w:val="004F7A4B"/>
    <w:rsid w:val="00500A6F"/>
    <w:rsid w:val="00500E7A"/>
    <w:rsid w:val="005017D4"/>
    <w:rsid w:val="005040CD"/>
    <w:rsid w:val="00504E90"/>
    <w:rsid w:val="005050B1"/>
    <w:rsid w:val="00506997"/>
    <w:rsid w:val="00506A35"/>
    <w:rsid w:val="00506BCA"/>
    <w:rsid w:val="00510537"/>
    <w:rsid w:val="00511B11"/>
    <w:rsid w:val="00513A4F"/>
    <w:rsid w:val="00515686"/>
    <w:rsid w:val="00515A16"/>
    <w:rsid w:val="00515C64"/>
    <w:rsid w:val="00516C13"/>
    <w:rsid w:val="005202AB"/>
    <w:rsid w:val="005206A4"/>
    <w:rsid w:val="005207E2"/>
    <w:rsid w:val="00523589"/>
    <w:rsid w:val="00523B79"/>
    <w:rsid w:val="005260EF"/>
    <w:rsid w:val="00526953"/>
    <w:rsid w:val="00527058"/>
    <w:rsid w:val="0052717B"/>
    <w:rsid w:val="00527D1C"/>
    <w:rsid w:val="0053262E"/>
    <w:rsid w:val="00533FD0"/>
    <w:rsid w:val="005401C4"/>
    <w:rsid w:val="00540D1C"/>
    <w:rsid w:val="0054138C"/>
    <w:rsid w:val="00542975"/>
    <w:rsid w:val="00542A57"/>
    <w:rsid w:val="005446FA"/>
    <w:rsid w:val="0054501A"/>
    <w:rsid w:val="00551301"/>
    <w:rsid w:val="00552464"/>
    <w:rsid w:val="0055308A"/>
    <w:rsid w:val="005533A1"/>
    <w:rsid w:val="005533CF"/>
    <w:rsid w:val="00553B40"/>
    <w:rsid w:val="00556372"/>
    <w:rsid w:val="00556BBF"/>
    <w:rsid w:val="00556E30"/>
    <w:rsid w:val="005573AC"/>
    <w:rsid w:val="0056069D"/>
    <w:rsid w:val="00561A49"/>
    <w:rsid w:val="00563E84"/>
    <w:rsid w:val="00564130"/>
    <w:rsid w:val="00566B56"/>
    <w:rsid w:val="00566BEF"/>
    <w:rsid w:val="00566C79"/>
    <w:rsid w:val="00566E97"/>
    <w:rsid w:val="005678EA"/>
    <w:rsid w:val="00570C3F"/>
    <w:rsid w:val="00570D3F"/>
    <w:rsid w:val="00571643"/>
    <w:rsid w:val="00571BD8"/>
    <w:rsid w:val="00571FAB"/>
    <w:rsid w:val="00574225"/>
    <w:rsid w:val="00574379"/>
    <w:rsid w:val="0057716B"/>
    <w:rsid w:val="0057733C"/>
    <w:rsid w:val="005800E3"/>
    <w:rsid w:val="00580D36"/>
    <w:rsid w:val="0058276D"/>
    <w:rsid w:val="00583A33"/>
    <w:rsid w:val="00585874"/>
    <w:rsid w:val="00586446"/>
    <w:rsid w:val="00587DF3"/>
    <w:rsid w:val="00590698"/>
    <w:rsid w:val="0059217A"/>
    <w:rsid w:val="00593AA1"/>
    <w:rsid w:val="00594D27"/>
    <w:rsid w:val="005A02CD"/>
    <w:rsid w:val="005A10DF"/>
    <w:rsid w:val="005A2125"/>
    <w:rsid w:val="005A3B17"/>
    <w:rsid w:val="005A5072"/>
    <w:rsid w:val="005A5B32"/>
    <w:rsid w:val="005A7897"/>
    <w:rsid w:val="005A7BE1"/>
    <w:rsid w:val="005B1B9D"/>
    <w:rsid w:val="005B34C0"/>
    <w:rsid w:val="005B4CD8"/>
    <w:rsid w:val="005B6269"/>
    <w:rsid w:val="005B6DC6"/>
    <w:rsid w:val="005C1ACF"/>
    <w:rsid w:val="005C4408"/>
    <w:rsid w:val="005C4B61"/>
    <w:rsid w:val="005D0188"/>
    <w:rsid w:val="005D0E18"/>
    <w:rsid w:val="005D1F2D"/>
    <w:rsid w:val="005D4C3B"/>
    <w:rsid w:val="005D4E36"/>
    <w:rsid w:val="005D63FD"/>
    <w:rsid w:val="005D77D6"/>
    <w:rsid w:val="005E27BF"/>
    <w:rsid w:val="005E2C07"/>
    <w:rsid w:val="005E33F5"/>
    <w:rsid w:val="005E3F4A"/>
    <w:rsid w:val="005E3F82"/>
    <w:rsid w:val="005E4242"/>
    <w:rsid w:val="005E6B1C"/>
    <w:rsid w:val="005E75F6"/>
    <w:rsid w:val="005F277D"/>
    <w:rsid w:val="005F278A"/>
    <w:rsid w:val="005F4316"/>
    <w:rsid w:val="005F4B13"/>
    <w:rsid w:val="005F4E1D"/>
    <w:rsid w:val="0060309E"/>
    <w:rsid w:val="00603BF7"/>
    <w:rsid w:val="00603EE2"/>
    <w:rsid w:val="00604DC3"/>
    <w:rsid w:val="006063B5"/>
    <w:rsid w:val="00606F6D"/>
    <w:rsid w:val="006112F0"/>
    <w:rsid w:val="00613924"/>
    <w:rsid w:val="0061438C"/>
    <w:rsid w:val="00614E03"/>
    <w:rsid w:val="0061515B"/>
    <w:rsid w:val="00615FA5"/>
    <w:rsid w:val="0061661E"/>
    <w:rsid w:val="00617AE4"/>
    <w:rsid w:val="006235FF"/>
    <w:rsid w:val="006246A2"/>
    <w:rsid w:val="00626985"/>
    <w:rsid w:val="006278D0"/>
    <w:rsid w:val="00627AFC"/>
    <w:rsid w:val="00631578"/>
    <w:rsid w:val="00631FD2"/>
    <w:rsid w:val="00632CE9"/>
    <w:rsid w:val="0063427B"/>
    <w:rsid w:val="006350B6"/>
    <w:rsid w:val="0063570B"/>
    <w:rsid w:val="006366EE"/>
    <w:rsid w:val="006371D2"/>
    <w:rsid w:val="00637497"/>
    <w:rsid w:val="00637AF5"/>
    <w:rsid w:val="00641396"/>
    <w:rsid w:val="00641B09"/>
    <w:rsid w:val="0064257D"/>
    <w:rsid w:val="00643775"/>
    <w:rsid w:val="00643CC1"/>
    <w:rsid w:val="00644BAD"/>
    <w:rsid w:val="00646D52"/>
    <w:rsid w:val="00650BE7"/>
    <w:rsid w:val="0065131F"/>
    <w:rsid w:val="00652869"/>
    <w:rsid w:val="00653409"/>
    <w:rsid w:val="00655CD9"/>
    <w:rsid w:val="00657DA8"/>
    <w:rsid w:val="00657F46"/>
    <w:rsid w:val="00660E00"/>
    <w:rsid w:val="006637AD"/>
    <w:rsid w:val="006646DC"/>
    <w:rsid w:val="00665289"/>
    <w:rsid w:val="00665906"/>
    <w:rsid w:val="00665AAD"/>
    <w:rsid w:val="0066649C"/>
    <w:rsid w:val="006711C1"/>
    <w:rsid w:val="006712B1"/>
    <w:rsid w:val="006719AA"/>
    <w:rsid w:val="00671D7A"/>
    <w:rsid w:val="00673801"/>
    <w:rsid w:val="006742B5"/>
    <w:rsid w:val="006744FA"/>
    <w:rsid w:val="00674879"/>
    <w:rsid w:val="00674A31"/>
    <w:rsid w:val="00674AAF"/>
    <w:rsid w:val="00676294"/>
    <w:rsid w:val="006763BD"/>
    <w:rsid w:val="00682312"/>
    <w:rsid w:val="00682538"/>
    <w:rsid w:val="006840E4"/>
    <w:rsid w:val="006847CF"/>
    <w:rsid w:val="00684B03"/>
    <w:rsid w:val="00685D5D"/>
    <w:rsid w:val="00686BD2"/>
    <w:rsid w:val="0068748E"/>
    <w:rsid w:val="00690601"/>
    <w:rsid w:val="006906DC"/>
    <w:rsid w:val="00691BC7"/>
    <w:rsid w:val="006950EA"/>
    <w:rsid w:val="00696D07"/>
    <w:rsid w:val="006977CB"/>
    <w:rsid w:val="0069785D"/>
    <w:rsid w:val="006A1206"/>
    <w:rsid w:val="006A2765"/>
    <w:rsid w:val="006A2BA9"/>
    <w:rsid w:val="006A39A0"/>
    <w:rsid w:val="006A3DF0"/>
    <w:rsid w:val="006A449D"/>
    <w:rsid w:val="006A4AC2"/>
    <w:rsid w:val="006A5655"/>
    <w:rsid w:val="006A6391"/>
    <w:rsid w:val="006B0CC0"/>
    <w:rsid w:val="006B1446"/>
    <w:rsid w:val="006B20DF"/>
    <w:rsid w:val="006B3493"/>
    <w:rsid w:val="006B3B1E"/>
    <w:rsid w:val="006B4061"/>
    <w:rsid w:val="006B44DB"/>
    <w:rsid w:val="006B4DD2"/>
    <w:rsid w:val="006C03D6"/>
    <w:rsid w:val="006C063A"/>
    <w:rsid w:val="006C0686"/>
    <w:rsid w:val="006C0E01"/>
    <w:rsid w:val="006C1FBF"/>
    <w:rsid w:val="006C2221"/>
    <w:rsid w:val="006C2ED5"/>
    <w:rsid w:val="006C3CE0"/>
    <w:rsid w:val="006C466C"/>
    <w:rsid w:val="006C4A9C"/>
    <w:rsid w:val="006C4E7D"/>
    <w:rsid w:val="006C5D26"/>
    <w:rsid w:val="006C620B"/>
    <w:rsid w:val="006C6702"/>
    <w:rsid w:val="006D1438"/>
    <w:rsid w:val="006D1C6B"/>
    <w:rsid w:val="006D1FFE"/>
    <w:rsid w:val="006D3EA6"/>
    <w:rsid w:val="006D56A7"/>
    <w:rsid w:val="006D63D2"/>
    <w:rsid w:val="006E3471"/>
    <w:rsid w:val="006E3DCA"/>
    <w:rsid w:val="006E69FA"/>
    <w:rsid w:val="006F191C"/>
    <w:rsid w:val="006F197D"/>
    <w:rsid w:val="006F20AB"/>
    <w:rsid w:val="006F573D"/>
    <w:rsid w:val="0070015C"/>
    <w:rsid w:val="007052A2"/>
    <w:rsid w:val="007104D3"/>
    <w:rsid w:val="00712129"/>
    <w:rsid w:val="00712C19"/>
    <w:rsid w:val="007133D6"/>
    <w:rsid w:val="007141F5"/>
    <w:rsid w:val="00714ECE"/>
    <w:rsid w:val="00720674"/>
    <w:rsid w:val="00720C4D"/>
    <w:rsid w:val="00721929"/>
    <w:rsid w:val="0072337D"/>
    <w:rsid w:val="00724EB2"/>
    <w:rsid w:val="00725019"/>
    <w:rsid w:val="00726B4E"/>
    <w:rsid w:val="00727ACE"/>
    <w:rsid w:val="00727FD8"/>
    <w:rsid w:val="00734C25"/>
    <w:rsid w:val="00734F95"/>
    <w:rsid w:val="00740103"/>
    <w:rsid w:val="00740E20"/>
    <w:rsid w:val="00741142"/>
    <w:rsid w:val="00741759"/>
    <w:rsid w:val="00743554"/>
    <w:rsid w:val="00744EA2"/>
    <w:rsid w:val="007455DF"/>
    <w:rsid w:val="0074752D"/>
    <w:rsid w:val="00747BF8"/>
    <w:rsid w:val="00750076"/>
    <w:rsid w:val="007500ED"/>
    <w:rsid w:val="00753873"/>
    <w:rsid w:val="007542B5"/>
    <w:rsid w:val="00754454"/>
    <w:rsid w:val="007547E7"/>
    <w:rsid w:val="007549A1"/>
    <w:rsid w:val="0075690C"/>
    <w:rsid w:val="00756CD5"/>
    <w:rsid w:val="00760178"/>
    <w:rsid w:val="007606BD"/>
    <w:rsid w:val="007607F6"/>
    <w:rsid w:val="007629EF"/>
    <w:rsid w:val="00763D8A"/>
    <w:rsid w:val="0076491C"/>
    <w:rsid w:val="007659A5"/>
    <w:rsid w:val="00766144"/>
    <w:rsid w:val="007676A4"/>
    <w:rsid w:val="00767D7B"/>
    <w:rsid w:val="00770531"/>
    <w:rsid w:val="00770D9F"/>
    <w:rsid w:val="00770F40"/>
    <w:rsid w:val="007713FC"/>
    <w:rsid w:val="007721E5"/>
    <w:rsid w:val="007734A8"/>
    <w:rsid w:val="007740B3"/>
    <w:rsid w:val="0077591C"/>
    <w:rsid w:val="00775ED5"/>
    <w:rsid w:val="00775F2E"/>
    <w:rsid w:val="0077722E"/>
    <w:rsid w:val="00777575"/>
    <w:rsid w:val="0077764B"/>
    <w:rsid w:val="007805A4"/>
    <w:rsid w:val="0078094F"/>
    <w:rsid w:val="00783B23"/>
    <w:rsid w:val="00783E83"/>
    <w:rsid w:val="007841FC"/>
    <w:rsid w:val="00785624"/>
    <w:rsid w:val="007865D2"/>
    <w:rsid w:val="007877A3"/>
    <w:rsid w:val="007900D8"/>
    <w:rsid w:val="00790999"/>
    <w:rsid w:val="007910AB"/>
    <w:rsid w:val="00792671"/>
    <w:rsid w:val="00793638"/>
    <w:rsid w:val="00794906"/>
    <w:rsid w:val="0079594B"/>
    <w:rsid w:val="00795F37"/>
    <w:rsid w:val="007968B5"/>
    <w:rsid w:val="00797229"/>
    <w:rsid w:val="00797A19"/>
    <w:rsid w:val="00797C7B"/>
    <w:rsid w:val="007A21E6"/>
    <w:rsid w:val="007A2E74"/>
    <w:rsid w:val="007A37E4"/>
    <w:rsid w:val="007A38A5"/>
    <w:rsid w:val="007A69A4"/>
    <w:rsid w:val="007A75A3"/>
    <w:rsid w:val="007A7F96"/>
    <w:rsid w:val="007B112F"/>
    <w:rsid w:val="007B19D8"/>
    <w:rsid w:val="007B1D89"/>
    <w:rsid w:val="007B6688"/>
    <w:rsid w:val="007C0DDF"/>
    <w:rsid w:val="007C12B6"/>
    <w:rsid w:val="007C21AD"/>
    <w:rsid w:val="007C4095"/>
    <w:rsid w:val="007C5D42"/>
    <w:rsid w:val="007D0DAD"/>
    <w:rsid w:val="007D2F64"/>
    <w:rsid w:val="007D31C4"/>
    <w:rsid w:val="007D3233"/>
    <w:rsid w:val="007D430C"/>
    <w:rsid w:val="007D6AD2"/>
    <w:rsid w:val="007D7AF3"/>
    <w:rsid w:val="007D7BA3"/>
    <w:rsid w:val="007E319C"/>
    <w:rsid w:val="007E45D7"/>
    <w:rsid w:val="007E4668"/>
    <w:rsid w:val="007E5BE9"/>
    <w:rsid w:val="007F0B69"/>
    <w:rsid w:val="007F23B4"/>
    <w:rsid w:val="007F28D6"/>
    <w:rsid w:val="007F2B12"/>
    <w:rsid w:val="007F557C"/>
    <w:rsid w:val="007F564F"/>
    <w:rsid w:val="007F6E9B"/>
    <w:rsid w:val="007F7051"/>
    <w:rsid w:val="008000C8"/>
    <w:rsid w:val="00800EBB"/>
    <w:rsid w:val="008016DA"/>
    <w:rsid w:val="008028C9"/>
    <w:rsid w:val="00802C1E"/>
    <w:rsid w:val="0080441B"/>
    <w:rsid w:val="008059E5"/>
    <w:rsid w:val="008066B4"/>
    <w:rsid w:val="00807468"/>
    <w:rsid w:val="00807B3B"/>
    <w:rsid w:val="008102BF"/>
    <w:rsid w:val="00813DCE"/>
    <w:rsid w:val="0081604E"/>
    <w:rsid w:val="00816877"/>
    <w:rsid w:val="00817947"/>
    <w:rsid w:val="008204EC"/>
    <w:rsid w:val="00820DBD"/>
    <w:rsid w:val="008217D1"/>
    <w:rsid w:val="0082315B"/>
    <w:rsid w:val="00823532"/>
    <w:rsid w:val="00824EFA"/>
    <w:rsid w:val="0082502E"/>
    <w:rsid w:val="00825339"/>
    <w:rsid w:val="00825787"/>
    <w:rsid w:val="00827A50"/>
    <w:rsid w:val="008308CE"/>
    <w:rsid w:val="00831121"/>
    <w:rsid w:val="0083189C"/>
    <w:rsid w:val="008331D4"/>
    <w:rsid w:val="00835E6B"/>
    <w:rsid w:val="00836159"/>
    <w:rsid w:val="008377C7"/>
    <w:rsid w:val="008404B8"/>
    <w:rsid w:val="00840755"/>
    <w:rsid w:val="008417BF"/>
    <w:rsid w:val="00841E11"/>
    <w:rsid w:val="00842677"/>
    <w:rsid w:val="00843A84"/>
    <w:rsid w:val="0084409E"/>
    <w:rsid w:val="0084435B"/>
    <w:rsid w:val="0084463F"/>
    <w:rsid w:val="00852A5E"/>
    <w:rsid w:val="0085418B"/>
    <w:rsid w:val="008545A3"/>
    <w:rsid w:val="008547F1"/>
    <w:rsid w:val="008548D5"/>
    <w:rsid w:val="008562EF"/>
    <w:rsid w:val="00856C50"/>
    <w:rsid w:val="00857BAC"/>
    <w:rsid w:val="008603D7"/>
    <w:rsid w:val="008642B4"/>
    <w:rsid w:val="0086766A"/>
    <w:rsid w:val="00867763"/>
    <w:rsid w:val="00867B4D"/>
    <w:rsid w:val="008718C0"/>
    <w:rsid w:val="00871CCF"/>
    <w:rsid w:val="00871F40"/>
    <w:rsid w:val="00876300"/>
    <w:rsid w:val="0087693E"/>
    <w:rsid w:val="0087782D"/>
    <w:rsid w:val="00881230"/>
    <w:rsid w:val="008812BB"/>
    <w:rsid w:val="00881908"/>
    <w:rsid w:val="00882917"/>
    <w:rsid w:val="00882ED0"/>
    <w:rsid w:val="008840E6"/>
    <w:rsid w:val="00885311"/>
    <w:rsid w:val="008853DE"/>
    <w:rsid w:val="00885722"/>
    <w:rsid w:val="00885EC2"/>
    <w:rsid w:val="00886FD5"/>
    <w:rsid w:val="00887980"/>
    <w:rsid w:val="00887DBC"/>
    <w:rsid w:val="008900CF"/>
    <w:rsid w:val="0089117D"/>
    <w:rsid w:val="0089320C"/>
    <w:rsid w:val="00895D18"/>
    <w:rsid w:val="0089717C"/>
    <w:rsid w:val="008A0783"/>
    <w:rsid w:val="008A1169"/>
    <w:rsid w:val="008A1F97"/>
    <w:rsid w:val="008A2137"/>
    <w:rsid w:val="008A24E2"/>
    <w:rsid w:val="008A2BA1"/>
    <w:rsid w:val="008A4ABA"/>
    <w:rsid w:val="008B04D4"/>
    <w:rsid w:val="008B338D"/>
    <w:rsid w:val="008B3623"/>
    <w:rsid w:val="008B40EC"/>
    <w:rsid w:val="008B51CB"/>
    <w:rsid w:val="008B542B"/>
    <w:rsid w:val="008B558F"/>
    <w:rsid w:val="008B57A6"/>
    <w:rsid w:val="008B5BCD"/>
    <w:rsid w:val="008B5EE7"/>
    <w:rsid w:val="008B659F"/>
    <w:rsid w:val="008B7106"/>
    <w:rsid w:val="008C005F"/>
    <w:rsid w:val="008C0927"/>
    <w:rsid w:val="008C100C"/>
    <w:rsid w:val="008C1023"/>
    <w:rsid w:val="008C1E06"/>
    <w:rsid w:val="008C2315"/>
    <w:rsid w:val="008C4A81"/>
    <w:rsid w:val="008C64EE"/>
    <w:rsid w:val="008D0858"/>
    <w:rsid w:val="008D0E15"/>
    <w:rsid w:val="008D2D69"/>
    <w:rsid w:val="008D3EFF"/>
    <w:rsid w:val="008D3F92"/>
    <w:rsid w:val="008D427C"/>
    <w:rsid w:val="008D6EBC"/>
    <w:rsid w:val="008E1A76"/>
    <w:rsid w:val="008E1FAB"/>
    <w:rsid w:val="008E35B9"/>
    <w:rsid w:val="008E4BE0"/>
    <w:rsid w:val="008E4E89"/>
    <w:rsid w:val="008E50F0"/>
    <w:rsid w:val="008E6A8D"/>
    <w:rsid w:val="008F005E"/>
    <w:rsid w:val="008F12D3"/>
    <w:rsid w:val="008F17C7"/>
    <w:rsid w:val="008F28C7"/>
    <w:rsid w:val="008F2FC2"/>
    <w:rsid w:val="008F490C"/>
    <w:rsid w:val="008F5489"/>
    <w:rsid w:val="008F68E4"/>
    <w:rsid w:val="008F6BB4"/>
    <w:rsid w:val="008F7F0E"/>
    <w:rsid w:val="00900598"/>
    <w:rsid w:val="00901390"/>
    <w:rsid w:val="00902785"/>
    <w:rsid w:val="009039F6"/>
    <w:rsid w:val="00903A7F"/>
    <w:rsid w:val="00904D51"/>
    <w:rsid w:val="00907CCE"/>
    <w:rsid w:val="00907FB0"/>
    <w:rsid w:val="00910F5F"/>
    <w:rsid w:val="009116B5"/>
    <w:rsid w:val="00911BA3"/>
    <w:rsid w:val="00911F70"/>
    <w:rsid w:val="009126A8"/>
    <w:rsid w:val="009126E3"/>
    <w:rsid w:val="00912776"/>
    <w:rsid w:val="00915092"/>
    <w:rsid w:val="00915D46"/>
    <w:rsid w:val="009177E4"/>
    <w:rsid w:val="009205DE"/>
    <w:rsid w:val="00921167"/>
    <w:rsid w:val="0092505C"/>
    <w:rsid w:val="00925FE0"/>
    <w:rsid w:val="00926461"/>
    <w:rsid w:val="00926C10"/>
    <w:rsid w:val="00927567"/>
    <w:rsid w:val="009300D5"/>
    <w:rsid w:val="00931D6C"/>
    <w:rsid w:val="00933701"/>
    <w:rsid w:val="00934078"/>
    <w:rsid w:val="00934B6C"/>
    <w:rsid w:val="00934DF5"/>
    <w:rsid w:val="009369B2"/>
    <w:rsid w:val="0093703A"/>
    <w:rsid w:val="00940780"/>
    <w:rsid w:val="00940B13"/>
    <w:rsid w:val="00940CBC"/>
    <w:rsid w:val="00945434"/>
    <w:rsid w:val="009518B6"/>
    <w:rsid w:val="00951915"/>
    <w:rsid w:val="0095324E"/>
    <w:rsid w:val="00953F29"/>
    <w:rsid w:val="009546BD"/>
    <w:rsid w:val="00955E04"/>
    <w:rsid w:val="00960FC9"/>
    <w:rsid w:val="009611BA"/>
    <w:rsid w:val="009638EE"/>
    <w:rsid w:val="00963DF1"/>
    <w:rsid w:val="00964D0D"/>
    <w:rsid w:val="00965289"/>
    <w:rsid w:val="00965CA0"/>
    <w:rsid w:val="009666AA"/>
    <w:rsid w:val="00972D17"/>
    <w:rsid w:val="00973239"/>
    <w:rsid w:val="009732C9"/>
    <w:rsid w:val="009739E7"/>
    <w:rsid w:val="00973B03"/>
    <w:rsid w:val="00974509"/>
    <w:rsid w:val="009765C3"/>
    <w:rsid w:val="009768F3"/>
    <w:rsid w:val="009802C8"/>
    <w:rsid w:val="00983662"/>
    <w:rsid w:val="00983C30"/>
    <w:rsid w:val="00984619"/>
    <w:rsid w:val="00984CD5"/>
    <w:rsid w:val="00985535"/>
    <w:rsid w:val="009856EA"/>
    <w:rsid w:val="00986528"/>
    <w:rsid w:val="0098656B"/>
    <w:rsid w:val="00990981"/>
    <w:rsid w:val="0099227F"/>
    <w:rsid w:val="00993015"/>
    <w:rsid w:val="00993039"/>
    <w:rsid w:val="00993C1D"/>
    <w:rsid w:val="0099408B"/>
    <w:rsid w:val="00994B86"/>
    <w:rsid w:val="00994BEE"/>
    <w:rsid w:val="00995DC2"/>
    <w:rsid w:val="009965CC"/>
    <w:rsid w:val="009A007C"/>
    <w:rsid w:val="009A1F70"/>
    <w:rsid w:val="009A356D"/>
    <w:rsid w:val="009A388B"/>
    <w:rsid w:val="009A38D1"/>
    <w:rsid w:val="009A5324"/>
    <w:rsid w:val="009A672A"/>
    <w:rsid w:val="009A7525"/>
    <w:rsid w:val="009A7A27"/>
    <w:rsid w:val="009A7F49"/>
    <w:rsid w:val="009B518A"/>
    <w:rsid w:val="009B5AC4"/>
    <w:rsid w:val="009B5DB8"/>
    <w:rsid w:val="009B75E2"/>
    <w:rsid w:val="009B7E26"/>
    <w:rsid w:val="009C1B70"/>
    <w:rsid w:val="009C1DED"/>
    <w:rsid w:val="009C29B4"/>
    <w:rsid w:val="009C4C9E"/>
    <w:rsid w:val="009C4F37"/>
    <w:rsid w:val="009C58F9"/>
    <w:rsid w:val="009C5E2D"/>
    <w:rsid w:val="009C6535"/>
    <w:rsid w:val="009C7231"/>
    <w:rsid w:val="009D1063"/>
    <w:rsid w:val="009D3D7E"/>
    <w:rsid w:val="009D4639"/>
    <w:rsid w:val="009D46BA"/>
    <w:rsid w:val="009D59CF"/>
    <w:rsid w:val="009D59D8"/>
    <w:rsid w:val="009D67F7"/>
    <w:rsid w:val="009D6F37"/>
    <w:rsid w:val="009D7A5A"/>
    <w:rsid w:val="009E1A2F"/>
    <w:rsid w:val="009E257B"/>
    <w:rsid w:val="009E276E"/>
    <w:rsid w:val="009E2FB0"/>
    <w:rsid w:val="009E393C"/>
    <w:rsid w:val="009E6B04"/>
    <w:rsid w:val="009F0DC5"/>
    <w:rsid w:val="009F2050"/>
    <w:rsid w:val="009F3589"/>
    <w:rsid w:val="009F443D"/>
    <w:rsid w:val="00A004AD"/>
    <w:rsid w:val="00A014A3"/>
    <w:rsid w:val="00A0201E"/>
    <w:rsid w:val="00A03513"/>
    <w:rsid w:val="00A03D6D"/>
    <w:rsid w:val="00A043B4"/>
    <w:rsid w:val="00A04FBA"/>
    <w:rsid w:val="00A06F0A"/>
    <w:rsid w:val="00A076F8"/>
    <w:rsid w:val="00A10B79"/>
    <w:rsid w:val="00A1153D"/>
    <w:rsid w:val="00A11B97"/>
    <w:rsid w:val="00A1293E"/>
    <w:rsid w:val="00A13FA8"/>
    <w:rsid w:val="00A13FF8"/>
    <w:rsid w:val="00A16352"/>
    <w:rsid w:val="00A16E2A"/>
    <w:rsid w:val="00A20A27"/>
    <w:rsid w:val="00A2249E"/>
    <w:rsid w:val="00A225C2"/>
    <w:rsid w:val="00A233A4"/>
    <w:rsid w:val="00A23475"/>
    <w:rsid w:val="00A23F11"/>
    <w:rsid w:val="00A25323"/>
    <w:rsid w:val="00A25F87"/>
    <w:rsid w:val="00A26855"/>
    <w:rsid w:val="00A2687C"/>
    <w:rsid w:val="00A26A25"/>
    <w:rsid w:val="00A27509"/>
    <w:rsid w:val="00A31BA7"/>
    <w:rsid w:val="00A31EE6"/>
    <w:rsid w:val="00A3247E"/>
    <w:rsid w:val="00A32FD9"/>
    <w:rsid w:val="00A34AC5"/>
    <w:rsid w:val="00A35931"/>
    <w:rsid w:val="00A3654C"/>
    <w:rsid w:val="00A36999"/>
    <w:rsid w:val="00A372C8"/>
    <w:rsid w:val="00A3773F"/>
    <w:rsid w:val="00A37A54"/>
    <w:rsid w:val="00A42912"/>
    <w:rsid w:val="00A42986"/>
    <w:rsid w:val="00A4379D"/>
    <w:rsid w:val="00A509BE"/>
    <w:rsid w:val="00A52563"/>
    <w:rsid w:val="00A52998"/>
    <w:rsid w:val="00A52E8C"/>
    <w:rsid w:val="00A53129"/>
    <w:rsid w:val="00A55559"/>
    <w:rsid w:val="00A55EC8"/>
    <w:rsid w:val="00A56385"/>
    <w:rsid w:val="00A56815"/>
    <w:rsid w:val="00A56F59"/>
    <w:rsid w:val="00A60369"/>
    <w:rsid w:val="00A60DD8"/>
    <w:rsid w:val="00A613EE"/>
    <w:rsid w:val="00A6337E"/>
    <w:rsid w:val="00A63A05"/>
    <w:rsid w:val="00A63C2B"/>
    <w:rsid w:val="00A6429D"/>
    <w:rsid w:val="00A65B36"/>
    <w:rsid w:val="00A66991"/>
    <w:rsid w:val="00A66DFB"/>
    <w:rsid w:val="00A679CF"/>
    <w:rsid w:val="00A708A7"/>
    <w:rsid w:val="00A70A92"/>
    <w:rsid w:val="00A7365E"/>
    <w:rsid w:val="00A746EF"/>
    <w:rsid w:val="00A7616E"/>
    <w:rsid w:val="00A76832"/>
    <w:rsid w:val="00A77834"/>
    <w:rsid w:val="00A829BF"/>
    <w:rsid w:val="00A82CAB"/>
    <w:rsid w:val="00A83600"/>
    <w:rsid w:val="00A84CAD"/>
    <w:rsid w:val="00A8543C"/>
    <w:rsid w:val="00A856F0"/>
    <w:rsid w:val="00A866FE"/>
    <w:rsid w:val="00A86C17"/>
    <w:rsid w:val="00A86CA0"/>
    <w:rsid w:val="00A9027B"/>
    <w:rsid w:val="00A9041F"/>
    <w:rsid w:val="00A922CF"/>
    <w:rsid w:val="00A94DAA"/>
    <w:rsid w:val="00A965DA"/>
    <w:rsid w:val="00A97945"/>
    <w:rsid w:val="00AA3F71"/>
    <w:rsid w:val="00AA4369"/>
    <w:rsid w:val="00AA5014"/>
    <w:rsid w:val="00AA6A35"/>
    <w:rsid w:val="00AA79A5"/>
    <w:rsid w:val="00AB0CDE"/>
    <w:rsid w:val="00AB17E6"/>
    <w:rsid w:val="00AB2051"/>
    <w:rsid w:val="00AC104C"/>
    <w:rsid w:val="00AC1577"/>
    <w:rsid w:val="00AC1F97"/>
    <w:rsid w:val="00AC2CAA"/>
    <w:rsid w:val="00AC4381"/>
    <w:rsid w:val="00AC6312"/>
    <w:rsid w:val="00AC6532"/>
    <w:rsid w:val="00AC6741"/>
    <w:rsid w:val="00AD0165"/>
    <w:rsid w:val="00AD10A3"/>
    <w:rsid w:val="00AD10B0"/>
    <w:rsid w:val="00AD13B0"/>
    <w:rsid w:val="00AD1535"/>
    <w:rsid w:val="00AD22A5"/>
    <w:rsid w:val="00AD3125"/>
    <w:rsid w:val="00AD4990"/>
    <w:rsid w:val="00AD5219"/>
    <w:rsid w:val="00AD5648"/>
    <w:rsid w:val="00AD5E57"/>
    <w:rsid w:val="00AD6677"/>
    <w:rsid w:val="00AD6CC3"/>
    <w:rsid w:val="00AD7DC6"/>
    <w:rsid w:val="00AE0A45"/>
    <w:rsid w:val="00AE229F"/>
    <w:rsid w:val="00AE25C3"/>
    <w:rsid w:val="00AE4702"/>
    <w:rsid w:val="00AE552B"/>
    <w:rsid w:val="00AE5D5A"/>
    <w:rsid w:val="00AF24AD"/>
    <w:rsid w:val="00AF2C06"/>
    <w:rsid w:val="00AF37EE"/>
    <w:rsid w:val="00AF4F56"/>
    <w:rsid w:val="00AF5380"/>
    <w:rsid w:val="00AF5E63"/>
    <w:rsid w:val="00AF71A3"/>
    <w:rsid w:val="00AF7A9F"/>
    <w:rsid w:val="00B01BBA"/>
    <w:rsid w:val="00B01DF1"/>
    <w:rsid w:val="00B047D1"/>
    <w:rsid w:val="00B056FF"/>
    <w:rsid w:val="00B05821"/>
    <w:rsid w:val="00B10686"/>
    <w:rsid w:val="00B11582"/>
    <w:rsid w:val="00B1679E"/>
    <w:rsid w:val="00B16AAE"/>
    <w:rsid w:val="00B20350"/>
    <w:rsid w:val="00B20D89"/>
    <w:rsid w:val="00B21386"/>
    <w:rsid w:val="00B227EC"/>
    <w:rsid w:val="00B22F65"/>
    <w:rsid w:val="00B25D1C"/>
    <w:rsid w:val="00B270A9"/>
    <w:rsid w:val="00B2782B"/>
    <w:rsid w:val="00B3129F"/>
    <w:rsid w:val="00B32FCE"/>
    <w:rsid w:val="00B40609"/>
    <w:rsid w:val="00B40F5F"/>
    <w:rsid w:val="00B41121"/>
    <w:rsid w:val="00B42A17"/>
    <w:rsid w:val="00B4333E"/>
    <w:rsid w:val="00B4394F"/>
    <w:rsid w:val="00B43C4B"/>
    <w:rsid w:val="00B44E98"/>
    <w:rsid w:val="00B44EF7"/>
    <w:rsid w:val="00B47152"/>
    <w:rsid w:val="00B5053A"/>
    <w:rsid w:val="00B51A9B"/>
    <w:rsid w:val="00B51BCA"/>
    <w:rsid w:val="00B51FB0"/>
    <w:rsid w:val="00B53F6E"/>
    <w:rsid w:val="00B5409B"/>
    <w:rsid w:val="00B54632"/>
    <w:rsid w:val="00B54B70"/>
    <w:rsid w:val="00B54FFF"/>
    <w:rsid w:val="00B55D93"/>
    <w:rsid w:val="00B57BB1"/>
    <w:rsid w:val="00B60148"/>
    <w:rsid w:val="00B61686"/>
    <w:rsid w:val="00B61EE3"/>
    <w:rsid w:val="00B627D0"/>
    <w:rsid w:val="00B62C82"/>
    <w:rsid w:val="00B64E11"/>
    <w:rsid w:val="00B661B4"/>
    <w:rsid w:val="00B668B6"/>
    <w:rsid w:val="00B668CA"/>
    <w:rsid w:val="00B7015C"/>
    <w:rsid w:val="00B70684"/>
    <w:rsid w:val="00B7092B"/>
    <w:rsid w:val="00B70A24"/>
    <w:rsid w:val="00B72301"/>
    <w:rsid w:val="00B73844"/>
    <w:rsid w:val="00B739BE"/>
    <w:rsid w:val="00B7696D"/>
    <w:rsid w:val="00B77AF1"/>
    <w:rsid w:val="00B77E52"/>
    <w:rsid w:val="00B81139"/>
    <w:rsid w:val="00B818BD"/>
    <w:rsid w:val="00B81A5A"/>
    <w:rsid w:val="00B834B0"/>
    <w:rsid w:val="00B836DE"/>
    <w:rsid w:val="00B84357"/>
    <w:rsid w:val="00B8519E"/>
    <w:rsid w:val="00B90634"/>
    <w:rsid w:val="00B91BCE"/>
    <w:rsid w:val="00B92A4B"/>
    <w:rsid w:val="00B9344E"/>
    <w:rsid w:val="00B953FD"/>
    <w:rsid w:val="00BA0D2A"/>
    <w:rsid w:val="00BA29DC"/>
    <w:rsid w:val="00BA43A1"/>
    <w:rsid w:val="00BA5A09"/>
    <w:rsid w:val="00BA5F33"/>
    <w:rsid w:val="00BA6FF7"/>
    <w:rsid w:val="00BA7D5B"/>
    <w:rsid w:val="00BB31A4"/>
    <w:rsid w:val="00BB3291"/>
    <w:rsid w:val="00BB40F7"/>
    <w:rsid w:val="00BB4E03"/>
    <w:rsid w:val="00BB539D"/>
    <w:rsid w:val="00BB55C4"/>
    <w:rsid w:val="00BB77C8"/>
    <w:rsid w:val="00BC01CF"/>
    <w:rsid w:val="00BC111A"/>
    <w:rsid w:val="00BC1785"/>
    <w:rsid w:val="00BC5E18"/>
    <w:rsid w:val="00BC69F8"/>
    <w:rsid w:val="00BC7E2B"/>
    <w:rsid w:val="00BD09A9"/>
    <w:rsid w:val="00BD2595"/>
    <w:rsid w:val="00BD4C3C"/>
    <w:rsid w:val="00BD6735"/>
    <w:rsid w:val="00BD6C2A"/>
    <w:rsid w:val="00BD7805"/>
    <w:rsid w:val="00BE0245"/>
    <w:rsid w:val="00BE2273"/>
    <w:rsid w:val="00BE26BC"/>
    <w:rsid w:val="00BE298E"/>
    <w:rsid w:val="00BE3DB0"/>
    <w:rsid w:val="00BE49EA"/>
    <w:rsid w:val="00BE4B7C"/>
    <w:rsid w:val="00BE5DB1"/>
    <w:rsid w:val="00BE60A6"/>
    <w:rsid w:val="00BE6412"/>
    <w:rsid w:val="00BF1B68"/>
    <w:rsid w:val="00BF3433"/>
    <w:rsid w:val="00BF4727"/>
    <w:rsid w:val="00BF4DA8"/>
    <w:rsid w:val="00BF5E0D"/>
    <w:rsid w:val="00C00599"/>
    <w:rsid w:val="00C01765"/>
    <w:rsid w:val="00C03A3B"/>
    <w:rsid w:val="00C05A65"/>
    <w:rsid w:val="00C079F5"/>
    <w:rsid w:val="00C07D94"/>
    <w:rsid w:val="00C111BD"/>
    <w:rsid w:val="00C1159A"/>
    <w:rsid w:val="00C12A63"/>
    <w:rsid w:val="00C12C4E"/>
    <w:rsid w:val="00C16070"/>
    <w:rsid w:val="00C17527"/>
    <w:rsid w:val="00C175BB"/>
    <w:rsid w:val="00C17901"/>
    <w:rsid w:val="00C203E4"/>
    <w:rsid w:val="00C20B6E"/>
    <w:rsid w:val="00C21365"/>
    <w:rsid w:val="00C23474"/>
    <w:rsid w:val="00C23D58"/>
    <w:rsid w:val="00C2429B"/>
    <w:rsid w:val="00C2481A"/>
    <w:rsid w:val="00C24C81"/>
    <w:rsid w:val="00C25C87"/>
    <w:rsid w:val="00C26533"/>
    <w:rsid w:val="00C27C34"/>
    <w:rsid w:val="00C3123A"/>
    <w:rsid w:val="00C315BD"/>
    <w:rsid w:val="00C326E2"/>
    <w:rsid w:val="00C32AB5"/>
    <w:rsid w:val="00C34FD2"/>
    <w:rsid w:val="00C3654D"/>
    <w:rsid w:val="00C36734"/>
    <w:rsid w:val="00C41116"/>
    <w:rsid w:val="00C42B32"/>
    <w:rsid w:val="00C43D08"/>
    <w:rsid w:val="00C44E86"/>
    <w:rsid w:val="00C45C0F"/>
    <w:rsid w:val="00C46680"/>
    <w:rsid w:val="00C508F6"/>
    <w:rsid w:val="00C516BB"/>
    <w:rsid w:val="00C53673"/>
    <w:rsid w:val="00C55181"/>
    <w:rsid w:val="00C55D5B"/>
    <w:rsid w:val="00C57F1D"/>
    <w:rsid w:val="00C616CF"/>
    <w:rsid w:val="00C6259A"/>
    <w:rsid w:val="00C63372"/>
    <w:rsid w:val="00C63CAC"/>
    <w:rsid w:val="00C647F4"/>
    <w:rsid w:val="00C658A7"/>
    <w:rsid w:val="00C6615A"/>
    <w:rsid w:val="00C70F63"/>
    <w:rsid w:val="00C71433"/>
    <w:rsid w:val="00C7340C"/>
    <w:rsid w:val="00C73EDB"/>
    <w:rsid w:val="00C76683"/>
    <w:rsid w:val="00C76FB6"/>
    <w:rsid w:val="00C779FA"/>
    <w:rsid w:val="00C77AF2"/>
    <w:rsid w:val="00C808B5"/>
    <w:rsid w:val="00C80E31"/>
    <w:rsid w:val="00C80EBF"/>
    <w:rsid w:val="00C8173A"/>
    <w:rsid w:val="00C832AB"/>
    <w:rsid w:val="00C84BEF"/>
    <w:rsid w:val="00C85676"/>
    <w:rsid w:val="00C86EF5"/>
    <w:rsid w:val="00C92419"/>
    <w:rsid w:val="00C926B2"/>
    <w:rsid w:val="00C92CC1"/>
    <w:rsid w:val="00C935EF"/>
    <w:rsid w:val="00C943EA"/>
    <w:rsid w:val="00C95646"/>
    <w:rsid w:val="00C96F01"/>
    <w:rsid w:val="00CA24AD"/>
    <w:rsid w:val="00CA39BA"/>
    <w:rsid w:val="00CA57AA"/>
    <w:rsid w:val="00CA58DB"/>
    <w:rsid w:val="00CA708D"/>
    <w:rsid w:val="00CB058F"/>
    <w:rsid w:val="00CB1913"/>
    <w:rsid w:val="00CB19E0"/>
    <w:rsid w:val="00CB2FE4"/>
    <w:rsid w:val="00CB3832"/>
    <w:rsid w:val="00CB4985"/>
    <w:rsid w:val="00CB6880"/>
    <w:rsid w:val="00CB68A5"/>
    <w:rsid w:val="00CB6B70"/>
    <w:rsid w:val="00CB7610"/>
    <w:rsid w:val="00CB7D09"/>
    <w:rsid w:val="00CC1FFE"/>
    <w:rsid w:val="00CC4936"/>
    <w:rsid w:val="00CC495F"/>
    <w:rsid w:val="00CC5D71"/>
    <w:rsid w:val="00CC79AC"/>
    <w:rsid w:val="00CD0FC3"/>
    <w:rsid w:val="00CD0FDF"/>
    <w:rsid w:val="00CD3FDE"/>
    <w:rsid w:val="00CD5A1A"/>
    <w:rsid w:val="00CE236A"/>
    <w:rsid w:val="00CE26B8"/>
    <w:rsid w:val="00CE2E2F"/>
    <w:rsid w:val="00CE4D3F"/>
    <w:rsid w:val="00CE6BD3"/>
    <w:rsid w:val="00CF0C05"/>
    <w:rsid w:val="00CF1696"/>
    <w:rsid w:val="00CF19A4"/>
    <w:rsid w:val="00CF1F72"/>
    <w:rsid w:val="00CF22EF"/>
    <w:rsid w:val="00CF2B83"/>
    <w:rsid w:val="00CF2F60"/>
    <w:rsid w:val="00CF3CC0"/>
    <w:rsid w:val="00CF3FA1"/>
    <w:rsid w:val="00CF6616"/>
    <w:rsid w:val="00CF66BE"/>
    <w:rsid w:val="00D00A66"/>
    <w:rsid w:val="00D00F2D"/>
    <w:rsid w:val="00D0423F"/>
    <w:rsid w:val="00D04FC5"/>
    <w:rsid w:val="00D0752B"/>
    <w:rsid w:val="00D07E44"/>
    <w:rsid w:val="00D11319"/>
    <w:rsid w:val="00D11DFF"/>
    <w:rsid w:val="00D147AB"/>
    <w:rsid w:val="00D21CC8"/>
    <w:rsid w:val="00D23EA0"/>
    <w:rsid w:val="00D25D48"/>
    <w:rsid w:val="00D27444"/>
    <w:rsid w:val="00D27F0F"/>
    <w:rsid w:val="00D3037D"/>
    <w:rsid w:val="00D308E7"/>
    <w:rsid w:val="00D30A0D"/>
    <w:rsid w:val="00D30D96"/>
    <w:rsid w:val="00D31B31"/>
    <w:rsid w:val="00D321B6"/>
    <w:rsid w:val="00D326CF"/>
    <w:rsid w:val="00D33AFB"/>
    <w:rsid w:val="00D34154"/>
    <w:rsid w:val="00D3580E"/>
    <w:rsid w:val="00D40DC2"/>
    <w:rsid w:val="00D41547"/>
    <w:rsid w:val="00D43D7F"/>
    <w:rsid w:val="00D44FBD"/>
    <w:rsid w:val="00D45770"/>
    <w:rsid w:val="00D46ED5"/>
    <w:rsid w:val="00D47917"/>
    <w:rsid w:val="00D47CE1"/>
    <w:rsid w:val="00D50CB1"/>
    <w:rsid w:val="00D517DF"/>
    <w:rsid w:val="00D5308E"/>
    <w:rsid w:val="00D55A4A"/>
    <w:rsid w:val="00D569C3"/>
    <w:rsid w:val="00D573F2"/>
    <w:rsid w:val="00D57A42"/>
    <w:rsid w:val="00D61A8F"/>
    <w:rsid w:val="00D63D98"/>
    <w:rsid w:val="00D667DA"/>
    <w:rsid w:val="00D668E0"/>
    <w:rsid w:val="00D67DED"/>
    <w:rsid w:val="00D70ECA"/>
    <w:rsid w:val="00D728F6"/>
    <w:rsid w:val="00D74E60"/>
    <w:rsid w:val="00D754B2"/>
    <w:rsid w:val="00D75B1D"/>
    <w:rsid w:val="00D75B20"/>
    <w:rsid w:val="00D76725"/>
    <w:rsid w:val="00D76EAD"/>
    <w:rsid w:val="00D77597"/>
    <w:rsid w:val="00D81591"/>
    <w:rsid w:val="00D81985"/>
    <w:rsid w:val="00D819B5"/>
    <w:rsid w:val="00D824FB"/>
    <w:rsid w:val="00D82A9A"/>
    <w:rsid w:val="00D82B15"/>
    <w:rsid w:val="00D82B52"/>
    <w:rsid w:val="00D8369D"/>
    <w:rsid w:val="00D85A1F"/>
    <w:rsid w:val="00D85BF7"/>
    <w:rsid w:val="00D86BAA"/>
    <w:rsid w:val="00D87AC8"/>
    <w:rsid w:val="00D87E90"/>
    <w:rsid w:val="00D902FA"/>
    <w:rsid w:val="00D9055B"/>
    <w:rsid w:val="00D90F79"/>
    <w:rsid w:val="00D92012"/>
    <w:rsid w:val="00D924B1"/>
    <w:rsid w:val="00D9376F"/>
    <w:rsid w:val="00D93F50"/>
    <w:rsid w:val="00D975CE"/>
    <w:rsid w:val="00D977A9"/>
    <w:rsid w:val="00D97B0D"/>
    <w:rsid w:val="00DA0919"/>
    <w:rsid w:val="00DA09A2"/>
    <w:rsid w:val="00DA173F"/>
    <w:rsid w:val="00DA2396"/>
    <w:rsid w:val="00DA515D"/>
    <w:rsid w:val="00DA64F6"/>
    <w:rsid w:val="00DA7BDF"/>
    <w:rsid w:val="00DB08D8"/>
    <w:rsid w:val="00DB0959"/>
    <w:rsid w:val="00DB24DA"/>
    <w:rsid w:val="00DB3823"/>
    <w:rsid w:val="00DB43DC"/>
    <w:rsid w:val="00DB56A9"/>
    <w:rsid w:val="00DB58F9"/>
    <w:rsid w:val="00DB5C0B"/>
    <w:rsid w:val="00DB71BD"/>
    <w:rsid w:val="00DC08BD"/>
    <w:rsid w:val="00DC138C"/>
    <w:rsid w:val="00DC19CE"/>
    <w:rsid w:val="00DC1D47"/>
    <w:rsid w:val="00DC1D93"/>
    <w:rsid w:val="00DC3234"/>
    <w:rsid w:val="00DC3A69"/>
    <w:rsid w:val="00DC4355"/>
    <w:rsid w:val="00DC4714"/>
    <w:rsid w:val="00DC509D"/>
    <w:rsid w:val="00DC5A33"/>
    <w:rsid w:val="00DC711F"/>
    <w:rsid w:val="00DC7900"/>
    <w:rsid w:val="00DD0386"/>
    <w:rsid w:val="00DD03D5"/>
    <w:rsid w:val="00DD2857"/>
    <w:rsid w:val="00DD5205"/>
    <w:rsid w:val="00DD7E70"/>
    <w:rsid w:val="00DE24C4"/>
    <w:rsid w:val="00DE3167"/>
    <w:rsid w:val="00DE475C"/>
    <w:rsid w:val="00DE5299"/>
    <w:rsid w:val="00DF0262"/>
    <w:rsid w:val="00DF0325"/>
    <w:rsid w:val="00DF0ADE"/>
    <w:rsid w:val="00DF0B47"/>
    <w:rsid w:val="00DF2168"/>
    <w:rsid w:val="00DF271D"/>
    <w:rsid w:val="00DF2EAD"/>
    <w:rsid w:val="00DF3C2B"/>
    <w:rsid w:val="00DF41C6"/>
    <w:rsid w:val="00DF618B"/>
    <w:rsid w:val="00DF7431"/>
    <w:rsid w:val="00E00779"/>
    <w:rsid w:val="00E00A6E"/>
    <w:rsid w:val="00E00C9C"/>
    <w:rsid w:val="00E0241C"/>
    <w:rsid w:val="00E028F6"/>
    <w:rsid w:val="00E02D63"/>
    <w:rsid w:val="00E03146"/>
    <w:rsid w:val="00E05BFE"/>
    <w:rsid w:val="00E06E3D"/>
    <w:rsid w:val="00E07379"/>
    <w:rsid w:val="00E1030C"/>
    <w:rsid w:val="00E119C0"/>
    <w:rsid w:val="00E1236B"/>
    <w:rsid w:val="00E129CE"/>
    <w:rsid w:val="00E14140"/>
    <w:rsid w:val="00E15965"/>
    <w:rsid w:val="00E17C9B"/>
    <w:rsid w:val="00E17EC6"/>
    <w:rsid w:val="00E21292"/>
    <w:rsid w:val="00E22473"/>
    <w:rsid w:val="00E23A92"/>
    <w:rsid w:val="00E25E93"/>
    <w:rsid w:val="00E260FB"/>
    <w:rsid w:val="00E271B8"/>
    <w:rsid w:val="00E27651"/>
    <w:rsid w:val="00E27DF2"/>
    <w:rsid w:val="00E31150"/>
    <w:rsid w:val="00E31EF6"/>
    <w:rsid w:val="00E32578"/>
    <w:rsid w:val="00E32D9B"/>
    <w:rsid w:val="00E336C2"/>
    <w:rsid w:val="00E35553"/>
    <w:rsid w:val="00E412A3"/>
    <w:rsid w:val="00E41BFC"/>
    <w:rsid w:val="00E42CE8"/>
    <w:rsid w:val="00E432A2"/>
    <w:rsid w:val="00E4410D"/>
    <w:rsid w:val="00E45CA5"/>
    <w:rsid w:val="00E515A5"/>
    <w:rsid w:val="00E51E66"/>
    <w:rsid w:val="00E52DFA"/>
    <w:rsid w:val="00E5306E"/>
    <w:rsid w:val="00E53898"/>
    <w:rsid w:val="00E55A0C"/>
    <w:rsid w:val="00E5615D"/>
    <w:rsid w:val="00E56368"/>
    <w:rsid w:val="00E5750E"/>
    <w:rsid w:val="00E60060"/>
    <w:rsid w:val="00E6056F"/>
    <w:rsid w:val="00E60924"/>
    <w:rsid w:val="00E63238"/>
    <w:rsid w:val="00E65A6E"/>
    <w:rsid w:val="00E67EFF"/>
    <w:rsid w:val="00E70454"/>
    <w:rsid w:val="00E71CAD"/>
    <w:rsid w:val="00E7608B"/>
    <w:rsid w:val="00E76AC8"/>
    <w:rsid w:val="00E76C21"/>
    <w:rsid w:val="00E76D1D"/>
    <w:rsid w:val="00E811C9"/>
    <w:rsid w:val="00E81FAA"/>
    <w:rsid w:val="00E8225D"/>
    <w:rsid w:val="00E826E8"/>
    <w:rsid w:val="00E83245"/>
    <w:rsid w:val="00E84696"/>
    <w:rsid w:val="00E84CD4"/>
    <w:rsid w:val="00E86690"/>
    <w:rsid w:val="00E86B1D"/>
    <w:rsid w:val="00E87772"/>
    <w:rsid w:val="00E902F0"/>
    <w:rsid w:val="00E955F7"/>
    <w:rsid w:val="00E968BC"/>
    <w:rsid w:val="00E96FBA"/>
    <w:rsid w:val="00EA00E0"/>
    <w:rsid w:val="00EA20EE"/>
    <w:rsid w:val="00EA294D"/>
    <w:rsid w:val="00EA49DC"/>
    <w:rsid w:val="00EA5341"/>
    <w:rsid w:val="00EA763D"/>
    <w:rsid w:val="00EA779B"/>
    <w:rsid w:val="00EB06FC"/>
    <w:rsid w:val="00EB07F0"/>
    <w:rsid w:val="00EB254F"/>
    <w:rsid w:val="00EB58D7"/>
    <w:rsid w:val="00EB7B02"/>
    <w:rsid w:val="00EB7DBD"/>
    <w:rsid w:val="00EC15EE"/>
    <w:rsid w:val="00EC4662"/>
    <w:rsid w:val="00EC4C27"/>
    <w:rsid w:val="00EC6189"/>
    <w:rsid w:val="00EC669F"/>
    <w:rsid w:val="00EC725E"/>
    <w:rsid w:val="00ED0C70"/>
    <w:rsid w:val="00ED1254"/>
    <w:rsid w:val="00ED16FE"/>
    <w:rsid w:val="00ED555C"/>
    <w:rsid w:val="00ED559D"/>
    <w:rsid w:val="00ED5D4B"/>
    <w:rsid w:val="00ED5F2B"/>
    <w:rsid w:val="00ED63DD"/>
    <w:rsid w:val="00ED68FB"/>
    <w:rsid w:val="00ED6BFC"/>
    <w:rsid w:val="00EE066B"/>
    <w:rsid w:val="00EE0C20"/>
    <w:rsid w:val="00EE139D"/>
    <w:rsid w:val="00EE191B"/>
    <w:rsid w:val="00EE1B08"/>
    <w:rsid w:val="00EE2F97"/>
    <w:rsid w:val="00EE35FB"/>
    <w:rsid w:val="00EE3611"/>
    <w:rsid w:val="00EE3B66"/>
    <w:rsid w:val="00EE48B0"/>
    <w:rsid w:val="00EE5060"/>
    <w:rsid w:val="00EE56B4"/>
    <w:rsid w:val="00EE577B"/>
    <w:rsid w:val="00EE647E"/>
    <w:rsid w:val="00EE6D07"/>
    <w:rsid w:val="00EE6DBC"/>
    <w:rsid w:val="00EE7625"/>
    <w:rsid w:val="00EE7A6A"/>
    <w:rsid w:val="00EF158B"/>
    <w:rsid w:val="00EF1736"/>
    <w:rsid w:val="00EF1DFC"/>
    <w:rsid w:val="00EF233C"/>
    <w:rsid w:val="00EF437D"/>
    <w:rsid w:val="00EF565F"/>
    <w:rsid w:val="00EF5F8B"/>
    <w:rsid w:val="00EF61A5"/>
    <w:rsid w:val="00EF70B3"/>
    <w:rsid w:val="00F001EF"/>
    <w:rsid w:val="00F01029"/>
    <w:rsid w:val="00F017AC"/>
    <w:rsid w:val="00F01862"/>
    <w:rsid w:val="00F01AD3"/>
    <w:rsid w:val="00F024E4"/>
    <w:rsid w:val="00F02B74"/>
    <w:rsid w:val="00F042F6"/>
    <w:rsid w:val="00F04584"/>
    <w:rsid w:val="00F05357"/>
    <w:rsid w:val="00F05770"/>
    <w:rsid w:val="00F059F2"/>
    <w:rsid w:val="00F05EAB"/>
    <w:rsid w:val="00F11422"/>
    <w:rsid w:val="00F11C3C"/>
    <w:rsid w:val="00F122D9"/>
    <w:rsid w:val="00F12506"/>
    <w:rsid w:val="00F12C42"/>
    <w:rsid w:val="00F13A71"/>
    <w:rsid w:val="00F13C01"/>
    <w:rsid w:val="00F13D53"/>
    <w:rsid w:val="00F13E55"/>
    <w:rsid w:val="00F15D0F"/>
    <w:rsid w:val="00F16336"/>
    <w:rsid w:val="00F200CC"/>
    <w:rsid w:val="00F21C21"/>
    <w:rsid w:val="00F25474"/>
    <w:rsid w:val="00F25B18"/>
    <w:rsid w:val="00F25C90"/>
    <w:rsid w:val="00F32E6D"/>
    <w:rsid w:val="00F3324E"/>
    <w:rsid w:val="00F33258"/>
    <w:rsid w:val="00F340A8"/>
    <w:rsid w:val="00F34B04"/>
    <w:rsid w:val="00F352AF"/>
    <w:rsid w:val="00F35628"/>
    <w:rsid w:val="00F3739F"/>
    <w:rsid w:val="00F376BE"/>
    <w:rsid w:val="00F3780C"/>
    <w:rsid w:val="00F37B85"/>
    <w:rsid w:val="00F37CEC"/>
    <w:rsid w:val="00F407B4"/>
    <w:rsid w:val="00F447F9"/>
    <w:rsid w:val="00F45348"/>
    <w:rsid w:val="00F464A4"/>
    <w:rsid w:val="00F46E4E"/>
    <w:rsid w:val="00F526EB"/>
    <w:rsid w:val="00F52ECE"/>
    <w:rsid w:val="00F54CD4"/>
    <w:rsid w:val="00F54FC9"/>
    <w:rsid w:val="00F55740"/>
    <w:rsid w:val="00F57AC0"/>
    <w:rsid w:val="00F6025B"/>
    <w:rsid w:val="00F62D57"/>
    <w:rsid w:val="00F639B9"/>
    <w:rsid w:val="00F64697"/>
    <w:rsid w:val="00F66024"/>
    <w:rsid w:val="00F664F1"/>
    <w:rsid w:val="00F67863"/>
    <w:rsid w:val="00F67E44"/>
    <w:rsid w:val="00F703A6"/>
    <w:rsid w:val="00F711C8"/>
    <w:rsid w:val="00F71E22"/>
    <w:rsid w:val="00F723AF"/>
    <w:rsid w:val="00F7290E"/>
    <w:rsid w:val="00F73A39"/>
    <w:rsid w:val="00F74CFF"/>
    <w:rsid w:val="00F7672D"/>
    <w:rsid w:val="00F773B5"/>
    <w:rsid w:val="00F777F1"/>
    <w:rsid w:val="00F8010B"/>
    <w:rsid w:val="00F80211"/>
    <w:rsid w:val="00F80D2E"/>
    <w:rsid w:val="00F81B0D"/>
    <w:rsid w:val="00F81C68"/>
    <w:rsid w:val="00F82F73"/>
    <w:rsid w:val="00F85E59"/>
    <w:rsid w:val="00F8623B"/>
    <w:rsid w:val="00F86382"/>
    <w:rsid w:val="00F871A5"/>
    <w:rsid w:val="00F877AE"/>
    <w:rsid w:val="00F92C14"/>
    <w:rsid w:val="00F9321A"/>
    <w:rsid w:val="00F93246"/>
    <w:rsid w:val="00F93482"/>
    <w:rsid w:val="00F9359D"/>
    <w:rsid w:val="00F96F88"/>
    <w:rsid w:val="00FA053A"/>
    <w:rsid w:val="00FA0B1D"/>
    <w:rsid w:val="00FA0E2B"/>
    <w:rsid w:val="00FA3F63"/>
    <w:rsid w:val="00FA4D8B"/>
    <w:rsid w:val="00FA4FFA"/>
    <w:rsid w:val="00FA5839"/>
    <w:rsid w:val="00FA59CB"/>
    <w:rsid w:val="00FA5A18"/>
    <w:rsid w:val="00FA5CD5"/>
    <w:rsid w:val="00FA6083"/>
    <w:rsid w:val="00FA65FA"/>
    <w:rsid w:val="00FA6FB4"/>
    <w:rsid w:val="00FA70CD"/>
    <w:rsid w:val="00FA7D6B"/>
    <w:rsid w:val="00FB1714"/>
    <w:rsid w:val="00FB2D8E"/>
    <w:rsid w:val="00FB3A32"/>
    <w:rsid w:val="00FB4A21"/>
    <w:rsid w:val="00FB584A"/>
    <w:rsid w:val="00FB71DB"/>
    <w:rsid w:val="00FB7BBA"/>
    <w:rsid w:val="00FC0141"/>
    <w:rsid w:val="00FC096A"/>
    <w:rsid w:val="00FC1DED"/>
    <w:rsid w:val="00FC4347"/>
    <w:rsid w:val="00FC51F9"/>
    <w:rsid w:val="00FC5C8C"/>
    <w:rsid w:val="00FC5EE9"/>
    <w:rsid w:val="00FC6064"/>
    <w:rsid w:val="00FC621A"/>
    <w:rsid w:val="00FC64E5"/>
    <w:rsid w:val="00FD0972"/>
    <w:rsid w:val="00FD0DBB"/>
    <w:rsid w:val="00FD14DB"/>
    <w:rsid w:val="00FD1EF4"/>
    <w:rsid w:val="00FD24E9"/>
    <w:rsid w:val="00FD34E5"/>
    <w:rsid w:val="00FD3D38"/>
    <w:rsid w:val="00FD3E16"/>
    <w:rsid w:val="00FD4050"/>
    <w:rsid w:val="00FD6A51"/>
    <w:rsid w:val="00FD71A5"/>
    <w:rsid w:val="00FE0513"/>
    <w:rsid w:val="00FE0DA1"/>
    <w:rsid w:val="00FE1947"/>
    <w:rsid w:val="00FE1B75"/>
    <w:rsid w:val="00FE2F9D"/>
    <w:rsid w:val="00FE3637"/>
    <w:rsid w:val="00FE3A5F"/>
    <w:rsid w:val="00FE549B"/>
    <w:rsid w:val="00FE5920"/>
    <w:rsid w:val="00FE6D0F"/>
    <w:rsid w:val="00FE75A7"/>
    <w:rsid w:val="00FF431E"/>
    <w:rsid w:val="00FF4BAA"/>
    <w:rsid w:val="00FF5449"/>
    <w:rsid w:val="00FF59DD"/>
    <w:rsid w:val="00FF6285"/>
    <w:rsid w:val="00FF652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8F614"/>
  <w15:chartTrackingRefBased/>
  <w15:docId w15:val="{AAB95B5C-9109-4937-9745-C12C5DB9B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next w:val="Normal"/>
    <w:link w:val="Ttulo3Car"/>
    <w:uiPriority w:val="9"/>
    <w:semiHidden/>
    <w:unhideWhenUsed/>
    <w:qFormat/>
    <w:rsid w:val="00192A8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A66E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A66EA"/>
    <w:rPr>
      <w:rFonts w:ascii="Segoe UI" w:hAnsi="Segoe UI" w:cs="Segoe UI"/>
      <w:sz w:val="18"/>
      <w:szCs w:val="18"/>
    </w:rPr>
  </w:style>
  <w:style w:type="paragraph" w:styleId="Prrafodelista">
    <w:name w:val="List Paragraph"/>
    <w:basedOn w:val="Normal"/>
    <w:uiPriority w:val="1"/>
    <w:qFormat/>
    <w:rsid w:val="003036B3"/>
    <w:pPr>
      <w:ind w:left="720"/>
      <w:contextualSpacing/>
    </w:pPr>
  </w:style>
  <w:style w:type="paragraph" w:styleId="Textonotapie">
    <w:name w:val="footnote text"/>
    <w:aliases w:val="Referència de nota a peu de pàgina1,sobrescrito"/>
    <w:basedOn w:val="Normal"/>
    <w:link w:val="TextonotapieCar"/>
    <w:uiPriority w:val="99"/>
    <w:unhideWhenUsed/>
    <w:qFormat/>
    <w:rsid w:val="000624AB"/>
    <w:pPr>
      <w:spacing w:after="0" w:line="240" w:lineRule="auto"/>
    </w:pPr>
    <w:rPr>
      <w:lang w:val="en-GB"/>
    </w:rPr>
  </w:style>
  <w:style w:type="character" w:customStyle="1" w:styleId="TextonotapieCar">
    <w:name w:val="Texto nota pie Car"/>
    <w:aliases w:val="Referència de nota a peu de pàgina1 Car,sobrescrito Car"/>
    <w:basedOn w:val="Fuentedeprrafopredeter"/>
    <w:link w:val="Textonotapie"/>
    <w:uiPriority w:val="99"/>
    <w:qFormat/>
    <w:rsid w:val="000624AB"/>
    <w:rPr>
      <w:sz w:val="20"/>
      <w:szCs w:val="20"/>
      <w:lang w:val="en-GB"/>
    </w:rPr>
  </w:style>
  <w:style w:type="character" w:styleId="Refdenotaalpie">
    <w:name w:val="footnote reference"/>
    <w:basedOn w:val="Fuentedeprrafopredeter"/>
    <w:uiPriority w:val="99"/>
    <w:unhideWhenUsed/>
    <w:rsid w:val="000624AB"/>
    <w:rPr>
      <w:vertAlign w:val="superscript"/>
    </w:rPr>
  </w:style>
  <w:style w:type="character" w:styleId="Hipervnculo">
    <w:name w:val="Hyperlink"/>
    <w:basedOn w:val="Fuentedeprrafopredeter"/>
    <w:uiPriority w:val="99"/>
    <w:unhideWhenUsed/>
    <w:rsid w:val="00D321B6"/>
    <w:rPr>
      <w:color w:val="0563C1" w:themeColor="hyperlink"/>
      <w:u w:val="single"/>
    </w:rPr>
  </w:style>
  <w:style w:type="character" w:customStyle="1" w:styleId="l6">
    <w:name w:val="l6"/>
    <w:basedOn w:val="Fuentedeprrafopredeter"/>
    <w:rsid w:val="00933701"/>
  </w:style>
  <w:style w:type="paragraph" w:styleId="NormalWeb">
    <w:name w:val="Normal (Web)"/>
    <w:basedOn w:val="Normal"/>
    <w:uiPriority w:val="99"/>
    <w:unhideWhenUsed/>
    <w:rsid w:val="001849EB"/>
    <w:rPr>
      <w:rFonts w:cs="Times New Roman"/>
      <w:sz w:val="24"/>
      <w:szCs w:val="24"/>
    </w:rPr>
  </w:style>
  <w:style w:type="paragraph" w:customStyle="1" w:styleId="nova-e-listitem">
    <w:name w:val="nova-e-list__item"/>
    <w:basedOn w:val="Normal"/>
    <w:rsid w:val="008B04D4"/>
    <w:pPr>
      <w:spacing w:before="100" w:beforeAutospacing="1" w:after="100" w:afterAutospacing="1" w:line="240" w:lineRule="auto"/>
    </w:pPr>
    <w:rPr>
      <w:rFonts w:eastAsia="Times New Roman" w:cs="Times New Roman"/>
      <w:sz w:val="24"/>
      <w:szCs w:val="24"/>
      <w:lang w:eastAsia="es-ES"/>
    </w:rPr>
  </w:style>
  <w:style w:type="paragraph" w:styleId="Encabezado">
    <w:name w:val="header"/>
    <w:basedOn w:val="Normal"/>
    <w:link w:val="EncabezadoCar"/>
    <w:uiPriority w:val="99"/>
    <w:unhideWhenUsed/>
    <w:rsid w:val="0037262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72629"/>
  </w:style>
  <w:style w:type="paragraph" w:styleId="Piedepgina">
    <w:name w:val="footer"/>
    <w:basedOn w:val="Normal"/>
    <w:link w:val="PiedepginaCar"/>
    <w:uiPriority w:val="99"/>
    <w:unhideWhenUsed/>
    <w:rsid w:val="0037262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72629"/>
  </w:style>
  <w:style w:type="character" w:styleId="nfasis">
    <w:name w:val="Emphasis"/>
    <w:basedOn w:val="Fuentedeprrafopredeter"/>
    <w:qFormat/>
    <w:rsid w:val="008B40EC"/>
    <w:rPr>
      <w:i/>
      <w:iCs/>
    </w:rPr>
  </w:style>
  <w:style w:type="paragraph" w:customStyle="1" w:styleId="ParaLevel1">
    <w:name w:val="ParaLevel1"/>
    <w:basedOn w:val="Normal"/>
    <w:uiPriority w:val="99"/>
    <w:rsid w:val="00E028F6"/>
    <w:pPr>
      <w:numPr>
        <w:numId w:val="1"/>
      </w:numPr>
      <w:suppressAutoHyphens/>
      <w:spacing w:before="240" w:after="240" w:line="240" w:lineRule="auto"/>
      <w:jc w:val="both"/>
      <w:outlineLvl w:val="0"/>
    </w:pPr>
    <w:rPr>
      <w:rFonts w:eastAsia="Times New Roman" w:cs="Times New Roman"/>
      <w:sz w:val="24"/>
      <w:lang w:val="en-GB"/>
    </w:rPr>
  </w:style>
  <w:style w:type="paragraph" w:customStyle="1" w:styleId="ParaLevel2">
    <w:name w:val="ParaLevel2"/>
    <w:basedOn w:val="Normal"/>
    <w:uiPriority w:val="99"/>
    <w:rsid w:val="00E028F6"/>
    <w:pPr>
      <w:numPr>
        <w:ilvl w:val="1"/>
        <w:numId w:val="1"/>
      </w:numPr>
      <w:suppressAutoHyphens/>
      <w:spacing w:before="240" w:after="240" w:line="240" w:lineRule="auto"/>
      <w:jc w:val="both"/>
      <w:outlineLvl w:val="1"/>
    </w:pPr>
    <w:rPr>
      <w:rFonts w:eastAsia="Times New Roman" w:cs="Times New Roman"/>
      <w:sz w:val="24"/>
      <w:lang w:val="en-GB"/>
    </w:rPr>
  </w:style>
  <w:style w:type="paragraph" w:customStyle="1" w:styleId="ParaLevel3">
    <w:name w:val="ParaLevel3"/>
    <w:basedOn w:val="Normal"/>
    <w:uiPriority w:val="99"/>
    <w:rsid w:val="00E028F6"/>
    <w:pPr>
      <w:numPr>
        <w:ilvl w:val="2"/>
        <w:numId w:val="1"/>
      </w:numPr>
      <w:suppressAutoHyphens/>
      <w:spacing w:before="240" w:after="240" w:line="240" w:lineRule="auto"/>
      <w:jc w:val="both"/>
      <w:outlineLvl w:val="2"/>
    </w:pPr>
    <w:rPr>
      <w:rFonts w:eastAsia="Times New Roman" w:cs="Times New Roman"/>
      <w:sz w:val="24"/>
      <w:lang w:val="en-GB"/>
    </w:rPr>
  </w:style>
  <w:style w:type="paragraph" w:customStyle="1" w:styleId="ParaLevel4">
    <w:name w:val="ParaLevel4"/>
    <w:basedOn w:val="Normal"/>
    <w:uiPriority w:val="99"/>
    <w:rsid w:val="00E028F6"/>
    <w:pPr>
      <w:numPr>
        <w:ilvl w:val="3"/>
        <w:numId w:val="1"/>
      </w:numPr>
      <w:suppressAutoHyphens/>
      <w:spacing w:before="240" w:after="240" w:line="240" w:lineRule="auto"/>
      <w:jc w:val="both"/>
      <w:outlineLvl w:val="3"/>
    </w:pPr>
    <w:rPr>
      <w:rFonts w:eastAsia="Times New Roman" w:cs="Times New Roman"/>
      <w:sz w:val="24"/>
      <w:lang w:val="en-GB"/>
    </w:rPr>
  </w:style>
  <w:style w:type="paragraph" w:customStyle="1" w:styleId="ParaLevel5">
    <w:name w:val="ParaLevel5"/>
    <w:basedOn w:val="Normal"/>
    <w:uiPriority w:val="99"/>
    <w:rsid w:val="00E028F6"/>
    <w:pPr>
      <w:numPr>
        <w:ilvl w:val="4"/>
        <w:numId w:val="1"/>
      </w:numPr>
      <w:suppressAutoHyphens/>
      <w:spacing w:before="240" w:after="240" w:line="240" w:lineRule="auto"/>
      <w:jc w:val="both"/>
      <w:outlineLvl w:val="4"/>
    </w:pPr>
    <w:rPr>
      <w:rFonts w:eastAsia="Times New Roman" w:cs="Times New Roman"/>
      <w:sz w:val="24"/>
      <w:lang w:val="en-GB"/>
    </w:rPr>
  </w:style>
  <w:style w:type="paragraph" w:customStyle="1" w:styleId="ParaLevel6">
    <w:name w:val="ParaLevel6"/>
    <w:basedOn w:val="Normal"/>
    <w:uiPriority w:val="99"/>
    <w:rsid w:val="00E028F6"/>
    <w:pPr>
      <w:numPr>
        <w:ilvl w:val="5"/>
        <w:numId w:val="1"/>
      </w:numPr>
      <w:suppressAutoHyphens/>
      <w:spacing w:before="240" w:after="240" w:line="240" w:lineRule="auto"/>
      <w:jc w:val="both"/>
      <w:outlineLvl w:val="5"/>
    </w:pPr>
    <w:rPr>
      <w:rFonts w:eastAsia="Times New Roman" w:cs="Times New Roman"/>
      <w:sz w:val="24"/>
      <w:lang w:val="en-GB"/>
    </w:rPr>
  </w:style>
  <w:style w:type="paragraph" w:customStyle="1" w:styleId="ParaLevel7">
    <w:name w:val="ParaLevel7"/>
    <w:basedOn w:val="Normal"/>
    <w:uiPriority w:val="99"/>
    <w:rsid w:val="00E028F6"/>
    <w:pPr>
      <w:numPr>
        <w:ilvl w:val="6"/>
        <w:numId w:val="1"/>
      </w:numPr>
      <w:suppressAutoHyphens/>
      <w:spacing w:before="240" w:after="240" w:line="240" w:lineRule="auto"/>
      <w:jc w:val="both"/>
      <w:outlineLvl w:val="6"/>
    </w:pPr>
    <w:rPr>
      <w:rFonts w:eastAsia="Times New Roman" w:cs="Times New Roman"/>
      <w:sz w:val="24"/>
      <w:lang w:val="en-GB"/>
    </w:rPr>
  </w:style>
  <w:style w:type="paragraph" w:customStyle="1" w:styleId="ParaLevel8">
    <w:name w:val="ParaLevel8"/>
    <w:basedOn w:val="Normal"/>
    <w:uiPriority w:val="99"/>
    <w:rsid w:val="00E028F6"/>
    <w:pPr>
      <w:numPr>
        <w:ilvl w:val="7"/>
        <w:numId w:val="1"/>
      </w:numPr>
      <w:suppressAutoHyphens/>
      <w:spacing w:before="240" w:after="240" w:line="240" w:lineRule="auto"/>
      <w:jc w:val="both"/>
      <w:outlineLvl w:val="7"/>
    </w:pPr>
    <w:rPr>
      <w:rFonts w:eastAsia="Times New Roman" w:cs="Times New Roman"/>
      <w:sz w:val="24"/>
      <w:lang w:val="en-GB"/>
    </w:rPr>
  </w:style>
  <w:style w:type="paragraph" w:customStyle="1" w:styleId="ParaLevel9">
    <w:name w:val="ParaLevel9"/>
    <w:basedOn w:val="Normal"/>
    <w:uiPriority w:val="99"/>
    <w:rsid w:val="00E028F6"/>
    <w:pPr>
      <w:numPr>
        <w:ilvl w:val="8"/>
        <w:numId w:val="1"/>
      </w:numPr>
      <w:suppressAutoHyphens/>
      <w:spacing w:before="240" w:after="240" w:line="240" w:lineRule="auto"/>
      <w:jc w:val="both"/>
      <w:outlineLvl w:val="8"/>
    </w:pPr>
    <w:rPr>
      <w:rFonts w:eastAsia="Times New Roman" w:cs="Times New Roman"/>
      <w:sz w:val="24"/>
      <w:lang w:val="en-GB"/>
    </w:rPr>
  </w:style>
  <w:style w:type="character" w:customStyle="1" w:styleId="DeltaViewInsertion">
    <w:name w:val="DeltaView Insertion"/>
    <w:uiPriority w:val="99"/>
    <w:rsid w:val="00E028F6"/>
    <w:rPr>
      <w:color w:val="0000FF"/>
      <w:spacing w:val="0"/>
      <w:u w:val="double"/>
    </w:rPr>
  </w:style>
  <w:style w:type="paragraph" w:styleId="Textonotaalfinal">
    <w:name w:val="endnote text"/>
    <w:basedOn w:val="Normal"/>
    <w:link w:val="TextonotaalfinalCar"/>
    <w:uiPriority w:val="99"/>
    <w:unhideWhenUsed/>
    <w:rsid w:val="00E028F6"/>
    <w:pPr>
      <w:spacing w:after="0" w:line="240" w:lineRule="auto"/>
    </w:pPr>
    <w:rPr>
      <w:rFonts w:ascii="Calibri" w:eastAsia="Times New Roman" w:hAnsi="Calibri" w:cs="Times New Roman"/>
    </w:rPr>
  </w:style>
  <w:style w:type="character" w:customStyle="1" w:styleId="TextonotaalfinalCar">
    <w:name w:val="Texto nota al final Car"/>
    <w:basedOn w:val="Fuentedeprrafopredeter"/>
    <w:link w:val="Textonotaalfinal"/>
    <w:uiPriority w:val="99"/>
    <w:rsid w:val="00E028F6"/>
    <w:rPr>
      <w:rFonts w:ascii="Calibri" w:eastAsia="Times New Roman" w:hAnsi="Calibri" w:cs="Times New Roman"/>
      <w:sz w:val="20"/>
      <w:szCs w:val="20"/>
    </w:rPr>
  </w:style>
  <w:style w:type="character" w:styleId="Refdenotaalfinal">
    <w:name w:val="endnote reference"/>
    <w:basedOn w:val="Fuentedeprrafopredeter"/>
    <w:unhideWhenUsed/>
    <w:rsid w:val="00E028F6"/>
    <w:rPr>
      <w:rFonts w:cs="Times New Roman"/>
      <w:vertAlign w:val="superscript"/>
    </w:rPr>
  </w:style>
  <w:style w:type="paragraph" w:customStyle="1" w:styleId="parrafo">
    <w:name w:val="parrafo"/>
    <w:basedOn w:val="Normal"/>
    <w:rsid w:val="00190984"/>
    <w:pPr>
      <w:spacing w:before="100" w:beforeAutospacing="1" w:after="100" w:afterAutospacing="1" w:line="240" w:lineRule="auto"/>
    </w:pPr>
    <w:rPr>
      <w:rFonts w:eastAsia="Times New Roman" w:cs="Times New Roman"/>
      <w:sz w:val="24"/>
      <w:szCs w:val="24"/>
      <w:lang w:eastAsia="es-ES"/>
    </w:rPr>
  </w:style>
  <w:style w:type="character" w:customStyle="1" w:styleId="user-highlighted-active">
    <w:name w:val="user-highlighted-active"/>
    <w:rsid w:val="005040CD"/>
  </w:style>
  <w:style w:type="character" w:customStyle="1" w:styleId="super">
    <w:name w:val="super"/>
    <w:basedOn w:val="Fuentedeprrafopredeter"/>
    <w:rsid w:val="004D6C1F"/>
  </w:style>
  <w:style w:type="character" w:styleId="Mencinsinresolver">
    <w:name w:val="Unresolved Mention"/>
    <w:basedOn w:val="Fuentedeprrafopredeter"/>
    <w:uiPriority w:val="99"/>
    <w:semiHidden/>
    <w:unhideWhenUsed/>
    <w:rsid w:val="009A7525"/>
    <w:rPr>
      <w:color w:val="605E5C"/>
      <w:shd w:val="clear" w:color="auto" w:fill="E1DFDD"/>
    </w:rPr>
  </w:style>
  <w:style w:type="character" w:styleId="Hipervnculovisitado">
    <w:name w:val="FollowedHyperlink"/>
    <w:basedOn w:val="Fuentedeprrafopredeter"/>
    <w:uiPriority w:val="99"/>
    <w:semiHidden/>
    <w:unhideWhenUsed/>
    <w:rsid w:val="00FB584A"/>
    <w:rPr>
      <w:color w:val="954F72" w:themeColor="followedHyperlink"/>
      <w:u w:val="single"/>
    </w:rPr>
  </w:style>
  <w:style w:type="character" w:customStyle="1" w:styleId="Ttulo3Car">
    <w:name w:val="Título 3 Car"/>
    <w:basedOn w:val="Fuentedeprrafopredeter"/>
    <w:link w:val="Ttulo3"/>
    <w:uiPriority w:val="9"/>
    <w:semiHidden/>
    <w:rsid w:val="00192A8B"/>
    <w:rPr>
      <w:rFonts w:asciiTheme="majorHAnsi" w:eastAsiaTheme="majorEastAsia" w:hAnsiTheme="majorHAnsi" w:cstheme="majorBidi"/>
      <w:color w:val="1F4D78" w:themeColor="accent1" w:themeShade="7F"/>
      <w:sz w:val="24"/>
      <w:szCs w:val="24"/>
    </w:rPr>
  </w:style>
  <w:style w:type="paragraph" w:styleId="Textoindependiente">
    <w:name w:val="Body Text"/>
    <w:basedOn w:val="Normal"/>
    <w:link w:val="TextoindependienteCar"/>
    <w:uiPriority w:val="1"/>
    <w:qFormat/>
    <w:rsid w:val="009666AA"/>
    <w:pPr>
      <w:widowControl w:val="0"/>
      <w:autoSpaceDE w:val="0"/>
      <w:autoSpaceDN w:val="0"/>
      <w:spacing w:after="0" w:line="240" w:lineRule="auto"/>
    </w:pPr>
    <w:rPr>
      <w:rFonts w:eastAsia="Times New Roman" w:cs="Times New Roman"/>
      <w:sz w:val="22"/>
      <w:szCs w:val="22"/>
    </w:rPr>
  </w:style>
  <w:style w:type="character" w:customStyle="1" w:styleId="TextoindependienteCar">
    <w:name w:val="Texto independiente Car"/>
    <w:basedOn w:val="Fuentedeprrafopredeter"/>
    <w:link w:val="Textoindependiente"/>
    <w:uiPriority w:val="1"/>
    <w:rsid w:val="009666AA"/>
    <w:rPr>
      <w:rFonts w:eastAsia="Times New Roman" w:cs="Times New Roman"/>
      <w:sz w:val="22"/>
      <w:szCs w:val="22"/>
    </w:rPr>
  </w:style>
  <w:style w:type="character" w:styleId="Refdecomentario">
    <w:name w:val="annotation reference"/>
    <w:basedOn w:val="Fuentedeprrafopredeter"/>
    <w:uiPriority w:val="99"/>
    <w:semiHidden/>
    <w:unhideWhenUsed/>
    <w:rsid w:val="00EF1736"/>
    <w:rPr>
      <w:sz w:val="16"/>
      <w:szCs w:val="16"/>
    </w:rPr>
  </w:style>
  <w:style w:type="paragraph" w:styleId="Textocomentario">
    <w:name w:val="annotation text"/>
    <w:basedOn w:val="Normal"/>
    <w:link w:val="TextocomentarioCar"/>
    <w:uiPriority w:val="99"/>
    <w:unhideWhenUsed/>
    <w:rsid w:val="00EF1736"/>
    <w:pPr>
      <w:spacing w:line="240" w:lineRule="auto"/>
    </w:pPr>
  </w:style>
  <w:style w:type="character" w:customStyle="1" w:styleId="TextocomentarioCar">
    <w:name w:val="Texto comentario Car"/>
    <w:basedOn w:val="Fuentedeprrafopredeter"/>
    <w:link w:val="Textocomentario"/>
    <w:uiPriority w:val="99"/>
    <w:rsid w:val="00EF1736"/>
  </w:style>
  <w:style w:type="paragraph" w:styleId="Asuntodelcomentario">
    <w:name w:val="annotation subject"/>
    <w:basedOn w:val="Textocomentario"/>
    <w:next w:val="Textocomentario"/>
    <w:link w:val="AsuntodelcomentarioCar"/>
    <w:uiPriority w:val="99"/>
    <w:semiHidden/>
    <w:unhideWhenUsed/>
    <w:rsid w:val="00EF1736"/>
    <w:rPr>
      <w:b/>
      <w:bCs/>
    </w:rPr>
  </w:style>
  <w:style w:type="character" w:customStyle="1" w:styleId="AsuntodelcomentarioCar">
    <w:name w:val="Asunto del comentario Car"/>
    <w:basedOn w:val="TextocomentarioCar"/>
    <w:link w:val="Asuntodelcomentario"/>
    <w:uiPriority w:val="99"/>
    <w:semiHidden/>
    <w:rsid w:val="00EF17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2023">
      <w:bodyDiv w:val="1"/>
      <w:marLeft w:val="0"/>
      <w:marRight w:val="0"/>
      <w:marTop w:val="0"/>
      <w:marBottom w:val="0"/>
      <w:divBdr>
        <w:top w:val="none" w:sz="0" w:space="0" w:color="auto"/>
        <w:left w:val="none" w:sz="0" w:space="0" w:color="auto"/>
        <w:bottom w:val="none" w:sz="0" w:space="0" w:color="auto"/>
        <w:right w:val="none" w:sz="0" w:space="0" w:color="auto"/>
      </w:divBdr>
      <w:divsChild>
        <w:div w:id="826868153">
          <w:marLeft w:val="0"/>
          <w:marRight w:val="0"/>
          <w:marTop w:val="0"/>
          <w:marBottom w:val="0"/>
          <w:divBdr>
            <w:top w:val="none" w:sz="0" w:space="0" w:color="auto"/>
            <w:left w:val="none" w:sz="0" w:space="0" w:color="auto"/>
            <w:bottom w:val="none" w:sz="0" w:space="0" w:color="auto"/>
            <w:right w:val="none" w:sz="0" w:space="0" w:color="auto"/>
          </w:divBdr>
        </w:div>
        <w:div w:id="269898651">
          <w:marLeft w:val="0"/>
          <w:marRight w:val="0"/>
          <w:marTop w:val="0"/>
          <w:marBottom w:val="0"/>
          <w:divBdr>
            <w:top w:val="none" w:sz="0" w:space="0" w:color="auto"/>
            <w:left w:val="none" w:sz="0" w:space="0" w:color="auto"/>
            <w:bottom w:val="none" w:sz="0" w:space="0" w:color="auto"/>
            <w:right w:val="none" w:sz="0" w:space="0" w:color="auto"/>
          </w:divBdr>
        </w:div>
      </w:divsChild>
    </w:div>
    <w:div w:id="380524147">
      <w:bodyDiv w:val="1"/>
      <w:marLeft w:val="0"/>
      <w:marRight w:val="0"/>
      <w:marTop w:val="0"/>
      <w:marBottom w:val="0"/>
      <w:divBdr>
        <w:top w:val="none" w:sz="0" w:space="0" w:color="auto"/>
        <w:left w:val="none" w:sz="0" w:space="0" w:color="auto"/>
        <w:bottom w:val="none" w:sz="0" w:space="0" w:color="auto"/>
        <w:right w:val="none" w:sz="0" w:space="0" w:color="auto"/>
      </w:divBdr>
    </w:div>
    <w:div w:id="442655323">
      <w:bodyDiv w:val="1"/>
      <w:marLeft w:val="0"/>
      <w:marRight w:val="0"/>
      <w:marTop w:val="0"/>
      <w:marBottom w:val="0"/>
      <w:divBdr>
        <w:top w:val="none" w:sz="0" w:space="0" w:color="auto"/>
        <w:left w:val="none" w:sz="0" w:space="0" w:color="auto"/>
        <w:bottom w:val="none" w:sz="0" w:space="0" w:color="auto"/>
        <w:right w:val="none" w:sz="0" w:space="0" w:color="auto"/>
      </w:divBdr>
    </w:div>
    <w:div w:id="465974531">
      <w:bodyDiv w:val="1"/>
      <w:marLeft w:val="0"/>
      <w:marRight w:val="0"/>
      <w:marTop w:val="0"/>
      <w:marBottom w:val="0"/>
      <w:divBdr>
        <w:top w:val="none" w:sz="0" w:space="0" w:color="auto"/>
        <w:left w:val="none" w:sz="0" w:space="0" w:color="auto"/>
        <w:bottom w:val="none" w:sz="0" w:space="0" w:color="auto"/>
        <w:right w:val="none" w:sz="0" w:space="0" w:color="auto"/>
      </w:divBdr>
    </w:div>
    <w:div w:id="467628539">
      <w:bodyDiv w:val="1"/>
      <w:marLeft w:val="0"/>
      <w:marRight w:val="0"/>
      <w:marTop w:val="0"/>
      <w:marBottom w:val="0"/>
      <w:divBdr>
        <w:top w:val="none" w:sz="0" w:space="0" w:color="auto"/>
        <w:left w:val="none" w:sz="0" w:space="0" w:color="auto"/>
        <w:bottom w:val="none" w:sz="0" w:space="0" w:color="auto"/>
        <w:right w:val="none" w:sz="0" w:space="0" w:color="auto"/>
      </w:divBdr>
    </w:div>
    <w:div w:id="555357978">
      <w:bodyDiv w:val="1"/>
      <w:marLeft w:val="0"/>
      <w:marRight w:val="0"/>
      <w:marTop w:val="0"/>
      <w:marBottom w:val="0"/>
      <w:divBdr>
        <w:top w:val="none" w:sz="0" w:space="0" w:color="auto"/>
        <w:left w:val="none" w:sz="0" w:space="0" w:color="auto"/>
        <w:bottom w:val="none" w:sz="0" w:space="0" w:color="auto"/>
        <w:right w:val="none" w:sz="0" w:space="0" w:color="auto"/>
      </w:divBdr>
    </w:div>
    <w:div w:id="607929030">
      <w:bodyDiv w:val="1"/>
      <w:marLeft w:val="0"/>
      <w:marRight w:val="0"/>
      <w:marTop w:val="0"/>
      <w:marBottom w:val="0"/>
      <w:divBdr>
        <w:top w:val="none" w:sz="0" w:space="0" w:color="auto"/>
        <w:left w:val="none" w:sz="0" w:space="0" w:color="auto"/>
        <w:bottom w:val="none" w:sz="0" w:space="0" w:color="auto"/>
        <w:right w:val="none" w:sz="0" w:space="0" w:color="auto"/>
      </w:divBdr>
    </w:div>
    <w:div w:id="750930784">
      <w:bodyDiv w:val="1"/>
      <w:marLeft w:val="0"/>
      <w:marRight w:val="0"/>
      <w:marTop w:val="0"/>
      <w:marBottom w:val="0"/>
      <w:divBdr>
        <w:top w:val="none" w:sz="0" w:space="0" w:color="auto"/>
        <w:left w:val="none" w:sz="0" w:space="0" w:color="auto"/>
        <w:bottom w:val="none" w:sz="0" w:space="0" w:color="auto"/>
        <w:right w:val="none" w:sz="0" w:space="0" w:color="auto"/>
      </w:divBdr>
    </w:div>
    <w:div w:id="859275202">
      <w:bodyDiv w:val="1"/>
      <w:marLeft w:val="0"/>
      <w:marRight w:val="0"/>
      <w:marTop w:val="0"/>
      <w:marBottom w:val="0"/>
      <w:divBdr>
        <w:top w:val="none" w:sz="0" w:space="0" w:color="auto"/>
        <w:left w:val="none" w:sz="0" w:space="0" w:color="auto"/>
        <w:bottom w:val="none" w:sz="0" w:space="0" w:color="auto"/>
        <w:right w:val="none" w:sz="0" w:space="0" w:color="auto"/>
      </w:divBdr>
    </w:div>
    <w:div w:id="913396169">
      <w:bodyDiv w:val="1"/>
      <w:marLeft w:val="0"/>
      <w:marRight w:val="0"/>
      <w:marTop w:val="0"/>
      <w:marBottom w:val="0"/>
      <w:divBdr>
        <w:top w:val="none" w:sz="0" w:space="0" w:color="auto"/>
        <w:left w:val="none" w:sz="0" w:space="0" w:color="auto"/>
        <w:bottom w:val="none" w:sz="0" w:space="0" w:color="auto"/>
        <w:right w:val="none" w:sz="0" w:space="0" w:color="auto"/>
      </w:divBdr>
    </w:div>
    <w:div w:id="1249921496">
      <w:bodyDiv w:val="1"/>
      <w:marLeft w:val="0"/>
      <w:marRight w:val="0"/>
      <w:marTop w:val="0"/>
      <w:marBottom w:val="0"/>
      <w:divBdr>
        <w:top w:val="none" w:sz="0" w:space="0" w:color="auto"/>
        <w:left w:val="none" w:sz="0" w:space="0" w:color="auto"/>
        <w:bottom w:val="none" w:sz="0" w:space="0" w:color="auto"/>
        <w:right w:val="none" w:sz="0" w:space="0" w:color="auto"/>
      </w:divBdr>
    </w:div>
    <w:div w:id="1275407485">
      <w:bodyDiv w:val="1"/>
      <w:marLeft w:val="0"/>
      <w:marRight w:val="0"/>
      <w:marTop w:val="0"/>
      <w:marBottom w:val="0"/>
      <w:divBdr>
        <w:top w:val="none" w:sz="0" w:space="0" w:color="auto"/>
        <w:left w:val="none" w:sz="0" w:space="0" w:color="auto"/>
        <w:bottom w:val="none" w:sz="0" w:space="0" w:color="auto"/>
        <w:right w:val="none" w:sz="0" w:space="0" w:color="auto"/>
      </w:divBdr>
    </w:div>
    <w:div w:id="1309674577">
      <w:bodyDiv w:val="1"/>
      <w:marLeft w:val="0"/>
      <w:marRight w:val="0"/>
      <w:marTop w:val="0"/>
      <w:marBottom w:val="0"/>
      <w:divBdr>
        <w:top w:val="none" w:sz="0" w:space="0" w:color="auto"/>
        <w:left w:val="none" w:sz="0" w:space="0" w:color="auto"/>
        <w:bottom w:val="none" w:sz="0" w:space="0" w:color="auto"/>
        <w:right w:val="none" w:sz="0" w:space="0" w:color="auto"/>
      </w:divBdr>
    </w:div>
    <w:div w:id="1346787043">
      <w:bodyDiv w:val="1"/>
      <w:marLeft w:val="0"/>
      <w:marRight w:val="0"/>
      <w:marTop w:val="0"/>
      <w:marBottom w:val="0"/>
      <w:divBdr>
        <w:top w:val="none" w:sz="0" w:space="0" w:color="auto"/>
        <w:left w:val="none" w:sz="0" w:space="0" w:color="auto"/>
        <w:bottom w:val="none" w:sz="0" w:space="0" w:color="auto"/>
        <w:right w:val="none" w:sz="0" w:space="0" w:color="auto"/>
      </w:divBdr>
    </w:div>
    <w:div w:id="1355577789">
      <w:bodyDiv w:val="1"/>
      <w:marLeft w:val="0"/>
      <w:marRight w:val="0"/>
      <w:marTop w:val="0"/>
      <w:marBottom w:val="0"/>
      <w:divBdr>
        <w:top w:val="none" w:sz="0" w:space="0" w:color="auto"/>
        <w:left w:val="none" w:sz="0" w:space="0" w:color="auto"/>
        <w:bottom w:val="none" w:sz="0" w:space="0" w:color="auto"/>
        <w:right w:val="none" w:sz="0" w:space="0" w:color="auto"/>
      </w:divBdr>
    </w:div>
    <w:div w:id="1369529869">
      <w:bodyDiv w:val="1"/>
      <w:marLeft w:val="0"/>
      <w:marRight w:val="0"/>
      <w:marTop w:val="0"/>
      <w:marBottom w:val="0"/>
      <w:divBdr>
        <w:top w:val="none" w:sz="0" w:space="0" w:color="auto"/>
        <w:left w:val="none" w:sz="0" w:space="0" w:color="auto"/>
        <w:bottom w:val="none" w:sz="0" w:space="0" w:color="auto"/>
        <w:right w:val="none" w:sz="0" w:space="0" w:color="auto"/>
      </w:divBdr>
    </w:div>
    <w:div w:id="1529949988">
      <w:bodyDiv w:val="1"/>
      <w:marLeft w:val="0"/>
      <w:marRight w:val="0"/>
      <w:marTop w:val="0"/>
      <w:marBottom w:val="0"/>
      <w:divBdr>
        <w:top w:val="none" w:sz="0" w:space="0" w:color="auto"/>
        <w:left w:val="none" w:sz="0" w:space="0" w:color="auto"/>
        <w:bottom w:val="none" w:sz="0" w:space="0" w:color="auto"/>
        <w:right w:val="none" w:sz="0" w:space="0" w:color="auto"/>
      </w:divBdr>
    </w:div>
    <w:div w:id="1630745660">
      <w:bodyDiv w:val="1"/>
      <w:marLeft w:val="0"/>
      <w:marRight w:val="0"/>
      <w:marTop w:val="0"/>
      <w:marBottom w:val="0"/>
      <w:divBdr>
        <w:top w:val="none" w:sz="0" w:space="0" w:color="auto"/>
        <w:left w:val="none" w:sz="0" w:space="0" w:color="auto"/>
        <w:bottom w:val="none" w:sz="0" w:space="0" w:color="auto"/>
        <w:right w:val="none" w:sz="0" w:space="0" w:color="auto"/>
      </w:divBdr>
    </w:div>
    <w:div w:id="1647317011">
      <w:bodyDiv w:val="1"/>
      <w:marLeft w:val="0"/>
      <w:marRight w:val="0"/>
      <w:marTop w:val="0"/>
      <w:marBottom w:val="0"/>
      <w:divBdr>
        <w:top w:val="none" w:sz="0" w:space="0" w:color="auto"/>
        <w:left w:val="none" w:sz="0" w:space="0" w:color="auto"/>
        <w:bottom w:val="none" w:sz="0" w:space="0" w:color="auto"/>
        <w:right w:val="none" w:sz="0" w:space="0" w:color="auto"/>
      </w:divBdr>
    </w:div>
    <w:div w:id="1663660398">
      <w:bodyDiv w:val="1"/>
      <w:marLeft w:val="0"/>
      <w:marRight w:val="0"/>
      <w:marTop w:val="0"/>
      <w:marBottom w:val="0"/>
      <w:divBdr>
        <w:top w:val="none" w:sz="0" w:space="0" w:color="auto"/>
        <w:left w:val="none" w:sz="0" w:space="0" w:color="auto"/>
        <w:bottom w:val="none" w:sz="0" w:space="0" w:color="auto"/>
        <w:right w:val="none" w:sz="0" w:space="0" w:color="auto"/>
      </w:divBdr>
    </w:div>
    <w:div w:id="1677921644">
      <w:bodyDiv w:val="1"/>
      <w:marLeft w:val="0"/>
      <w:marRight w:val="0"/>
      <w:marTop w:val="0"/>
      <w:marBottom w:val="0"/>
      <w:divBdr>
        <w:top w:val="none" w:sz="0" w:space="0" w:color="auto"/>
        <w:left w:val="none" w:sz="0" w:space="0" w:color="auto"/>
        <w:bottom w:val="none" w:sz="0" w:space="0" w:color="auto"/>
        <w:right w:val="none" w:sz="0" w:space="0" w:color="auto"/>
      </w:divBdr>
    </w:div>
    <w:div w:id="1760368377">
      <w:bodyDiv w:val="1"/>
      <w:marLeft w:val="0"/>
      <w:marRight w:val="0"/>
      <w:marTop w:val="0"/>
      <w:marBottom w:val="0"/>
      <w:divBdr>
        <w:top w:val="none" w:sz="0" w:space="0" w:color="auto"/>
        <w:left w:val="none" w:sz="0" w:space="0" w:color="auto"/>
        <w:bottom w:val="none" w:sz="0" w:space="0" w:color="auto"/>
        <w:right w:val="none" w:sz="0" w:space="0" w:color="auto"/>
      </w:divBdr>
    </w:div>
    <w:div w:id="1901594753">
      <w:bodyDiv w:val="1"/>
      <w:marLeft w:val="0"/>
      <w:marRight w:val="0"/>
      <w:marTop w:val="0"/>
      <w:marBottom w:val="0"/>
      <w:divBdr>
        <w:top w:val="none" w:sz="0" w:space="0" w:color="auto"/>
        <w:left w:val="none" w:sz="0" w:space="0" w:color="auto"/>
        <w:bottom w:val="none" w:sz="0" w:space="0" w:color="auto"/>
        <w:right w:val="none" w:sz="0" w:space="0" w:color="auto"/>
      </w:divBdr>
    </w:div>
    <w:div w:id="1936089990">
      <w:bodyDiv w:val="1"/>
      <w:marLeft w:val="0"/>
      <w:marRight w:val="0"/>
      <w:marTop w:val="0"/>
      <w:marBottom w:val="0"/>
      <w:divBdr>
        <w:top w:val="none" w:sz="0" w:space="0" w:color="auto"/>
        <w:left w:val="none" w:sz="0" w:space="0" w:color="auto"/>
        <w:bottom w:val="none" w:sz="0" w:space="0" w:color="auto"/>
        <w:right w:val="none" w:sz="0" w:space="0" w:color="auto"/>
      </w:divBdr>
    </w:div>
    <w:div w:id="1952979926">
      <w:bodyDiv w:val="1"/>
      <w:marLeft w:val="0"/>
      <w:marRight w:val="0"/>
      <w:marTop w:val="0"/>
      <w:marBottom w:val="0"/>
      <w:divBdr>
        <w:top w:val="none" w:sz="0" w:space="0" w:color="auto"/>
        <w:left w:val="none" w:sz="0" w:space="0" w:color="auto"/>
        <w:bottom w:val="none" w:sz="0" w:space="0" w:color="auto"/>
        <w:right w:val="none" w:sz="0" w:space="0" w:color="auto"/>
      </w:divBdr>
    </w:div>
    <w:div w:id="2001691741">
      <w:bodyDiv w:val="1"/>
      <w:marLeft w:val="0"/>
      <w:marRight w:val="0"/>
      <w:marTop w:val="0"/>
      <w:marBottom w:val="0"/>
      <w:divBdr>
        <w:top w:val="none" w:sz="0" w:space="0" w:color="auto"/>
        <w:left w:val="none" w:sz="0" w:space="0" w:color="auto"/>
        <w:bottom w:val="none" w:sz="0" w:space="0" w:color="auto"/>
        <w:right w:val="none" w:sz="0" w:space="0" w:color="auto"/>
      </w:divBdr>
    </w:div>
    <w:div w:id="2055352663">
      <w:bodyDiv w:val="1"/>
      <w:marLeft w:val="0"/>
      <w:marRight w:val="0"/>
      <w:marTop w:val="0"/>
      <w:marBottom w:val="0"/>
      <w:divBdr>
        <w:top w:val="none" w:sz="0" w:space="0" w:color="auto"/>
        <w:left w:val="none" w:sz="0" w:space="0" w:color="auto"/>
        <w:bottom w:val="none" w:sz="0" w:space="0" w:color="auto"/>
        <w:right w:val="none" w:sz="0" w:space="0" w:color="auto"/>
      </w:divBdr>
    </w:div>
    <w:div w:id="2101095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DE6455677BA7D14799C4461A6A21B5E5" ma:contentTypeVersion="15" ma:contentTypeDescription="Crear nuevo documento." ma:contentTypeScope="" ma:versionID="d48748219c37e74c67c62fd1f1814eb1">
  <xsd:schema xmlns:xsd="http://www.w3.org/2001/XMLSchema" xmlns:xs="http://www.w3.org/2001/XMLSchema" xmlns:p="http://schemas.microsoft.com/office/2006/metadata/properties" xmlns:ns3="54c752c3-4609-42b6-b2f6-27677624ea05" xmlns:ns4="dfb75ad6-1c44-4576-92a1-b1de18b43d63" targetNamespace="http://schemas.microsoft.com/office/2006/metadata/properties" ma:root="true" ma:fieldsID="6b43d36ae01f2d1fbf73aaa6062a0c74" ns3:_="" ns4:_="">
    <xsd:import namespace="54c752c3-4609-42b6-b2f6-27677624ea05"/>
    <xsd:import namespace="dfb75ad6-1c44-4576-92a1-b1de18b43d6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_activity"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c752c3-4609-42b6-b2f6-27677624ea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b75ad6-1c44-4576-92a1-b1de18b43d63"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54c752c3-4609-42b6-b2f6-27677624ea05" xsi:nil="true"/>
  </documentManagement>
</p:properties>
</file>

<file path=customXml/itemProps1.xml><?xml version="1.0" encoding="utf-8"?>
<ds:datastoreItem xmlns:ds="http://schemas.openxmlformats.org/officeDocument/2006/customXml" ds:itemID="{C3DF5B0A-37B8-4EB9-B0A3-13A29AD7C808}">
  <ds:schemaRefs>
    <ds:schemaRef ds:uri="http://schemas.microsoft.com/sharepoint/v3/contenttype/forms"/>
  </ds:schemaRefs>
</ds:datastoreItem>
</file>

<file path=customXml/itemProps2.xml><?xml version="1.0" encoding="utf-8"?>
<ds:datastoreItem xmlns:ds="http://schemas.openxmlformats.org/officeDocument/2006/customXml" ds:itemID="{B0E71BEF-7923-4A40-B0A3-3AD0B67AAB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c752c3-4609-42b6-b2f6-27677624ea05"/>
    <ds:schemaRef ds:uri="dfb75ad6-1c44-4576-92a1-b1de18b43d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20A8A8-A558-4EEB-918A-6F3DAC46B40D}">
  <ds:schemaRefs>
    <ds:schemaRef ds:uri="http://schemas.openxmlformats.org/officeDocument/2006/bibliography"/>
  </ds:schemaRefs>
</ds:datastoreItem>
</file>

<file path=customXml/itemProps4.xml><?xml version="1.0" encoding="utf-8"?>
<ds:datastoreItem xmlns:ds="http://schemas.openxmlformats.org/officeDocument/2006/customXml" ds:itemID="{A9322064-7634-4DEB-ACB2-94C85CE442B6}">
  <ds:schemaRefs>
    <ds:schemaRef ds:uri="http://schemas.microsoft.com/office/2006/metadata/properties"/>
    <ds:schemaRef ds:uri="http://schemas.microsoft.com/office/infopath/2007/PartnerControls"/>
    <ds:schemaRef ds:uri="54c752c3-4609-42b6-b2f6-27677624ea0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8279</Words>
  <Characters>45539</Characters>
  <Application>Microsoft Office Word</Application>
  <DocSecurity>0</DocSecurity>
  <Lines>379</Lines>
  <Paragraphs>107</Paragraphs>
  <ScaleCrop>false</ScaleCrop>
  <HeadingPairs>
    <vt:vector size="6" baseType="variant">
      <vt:variant>
        <vt:lpstr>Título</vt:lpstr>
      </vt:variant>
      <vt:variant>
        <vt:i4>1</vt:i4>
      </vt:variant>
      <vt:variant>
        <vt:lpstr>Title</vt:lpstr>
      </vt:variant>
      <vt:variant>
        <vt:i4>1</vt:i4>
      </vt:variant>
      <vt:variant>
        <vt:lpstr>Títol</vt:lpstr>
      </vt:variant>
      <vt:variant>
        <vt:i4>1</vt:i4>
      </vt:variant>
    </vt:vector>
  </HeadingPairs>
  <TitlesOfParts>
    <vt:vector size="3" baseType="lpstr">
      <vt:lpstr/>
      <vt:lpstr/>
      <vt:lpstr/>
    </vt:vector>
  </TitlesOfParts>
  <Company/>
  <LinksUpToDate>false</LinksUpToDate>
  <CharactersWithSpaces>53711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docId:62C796E57706507C7BE27CE52EE8531B</cp:keywords>
  <dc:description/>
  <cp:lastModifiedBy>Eliseo Sierra Noguero</cp:lastModifiedBy>
  <cp:revision>3</cp:revision>
  <cp:lastPrinted>2023-06-14T17:42:00Z</cp:lastPrinted>
  <dcterms:created xsi:type="dcterms:W3CDTF">2023-11-20T13:57:00Z</dcterms:created>
  <dcterms:modified xsi:type="dcterms:W3CDTF">2023-11-20T14:03:00Z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0x010100DE6455677BA7D14799C4461A6A21B5E5</vt:lpwstr>
  </property>
</Properties>
</file>