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C00AA" w14:textId="0D6D1C70" w:rsidR="00EC6189" w:rsidRPr="00F64697" w:rsidRDefault="00D82B15" w:rsidP="00E17EC6">
      <w:pPr>
        <w:spacing w:before="120" w:after="120" w:line="240" w:lineRule="auto"/>
        <w:jc w:val="both"/>
        <w:rPr>
          <w:rFonts w:cs="Times New Roman"/>
          <w:b/>
          <w:caps/>
          <w:sz w:val="24"/>
          <w:szCs w:val="24"/>
        </w:rPr>
      </w:pPr>
      <w:bookmarkStart w:id="0" w:name="_Hlk127555587"/>
      <w:bookmarkStart w:id="1" w:name="_Hlk138280235"/>
      <w:bookmarkStart w:id="2" w:name="_Hlk148198349"/>
      <w:r>
        <w:rPr>
          <w:rFonts w:cs="Times New Roman"/>
          <w:b/>
          <w:caps/>
          <w:sz w:val="24"/>
          <w:szCs w:val="24"/>
        </w:rPr>
        <w:t>Arbitraje v. jurisdicción en riesgos de aseguramiento de responsabilidad civil por contaminación marítima de hidrocarburos: caso “Prestige”</w:t>
      </w:r>
    </w:p>
    <w:p w14:paraId="131220BA" w14:textId="77777777" w:rsidR="00C77AF2" w:rsidRPr="00F64697" w:rsidRDefault="00C77AF2" w:rsidP="00E17EC6">
      <w:pPr>
        <w:spacing w:before="120" w:after="120" w:line="240" w:lineRule="auto"/>
        <w:ind w:left="360"/>
        <w:jc w:val="both"/>
        <w:rPr>
          <w:rFonts w:cs="Times New Roman"/>
          <w:b/>
          <w:sz w:val="24"/>
          <w:szCs w:val="24"/>
        </w:rPr>
      </w:pPr>
    </w:p>
    <w:p w14:paraId="397E2991" w14:textId="77777777" w:rsidR="00C77AF2" w:rsidRPr="00F64697" w:rsidRDefault="00C77AF2" w:rsidP="002D7DC0">
      <w:pPr>
        <w:spacing w:after="0" w:line="240" w:lineRule="auto"/>
        <w:jc w:val="right"/>
        <w:rPr>
          <w:rFonts w:cs="Times New Roman"/>
          <w:sz w:val="24"/>
          <w:szCs w:val="24"/>
        </w:rPr>
      </w:pPr>
      <w:r w:rsidRPr="00F64697">
        <w:rPr>
          <w:rFonts w:cs="Times New Roman"/>
          <w:sz w:val="24"/>
          <w:szCs w:val="24"/>
        </w:rPr>
        <w:t>Eliseo Sierra Noguero</w:t>
      </w:r>
    </w:p>
    <w:p w14:paraId="380D6E64" w14:textId="3723C6F4" w:rsidR="00C77AF2" w:rsidRPr="00F64697" w:rsidRDefault="00C77AF2" w:rsidP="002D7DC0">
      <w:pPr>
        <w:spacing w:after="0" w:line="240" w:lineRule="auto"/>
        <w:jc w:val="right"/>
        <w:rPr>
          <w:rFonts w:cs="Times New Roman"/>
          <w:sz w:val="24"/>
          <w:szCs w:val="24"/>
        </w:rPr>
      </w:pPr>
      <w:r w:rsidRPr="00F64697">
        <w:rPr>
          <w:rFonts w:cs="Times New Roman"/>
          <w:sz w:val="24"/>
          <w:szCs w:val="24"/>
        </w:rPr>
        <w:t>Profesor Agregado de Derecho Mercantil</w:t>
      </w:r>
      <w:r w:rsidR="00951915" w:rsidRPr="00F64697">
        <w:rPr>
          <w:rFonts w:cs="Times New Roman"/>
          <w:sz w:val="24"/>
          <w:szCs w:val="24"/>
        </w:rPr>
        <w:t>, acreditado a Catedrático Contratado</w:t>
      </w:r>
    </w:p>
    <w:p w14:paraId="7650B1DD" w14:textId="77777777" w:rsidR="00C77AF2" w:rsidRPr="00F64697" w:rsidRDefault="00C77AF2" w:rsidP="002D7DC0">
      <w:pPr>
        <w:spacing w:after="0" w:line="240" w:lineRule="auto"/>
        <w:jc w:val="right"/>
        <w:rPr>
          <w:rFonts w:cs="Times New Roman"/>
          <w:sz w:val="24"/>
          <w:szCs w:val="24"/>
        </w:rPr>
      </w:pPr>
      <w:r w:rsidRPr="00F64697">
        <w:rPr>
          <w:rFonts w:cs="Times New Roman"/>
          <w:sz w:val="24"/>
          <w:szCs w:val="24"/>
        </w:rPr>
        <w:t>Universidad Autónoma de Barcelona</w:t>
      </w:r>
    </w:p>
    <w:p w14:paraId="608FFF70" w14:textId="77777777" w:rsidR="006B3493" w:rsidRPr="00F64697" w:rsidRDefault="006B3493" w:rsidP="00E17EC6">
      <w:pPr>
        <w:spacing w:before="120" w:after="120" w:line="240" w:lineRule="auto"/>
        <w:jc w:val="both"/>
        <w:rPr>
          <w:rFonts w:cs="Times New Roman"/>
          <w:b/>
          <w:bCs/>
          <w:sz w:val="24"/>
          <w:szCs w:val="24"/>
        </w:rPr>
      </w:pPr>
    </w:p>
    <w:p w14:paraId="3B22A609" w14:textId="4C25FEBE" w:rsidR="002D7DC0" w:rsidRPr="00F64697" w:rsidRDefault="00263CE6" w:rsidP="002D7DC0">
      <w:pPr>
        <w:spacing w:before="120" w:after="120" w:line="240" w:lineRule="auto"/>
        <w:jc w:val="both"/>
        <w:rPr>
          <w:rFonts w:cs="Times New Roman"/>
          <w:caps/>
          <w:sz w:val="24"/>
          <w:szCs w:val="24"/>
        </w:rPr>
      </w:pPr>
      <w:r w:rsidRPr="00F64697">
        <w:rPr>
          <w:rFonts w:cs="Times New Roman"/>
          <w:b/>
          <w:bCs/>
          <w:sz w:val="24"/>
          <w:szCs w:val="24"/>
        </w:rPr>
        <w:t>Sumario</w:t>
      </w:r>
      <w:r w:rsidRPr="00F64697">
        <w:rPr>
          <w:rFonts w:cs="Times New Roman"/>
          <w:sz w:val="24"/>
          <w:szCs w:val="24"/>
        </w:rPr>
        <w:t>:</w:t>
      </w:r>
      <w:r w:rsidR="000B4B74" w:rsidRPr="00F64697">
        <w:rPr>
          <w:rFonts w:cs="Times New Roman"/>
          <w:sz w:val="24"/>
          <w:szCs w:val="24"/>
        </w:rPr>
        <w:t xml:space="preserve"> </w:t>
      </w:r>
      <w:r w:rsidR="00F64697" w:rsidRPr="00F64697">
        <w:rPr>
          <w:rFonts w:cs="Times New Roman"/>
          <w:sz w:val="24"/>
          <w:szCs w:val="24"/>
        </w:rPr>
        <w:t xml:space="preserve">I. INTRODUCCIÓN. II. HECHOS, PROCEDIMIENTOS JUDICIALES Y CUESTIÓN PREJUDICIAL. 1. Proceso español: condena al asegurador al pago de 855 millones de euros. 2. Procesos arbitral y judicial ingleses: exoneración del asegurador de pago alguno por encima de los límites internacionales de indemnización. 3. Cuestión prejudicial ante el Tribunal de Justicia de la Unión Europea: obligación de ejecutar la resolución española en el Reino Unido. 4. Negativa de la justicia británica a ejecutar en el Reino Unido la condena de 855 millones de euros contra el asegurador. </w:t>
      </w:r>
      <w:r w:rsidR="002A5D45" w:rsidRPr="002A5D45">
        <w:rPr>
          <w:rFonts w:cs="Times New Roman"/>
          <w:sz w:val="24"/>
          <w:szCs w:val="24"/>
        </w:rPr>
        <w:t>Re</w:t>
      </w:r>
      <w:r w:rsidR="00F3324E">
        <w:rPr>
          <w:rFonts w:cs="Times New Roman"/>
          <w:sz w:val="24"/>
          <w:szCs w:val="24"/>
        </w:rPr>
        <w:t>clamación de re</w:t>
      </w:r>
      <w:r w:rsidR="002A5D45" w:rsidRPr="002A5D45">
        <w:rPr>
          <w:rFonts w:cs="Times New Roman"/>
          <w:sz w:val="24"/>
          <w:szCs w:val="24"/>
        </w:rPr>
        <w:t>sponsabilidad civil del Estado español y francés</w:t>
      </w:r>
      <w:r w:rsidR="00F3324E">
        <w:rPr>
          <w:rFonts w:cs="Times New Roman"/>
          <w:sz w:val="24"/>
          <w:szCs w:val="24"/>
        </w:rPr>
        <w:t xml:space="preserve"> por vulnerar el convenio arbitral</w:t>
      </w:r>
      <w:r w:rsidR="002A5D45">
        <w:rPr>
          <w:rFonts w:cs="Times New Roman"/>
          <w:sz w:val="24"/>
          <w:szCs w:val="24"/>
        </w:rPr>
        <w:t xml:space="preserve">. </w:t>
      </w:r>
      <w:r w:rsidR="00F64697" w:rsidRPr="00F64697">
        <w:rPr>
          <w:rFonts w:cs="Times New Roman"/>
          <w:sz w:val="24"/>
          <w:szCs w:val="24"/>
        </w:rPr>
        <w:t xml:space="preserve">III. ANÁLISIS CRÍTICO. 1. Insuficiencia de los límites internacionales de indemnización por contaminación de hidrocarburos. 2. </w:t>
      </w:r>
      <w:r w:rsidR="006E69FA" w:rsidRPr="006E69FA">
        <w:rPr>
          <w:rFonts w:cs="Times New Roman"/>
          <w:sz w:val="24"/>
          <w:szCs w:val="24"/>
        </w:rPr>
        <w:t>La extensión al tercero perjudicado del convenio arbitral del seguro marítimo de responsabilidad civil</w:t>
      </w:r>
      <w:r w:rsidR="00F64697" w:rsidRPr="00F64697">
        <w:rPr>
          <w:rFonts w:cs="Times New Roman"/>
          <w:sz w:val="24"/>
          <w:szCs w:val="24"/>
        </w:rPr>
        <w:t xml:space="preserve">. IV. </w:t>
      </w:r>
      <w:r w:rsidR="00F64697" w:rsidRPr="00F64697">
        <w:rPr>
          <w:rFonts w:cs="Times New Roman"/>
          <w:caps/>
          <w:sz w:val="24"/>
          <w:szCs w:val="24"/>
        </w:rPr>
        <w:t>Nunca máis?</w:t>
      </w:r>
      <w:r w:rsidR="00F64697" w:rsidRPr="00F64697">
        <w:rPr>
          <w:rFonts w:cs="Times New Roman"/>
          <w:b/>
          <w:bCs/>
          <w:caps/>
          <w:sz w:val="24"/>
          <w:szCs w:val="24"/>
        </w:rPr>
        <w:t xml:space="preserve"> </w:t>
      </w:r>
    </w:p>
    <w:p w14:paraId="7AF361F8" w14:textId="7848D773" w:rsidR="008F7F0E" w:rsidRPr="00673801" w:rsidRDefault="008F7F0E" w:rsidP="00E17EC6">
      <w:pPr>
        <w:spacing w:before="120" w:after="120" w:line="240" w:lineRule="auto"/>
        <w:jc w:val="both"/>
        <w:rPr>
          <w:rFonts w:cs="Times New Roman"/>
          <w:sz w:val="24"/>
          <w:szCs w:val="24"/>
        </w:rPr>
      </w:pPr>
      <w:r w:rsidRPr="00F64697">
        <w:rPr>
          <w:rFonts w:cs="Times New Roman"/>
          <w:b/>
          <w:bCs/>
          <w:sz w:val="24"/>
          <w:szCs w:val="24"/>
        </w:rPr>
        <w:t>Resumen</w:t>
      </w:r>
      <w:r w:rsidR="0084435B" w:rsidRPr="00F64697">
        <w:rPr>
          <w:rFonts w:cs="Times New Roman"/>
          <w:b/>
          <w:bCs/>
          <w:sz w:val="24"/>
          <w:szCs w:val="24"/>
        </w:rPr>
        <w:t xml:space="preserve">: </w:t>
      </w:r>
      <w:r w:rsidR="00673801" w:rsidRPr="00673801">
        <w:rPr>
          <w:rFonts w:cs="Times New Roman"/>
          <w:sz w:val="24"/>
          <w:szCs w:val="24"/>
        </w:rPr>
        <w:t xml:space="preserve">El artículo analiza el caso “Prestige”, ultimo capítulo judicial entre los intereses británicos en proteger a la industria naviera y aseguradora que confía en el arbitraje londinense en sus contratos y los intereses de los afectados por reclamar judicialmente en el lugar del daño. Se trata especialmente la sentencia de 6 de octubre </w:t>
      </w:r>
      <w:r w:rsidR="00F64697" w:rsidRPr="00673801">
        <w:rPr>
          <w:rFonts w:cs="Times New Roman"/>
          <w:sz w:val="24"/>
          <w:szCs w:val="24"/>
        </w:rPr>
        <w:t xml:space="preserve">de 2023 de la </w:t>
      </w:r>
      <w:r w:rsidR="00F64697" w:rsidRPr="00673801">
        <w:rPr>
          <w:rFonts w:cs="Times New Roman"/>
          <w:i/>
          <w:iCs/>
          <w:sz w:val="24"/>
          <w:szCs w:val="24"/>
        </w:rPr>
        <w:t>High Court</w:t>
      </w:r>
      <w:r w:rsidR="00F64697" w:rsidRPr="00673801">
        <w:rPr>
          <w:rFonts w:cs="Times New Roman"/>
          <w:sz w:val="24"/>
          <w:szCs w:val="24"/>
        </w:rPr>
        <w:t xml:space="preserve"> </w:t>
      </w:r>
      <w:r w:rsidR="00673801">
        <w:rPr>
          <w:rFonts w:cs="Times New Roman"/>
          <w:sz w:val="24"/>
          <w:szCs w:val="24"/>
        </w:rPr>
        <w:t xml:space="preserve">inglesa, que </w:t>
      </w:r>
      <w:r w:rsidR="00F64697" w:rsidRPr="00673801">
        <w:rPr>
          <w:rFonts w:cs="Times New Roman"/>
          <w:sz w:val="24"/>
          <w:szCs w:val="24"/>
        </w:rPr>
        <w:t>niega la ejecución en el Reino Unido</w:t>
      </w:r>
      <w:r w:rsidR="00673801" w:rsidRPr="00673801">
        <w:rPr>
          <w:rFonts w:cs="Times New Roman"/>
          <w:sz w:val="24"/>
          <w:szCs w:val="24"/>
        </w:rPr>
        <w:t>, domicilio del club P&amp;I del “Prestige”</w:t>
      </w:r>
      <w:r w:rsidR="00F64697" w:rsidRPr="00673801">
        <w:rPr>
          <w:rFonts w:cs="Times New Roman"/>
          <w:sz w:val="24"/>
          <w:szCs w:val="24"/>
        </w:rPr>
        <w:t xml:space="preserve"> del</w:t>
      </w:r>
      <w:r w:rsidR="00673801" w:rsidRPr="00673801">
        <w:rPr>
          <w:rFonts w:cs="Times New Roman"/>
          <w:sz w:val="24"/>
          <w:szCs w:val="24"/>
        </w:rPr>
        <w:t xml:space="preserve"> auto de la Audiencia Provincial de A Coruña</w:t>
      </w:r>
      <w:r w:rsidR="00A56385">
        <w:rPr>
          <w:rFonts w:cs="Times New Roman"/>
          <w:sz w:val="24"/>
          <w:szCs w:val="24"/>
        </w:rPr>
        <w:t xml:space="preserve"> de 1 de marzo de 2019</w:t>
      </w:r>
      <w:r w:rsidR="00673801" w:rsidRPr="00673801">
        <w:rPr>
          <w:rFonts w:cs="Times New Roman"/>
          <w:sz w:val="24"/>
          <w:szCs w:val="24"/>
        </w:rPr>
        <w:t>,</w:t>
      </w:r>
      <w:r w:rsidR="00F64697" w:rsidRPr="00673801">
        <w:rPr>
          <w:rFonts w:cs="Times New Roman"/>
          <w:sz w:val="24"/>
          <w:szCs w:val="24"/>
        </w:rPr>
        <w:t xml:space="preserve"> de condena al asegurador al pago de 855 millones</w:t>
      </w:r>
      <w:r w:rsidR="00673801" w:rsidRPr="00673801">
        <w:rPr>
          <w:rFonts w:cs="Times New Roman"/>
          <w:sz w:val="24"/>
          <w:szCs w:val="24"/>
        </w:rPr>
        <w:t xml:space="preserve"> de euros</w:t>
      </w:r>
      <w:r w:rsidR="00F64697" w:rsidRPr="00673801">
        <w:rPr>
          <w:rFonts w:cs="Times New Roman"/>
          <w:sz w:val="24"/>
          <w:szCs w:val="24"/>
        </w:rPr>
        <w:t xml:space="preserve">. </w:t>
      </w:r>
      <w:r w:rsidR="00A56385">
        <w:rPr>
          <w:rFonts w:cs="Times New Roman"/>
          <w:sz w:val="24"/>
          <w:szCs w:val="24"/>
        </w:rPr>
        <w:t>E</w:t>
      </w:r>
      <w:r w:rsidR="00046639">
        <w:rPr>
          <w:rFonts w:cs="Times New Roman"/>
          <w:sz w:val="24"/>
          <w:szCs w:val="24"/>
        </w:rPr>
        <w:t xml:space="preserve">sta negativa es contraria a la respuesta dada a la cuestión prejudicial que la misma </w:t>
      </w:r>
      <w:r w:rsidR="00046639" w:rsidRPr="00046639">
        <w:rPr>
          <w:rFonts w:cs="Times New Roman"/>
          <w:i/>
          <w:iCs/>
          <w:sz w:val="24"/>
          <w:szCs w:val="24"/>
        </w:rPr>
        <w:t>High Court</w:t>
      </w:r>
      <w:r w:rsidR="00046639">
        <w:rPr>
          <w:rFonts w:cs="Times New Roman"/>
          <w:sz w:val="24"/>
          <w:szCs w:val="24"/>
        </w:rPr>
        <w:t xml:space="preserve"> presentó ante e</w:t>
      </w:r>
      <w:r w:rsidR="00A56385">
        <w:rPr>
          <w:rFonts w:cs="Times New Roman"/>
          <w:sz w:val="24"/>
          <w:szCs w:val="24"/>
        </w:rPr>
        <w:t>l Tribunal de Justicia de la Unión Europea</w:t>
      </w:r>
      <w:r w:rsidR="00A56385" w:rsidRPr="00046639">
        <w:rPr>
          <w:rFonts w:cs="Times New Roman"/>
          <w:sz w:val="24"/>
          <w:szCs w:val="24"/>
        </w:rPr>
        <w:t xml:space="preserve">. </w:t>
      </w:r>
      <w:r w:rsidR="00046639">
        <w:rPr>
          <w:rFonts w:cs="Times New Roman"/>
          <w:sz w:val="24"/>
          <w:szCs w:val="24"/>
        </w:rPr>
        <w:t xml:space="preserve">Si el Reino Unido siguiese </w:t>
      </w:r>
      <w:r w:rsidR="00A56385" w:rsidRPr="00A56385">
        <w:rPr>
          <w:rFonts w:cs="Times New Roman"/>
          <w:sz w:val="24"/>
          <w:szCs w:val="24"/>
        </w:rPr>
        <w:t>en la Unión Europea</w:t>
      </w:r>
      <w:r w:rsidR="00046639">
        <w:rPr>
          <w:rFonts w:cs="Times New Roman"/>
          <w:sz w:val="24"/>
          <w:szCs w:val="24"/>
        </w:rPr>
        <w:t xml:space="preserve">, </w:t>
      </w:r>
      <w:r w:rsidR="00A56385" w:rsidRPr="00A56385">
        <w:rPr>
          <w:rFonts w:cs="Times New Roman"/>
          <w:sz w:val="24"/>
          <w:szCs w:val="24"/>
        </w:rPr>
        <w:t xml:space="preserve">las aseguradoras británicas </w:t>
      </w:r>
      <w:r w:rsidR="00046639">
        <w:rPr>
          <w:rFonts w:cs="Times New Roman"/>
          <w:sz w:val="24"/>
          <w:szCs w:val="24"/>
        </w:rPr>
        <w:t>no podrían</w:t>
      </w:r>
      <w:r w:rsidR="00A56385" w:rsidRPr="00A56385">
        <w:rPr>
          <w:rFonts w:cs="Times New Roman"/>
          <w:sz w:val="24"/>
          <w:szCs w:val="24"/>
        </w:rPr>
        <w:t xml:space="preserve"> oponer la cláusula arbitral a los terceros perjudicados. </w:t>
      </w:r>
      <w:r w:rsidR="00673801" w:rsidRPr="00673801">
        <w:rPr>
          <w:rFonts w:cs="Times New Roman"/>
          <w:sz w:val="24"/>
          <w:szCs w:val="24"/>
        </w:rPr>
        <w:t>Se propone elevar los límites de indemnización del Convenio de Responsabilidad Civil de 1992</w:t>
      </w:r>
      <w:r w:rsidR="00DB58F9" w:rsidRPr="00673801">
        <w:rPr>
          <w:rFonts w:cs="Times New Roman"/>
          <w:sz w:val="24"/>
          <w:szCs w:val="24"/>
        </w:rPr>
        <w:t>.</w:t>
      </w:r>
    </w:p>
    <w:p w14:paraId="7F3D8C2E" w14:textId="4B1BC72D" w:rsidR="008F7F0E" w:rsidRPr="00DB58F9" w:rsidRDefault="008F7F0E" w:rsidP="00E17EC6">
      <w:pPr>
        <w:spacing w:before="120" w:after="120" w:line="240" w:lineRule="auto"/>
        <w:jc w:val="both"/>
        <w:rPr>
          <w:rFonts w:cs="Times New Roman"/>
          <w:sz w:val="24"/>
          <w:szCs w:val="24"/>
          <w:lang w:val="en-US"/>
        </w:rPr>
      </w:pPr>
      <w:r w:rsidRPr="00DB58F9">
        <w:rPr>
          <w:rFonts w:cs="Times New Roman"/>
          <w:b/>
          <w:bCs/>
          <w:sz w:val="24"/>
          <w:szCs w:val="24"/>
          <w:lang w:val="en-US"/>
        </w:rPr>
        <w:t>Abstract</w:t>
      </w:r>
      <w:r w:rsidR="0084435B" w:rsidRPr="00DB58F9">
        <w:rPr>
          <w:rFonts w:cs="Times New Roman"/>
          <w:b/>
          <w:bCs/>
          <w:sz w:val="24"/>
          <w:szCs w:val="24"/>
          <w:lang w:val="en-US"/>
        </w:rPr>
        <w:t>:</w:t>
      </w:r>
      <w:r w:rsidR="00DB58F9" w:rsidRPr="00DB58F9">
        <w:rPr>
          <w:rFonts w:cs="Times New Roman"/>
          <w:sz w:val="24"/>
          <w:szCs w:val="24"/>
          <w:lang w:val="en-US"/>
        </w:rPr>
        <w:t xml:space="preserve"> </w:t>
      </w:r>
      <w:r w:rsidR="00673801">
        <w:rPr>
          <w:rFonts w:cs="Times New Roman"/>
          <w:sz w:val="24"/>
          <w:szCs w:val="24"/>
          <w:lang w:val="en-US"/>
        </w:rPr>
        <w:t>T</w:t>
      </w:r>
      <w:r w:rsidR="00673801" w:rsidRPr="00673801">
        <w:rPr>
          <w:rFonts w:cs="Times New Roman"/>
          <w:sz w:val="24"/>
          <w:szCs w:val="24"/>
          <w:lang w:val="en-US"/>
        </w:rPr>
        <w:t>he article analyzes the “Prestige” case, the latest judicial chapter between the British interests in protecting the shipping and insurance industry that relies on London arbitration in its contracts and the interests of those affected in being able to claim judicially at the site of the damage. The High Court ruling of October 6, 2023 denies the execution in the United Kingdom, domicile of the “Prestige” P&amp;I club, of the order of the Provincial Court of A Coruña</w:t>
      </w:r>
      <w:r w:rsidR="00A56385">
        <w:rPr>
          <w:rFonts w:cs="Times New Roman"/>
          <w:sz w:val="24"/>
          <w:szCs w:val="24"/>
          <w:lang w:val="en-US"/>
        </w:rPr>
        <w:t xml:space="preserve"> of March 1, 2019</w:t>
      </w:r>
      <w:r w:rsidR="00673801" w:rsidRPr="00673801">
        <w:rPr>
          <w:rFonts w:cs="Times New Roman"/>
          <w:sz w:val="24"/>
          <w:szCs w:val="24"/>
          <w:lang w:val="en-US"/>
        </w:rPr>
        <w:t>, condemning the insurer to payment of 855 million euros.</w:t>
      </w:r>
      <w:r w:rsidR="00A56385">
        <w:rPr>
          <w:rFonts w:cs="Times New Roman"/>
          <w:sz w:val="24"/>
          <w:szCs w:val="24"/>
          <w:lang w:val="en-US"/>
        </w:rPr>
        <w:t xml:space="preserve"> </w:t>
      </w:r>
      <w:r w:rsidR="00046639" w:rsidRPr="00046639">
        <w:rPr>
          <w:rFonts w:cs="Times New Roman"/>
          <w:sz w:val="24"/>
          <w:szCs w:val="24"/>
          <w:lang w:val="en-US"/>
        </w:rPr>
        <w:t>This refusal is contrary to the answer given to the preliminary question that the High Court itself presented to the Court of Justice of the European Union</w:t>
      </w:r>
      <w:r w:rsidR="00046639">
        <w:rPr>
          <w:rFonts w:cs="Times New Roman"/>
          <w:sz w:val="24"/>
          <w:szCs w:val="24"/>
          <w:lang w:val="en-US"/>
        </w:rPr>
        <w:t xml:space="preserve">. </w:t>
      </w:r>
      <w:r w:rsidR="00A56385" w:rsidRPr="00A56385">
        <w:rPr>
          <w:rFonts w:cs="Times New Roman"/>
          <w:sz w:val="24"/>
          <w:szCs w:val="24"/>
          <w:lang w:val="en-US"/>
        </w:rPr>
        <w:t>The United Kingdom's permanence in the European Union would have forced British insurers not to be able to enforce the arbitration clause against injured third parties.</w:t>
      </w:r>
      <w:r w:rsidR="00673801" w:rsidRPr="00673801">
        <w:rPr>
          <w:rFonts w:cs="Times New Roman"/>
          <w:sz w:val="24"/>
          <w:szCs w:val="24"/>
          <w:lang w:val="en-US"/>
        </w:rPr>
        <w:t>It is proposed to raise the compensation limits of the 1992 Civil Liability Convention.</w:t>
      </w:r>
    </w:p>
    <w:p w14:paraId="15030715" w14:textId="556160D7" w:rsidR="00DF0ADE" w:rsidRPr="00F64697" w:rsidRDefault="008F7F0E" w:rsidP="00E17EC6">
      <w:pPr>
        <w:spacing w:before="120" w:after="120" w:line="240" w:lineRule="auto"/>
        <w:jc w:val="both"/>
        <w:rPr>
          <w:rFonts w:cs="Times New Roman"/>
          <w:b/>
          <w:bCs/>
          <w:sz w:val="24"/>
          <w:szCs w:val="24"/>
        </w:rPr>
      </w:pPr>
      <w:r w:rsidRPr="00F64697">
        <w:rPr>
          <w:rFonts w:cs="Times New Roman"/>
          <w:b/>
          <w:bCs/>
          <w:sz w:val="24"/>
          <w:szCs w:val="24"/>
        </w:rPr>
        <w:t>Palabras clave</w:t>
      </w:r>
      <w:r w:rsidR="0084435B" w:rsidRPr="00F64697">
        <w:rPr>
          <w:rFonts w:cs="Times New Roman"/>
          <w:b/>
          <w:bCs/>
          <w:sz w:val="24"/>
          <w:szCs w:val="24"/>
        </w:rPr>
        <w:t xml:space="preserve">: </w:t>
      </w:r>
      <w:r w:rsidR="0084435B" w:rsidRPr="00F64697">
        <w:rPr>
          <w:rFonts w:cs="Times New Roman"/>
          <w:sz w:val="24"/>
          <w:szCs w:val="24"/>
        </w:rPr>
        <w:t>Contaminación por hidrocarburos, Responsabilidad civil, Seguro marítimo, Club P&amp;I</w:t>
      </w:r>
      <w:r w:rsidR="009965CC" w:rsidRPr="00F64697">
        <w:rPr>
          <w:rFonts w:cs="Times New Roman"/>
          <w:sz w:val="24"/>
          <w:szCs w:val="24"/>
        </w:rPr>
        <w:t>, FIDAC</w:t>
      </w:r>
    </w:p>
    <w:p w14:paraId="723D0363" w14:textId="7841F28D" w:rsidR="008F7F0E" w:rsidRPr="00F64697" w:rsidRDefault="008F7F0E" w:rsidP="00E17EC6">
      <w:pPr>
        <w:spacing w:before="120" w:after="120" w:line="240" w:lineRule="auto"/>
        <w:jc w:val="both"/>
        <w:rPr>
          <w:rFonts w:cs="Times New Roman"/>
          <w:i/>
          <w:iCs/>
          <w:sz w:val="24"/>
          <w:szCs w:val="24"/>
          <w:lang w:val="en-US"/>
        </w:rPr>
      </w:pPr>
      <w:r w:rsidRPr="00F64697">
        <w:rPr>
          <w:rFonts w:cs="Times New Roman"/>
          <w:b/>
          <w:bCs/>
          <w:sz w:val="24"/>
          <w:szCs w:val="24"/>
          <w:lang w:val="en-US"/>
        </w:rPr>
        <w:t>Keywords</w:t>
      </w:r>
      <w:r w:rsidR="009965CC" w:rsidRPr="00F64697">
        <w:rPr>
          <w:rFonts w:cs="Times New Roman"/>
          <w:b/>
          <w:bCs/>
          <w:sz w:val="24"/>
          <w:szCs w:val="24"/>
          <w:lang w:val="en-US"/>
        </w:rPr>
        <w:t xml:space="preserve">: </w:t>
      </w:r>
      <w:r w:rsidR="009965CC" w:rsidRPr="00F64697">
        <w:rPr>
          <w:rFonts w:cs="Times New Roman"/>
          <w:i/>
          <w:iCs/>
          <w:sz w:val="24"/>
          <w:szCs w:val="24"/>
          <w:lang w:val="en-US"/>
        </w:rPr>
        <w:t>Oil pollution</w:t>
      </w:r>
      <w:r w:rsidR="009965CC" w:rsidRPr="00F64697">
        <w:rPr>
          <w:rFonts w:cs="Times New Roman"/>
          <w:sz w:val="24"/>
          <w:szCs w:val="24"/>
          <w:lang w:val="en-US"/>
        </w:rPr>
        <w:t xml:space="preserve">, </w:t>
      </w:r>
      <w:r w:rsidR="009965CC" w:rsidRPr="00F64697">
        <w:rPr>
          <w:rFonts w:cs="Times New Roman"/>
          <w:i/>
          <w:iCs/>
          <w:sz w:val="24"/>
          <w:szCs w:val="24"/>
          <w:lang w:val="en-US"/>
        </w:rPr>
        <w:t>Civil Liability</w:t>
      </w:r>
      <w:r w:rsidR="009965CC" w:rsidRPr="00F64697">
        <w:rPr>
          <w:rFonts w:cs="Times New Roman"/>
          <w:sz w:val="24"/>
          <w:szCs w:val="24"/>
          <w:lang w:val="en-US"/>
        </w:rPr>
        <w:t>,</w:t>
      </w:r>
      <w:r w:rsidR="009965CC" w:rsidRPr="00F64697">
        <w:rPr>
          <w:rFonts w:cs="Times New Roman"/>
          <w:i/>
          <w:iCs/>
          <w:sz w:val="24"/>
          <w:szCs w:val="24"/>
          <w:lang w:val="en-US"/>
        </w:rPr>
        <w:t xml:space="preserve"> Marine Insurance</w:t>
      </w:r>
      <w:r w:rsidR="009965CC" w:rsidRPr="00F64697">
        <w:rPr>
          <w:rFonts w:cs="Times New Roman"/>
          <w:sz w:val="24"/>
          <w:szCs w:val="24"/>
          <w:lang w:val="en-US"/>
        </w:rPr>
        <w:t>,</w:t>
      </w:r>
      <w:r w:rsidR="009965CC" w:rsidRPr="00F64697">
        <w:rPr>
          <w:rFonts w:cs="Times New Roman"/>
          <w:i/>
          <w:iCs/>
          <w:sz w:val="24"/>
          <w:szCs w:val="24"/>
          <w:lang w:val="en-US"/>
        </w:rPr>
        <w:t xml:space="preserve"> P&amp;I club, IOPC Funds</w:t>
      </w:r>
    </w:p>
    <w:p w14:paraId="4F0305B6" w14:textId="77777777" w:rsidR="00FC6064" w:rsidRPr="00F64697" w:rsidRDefault="00FC6064" w:rsidP="00E17EC6">
      <w:pPr>
        <w:spacing w:before="120" w:after="120" w:line="240" w:lineRule="auto"/>
        <w:jc w:val="both"/>
        <w:rPr>
          <w:rFonts w:cs="Times New Roman"/>
          <w:bCs/>
          <w:i/>
          <w:iCs/>
          <w:sz w:val="24"/>
          <w:szCs w:val="24"/>
          <w:lang w:val="en-US"/>
        </w:rPr>
      </w:pPr>
    </w:p>
    <w:p w14:paraId="649F97F0" w14:textId="6FAC46F4" w:rsidR="00FC096A" w:rsidRPr="00F64697" w:rsidRDefault="00FC096A" w:rsidP="008308CE">
      <w:pPr>
        <w:pStyle w:val="Prrafodelista"/>
        <w:numPr>
          <w:ilvl w:val="0"/>
          <w:numId w:val="33"/>
        </w:numPr>
        <w:spacing w:before="120" w:after="120" w:line="240" w:lineRule="auto"/>
        <w:jc w:val="both"/>
        <w:rPr>
          <w:rFonts w:cs="Times New Roman"/>
          <w:b/>
          <w:sz w:val="24"/>
          <w:szCs w:val="24"/>
        </w:rPr>
      </w:pPr>
      <w:bookmarkStart w:id="3" w:name="_Hlk138226229"/>
      <w:r w:rsidRPr="00F64697">
        <w:rPr>
          <w:rFonts w:cs="Times New Roman"/>
          <w:b/>
          <w:sz w:val="24"/>
          <w:szCs w:val="24"/>
        </w:rPr>
        <w:t>INTRODUCCIÓN</w:t>
      </w:r>
    </w:p>
    <w:p w14:paraId="3739E483" w14:textId="42096DF4" w:rsidR="00564130" w:rsidRPr="00F64697" w:rsidRDefault="00564130" w:rsidP="00564130">
      <w:pPr>
        <w:spacing w:before="120" w:after="120" w:line="240" w:lineRule="auto"/>
        <w:jc w:val="both"/>
        <w:rPr>
          <w:rFonts w:cs="Times New Roman"/>
          <w:bCs/>
          <w:sz w:val="24"/>
          <w:szCs w:val="24"/>
        </w:rPr>
      </w:pPr>
      <w:r w:rsidRPr="00F64697">
        <w:rPr>
          <w:rFonts w:cs="Times New Roman"/>
          <w:bCs/>
          <w:sz w:val="24"/>
          <w:szCs w:val="24"/>
        </w:rPr>
        <w:t xml:space="preserve">Desde la catástrofe medioambiental del buque petrolero “Prestige” en noviembre de 2002 hasta la actualidad, se han sucedido los fallos judiciales españoles, ingleses y comunitarios, </w:t>
      </w:r>
      <w:r w:rsidR="00DE3167" w:rsidRPr="00F64697">
        <w:rPr>
          <w:rFonts w:cs="Times New Roman"/>
          <w:bCs/>
          <w:sz w:val="24"/>
          <w:szCs w:val="24"/>
        </w:rPr>
        <w:t>así como laudos arbitrales</w:t>
      </w:r>
      <w:r w:rsidRPr="00F64697">
        <w:rPr>
          <w:rFonts w:cs="Times New Roman"/>
          <w:bCs/>
          <w:sz w:val="24"/>
          <w:szCs w:val="24"/>
        </w:rPr>
        <w:t xml:space="preserve">, sobre la responsabilidad legal derivada del siniestro. El último es la sentencia de la </w:t>
      </w:r>
      <w:r w:rsidRPr="00F64697">
        <w:rPr>
          <w:rFonts w:cs="Times New Roman"/>
          <w:bCs/>
          <w:i/>
          <w:iCs/>
          <w:sz w:val="24"/>
          <w:szCs w:val="24"/>
        </w:rPr>
        <w:t>High Court</w:t>
      </w:r>
      <w:r w:rsidRPr="00F64697">
        <w:rPr>
          <w:rFonts w:cs="Times New Roman"/>
          <w:bCs/>
          <w:sz w:val="24"/>
          <w:szCs w:val="24"/>
        </w:rPr>
        <w:t xml:space="preserve"> inglesa de 6 de octubre de 2023, que niega la ejecución forzosa en el Reino Unido del auto de la Audiencia Provincial de A Coruña de 1 de marzo de 2019</w:t>
      </w:r>
      <w:r w:rsidR="00DE3167" w:rsidRPr="00F64697">
        <w:rPr>
          <w:rFonts w:cs="Times New Roman"/>
          <w:bCs/>
          <w:sz w:val="24"/>
          <w:szCs w:val="24"/>
        </w:rPr>
        <w:t>. Este auto ejecuta la condena impuesta por la sentencia del Tribunal Supremo de 14 de enero de 2016, al asegurador del buque, el club P&amp;I The London, y cuantifica el importe pendiente de pago a cargo en 855 millones de euros.</w:t>
      </w:r>
    </w:p>
    <w:p w14:paraId="4DAD5B6D" w14:textId="7EC35D3E" w:rsidR="008B7106" w:rsidRPr="00F64697" w:rsidRDefault="008B7106" w:rsidP="008B7106">
      <w:pPr>
        <w:pStyle w:val="Textonotapie"/>
        <w:spacing w:before="120" w:after="120"/>
        <w:jc w:val="both"/>
        <w:rPr>
          <w:rFonts w:cs="Times New Roman"/>
          <w:sz w:val="24"/>
          <w:szCs w:val="24"/>
          <w:lang w:val="es-ES"/>
        </w:rPr>
      </w:pPr>
      <w:r w:rsidRPr="00F64697">
        <w:rPr>
          <w:rFonts w:cs="Times New Roman"/>
          <w:sz w:val="24"/>
          <w:szCs w:val="24"/>
          <w:lang w:val="es-ES"/>
        </w:rPr>
        <w:t xml:space="preserve">El Estado español, sin haber sido declarado responsable civil por el alejamiento del buque “Prestige” de la costa, ha asumido una buena parte de las indemnizaciones directas, con fondos públicos, y subrogándose en los derechos de los afectados. Gracias a ello, se ha satisfecho una parte de la indemnización a los perjudicados. No obstante, el coste para el </w:t>
      </w:r>
      <w:r w:rsidR="00FD24E9" w:rsidRPr="00F64697">
        <w:rPr>
          <w:rFonts w:cs="Times New Roman"/>
          <w:sz w:val="24"/>
          <w:szCs w:val="24"/>
          <w:lang w:val="es-ES"/>
        </w:rPr>
        <w:t>erario</w:t>
      </w:r>
      <w:r w:rsidRPr="00F64697">
        <w:rPr>
          <w:rFonts w:cs="Times New Roman"/>
          <w:sz w:val="24"/>
          <w:szCs w:val="24"/>
          <w:lang w:val="es-ES"/>
        </w:rPr>
        <w:t xml:space="preserve"> ha sido, entre daños y perjuicios directos y adelantos a afectados, de 2.355 millones de euros. El </w:t>
      </w:r>
      <w:r w:rsidR="00046639">
        <w:rPr>
          <w:rFonts w:cs="Times New Roman"/>
          <w:sz w:val="24"/>
          <w:szCs w:val="24"/>
          <w:lang w:val="es-ES"/>
        </w:rPr>
        <w:t xml:space="preserve">club P&amp;I es la </w:t>
      </w:r>
      <w:r w:rsidRPr="00F64697">
        <w:rPr>
          <w:rFonts w:cs="Times New Roman"/>
          <w:sz w:val="24"/>
          <w:szCs w:val="24"/>
          <w:lang w:val="es-ES"/>
        </w:rPr>
        <w:t>única entidad que</w:t>
      </w:r>
      <w:r w:rsidR="00046639">
        <w:rPr>
          <w:rFonts w:cs="Times New Roman"/>
          <w:sz w:val="24"/>
          <w:szCs w:val="24"/>
          <w:lang w:val="es-ES"/>
        </w:rPr>
        <w:t>, por solvencia,</w:t>
      </w:r>
      <w:r w:rsidRPr="00F64697">
        <w:rPr>
          <w:rFonts w:cs="Times New Roman"/>
          <w:sz w:val="24"/>
          <w:szCs w:val="24"/>
          <w:lang w:val="es-ES"/>
        </w:rPr>
        <w:t xml:space="preserve"> podía pagar un importe mayor de indemnización</w:t>
      </w:r>
      <w:r w:rsidRPr="00F64697">
        <w:rPr>
          <w:rStyle w:val="Refdenotaalpie"/>
          <w:rFonts w:cs="Times New Roman"/>
          <w:sz w:val="24"/>
          <w:szCs w:val="24"/>
          <w:lang w:val="es-ES"/>
        </w:rPr>
        <w:footnoteReference w:id="1"/>
      </w:r>
      <w:r w:rsidR="00046639">
        <w:rPr>
          <w:rFonts w:cs="Times New Roman"/>
          <w:sz w:val="24"/>
          <w:szCs w:val="24"/>
          <w:lang w:val="es-ES"/>
        </w:rPr>
        <w:t xml:space="preserve">, frente al capitán o a la sociedad propietaria del buque. </w:t>
      </w:r>
      <w:r w:rsidRPr="00F64697">
        <w:rPr>
          <w:rFonts w:cs="Times New Roman"/>
          <w:sz w:val="24"/>
          <w:szCs w:val="24"/>
          <w:lang w:val="es-ES"/>
        </w:rPr>
        <w:t xml:space="preserve"> </w:t>
      </w:r>
    </w:p>
    <w:p w14:paraId="45E067AD" w14:textId="27DD184C" w:rsidR="00DE3167" w:rsidRPr="00F64697" w:rsidRDefault="00DE3167" w:rsidP="00564130">
      <w:pPr>
        <w:spacing w:before="120" w:after="120" w:line="240" w:lineRule="auto"/>
        <w:jc w:val="both"/>
        <w:rPr>
          <w:rFonts w:cs="Times New Roman"/>
          <w:bCs/>
          <w:sz w:val="24"/>
          <w:szCs w:val="24"/>
        </w:rPr>
      </w:pPr>
      <w:r w:rsidRPr="00F64697">
        <w:rPr>
          <w:rFonts w:cs="Times New Roman"/>
          <w:bCs/>
          <w:sz w:val="24"/>
          <w:szCs w:val="24"/>
        </w:rPr>
        <w:t>La finalidad del presente artículo es analizar estos procesos judiciales</w:t>
      </w:r>
      <w:r w:rsidR="00F64697">
        <w:rPr>
          <w:rFonts w:cs="Times New Roman"/>
          <w:bCs/>
          <w:sz w:val="24"/>
          <w:szCs w:val="24"/>
        </w:rPr>
        <w:t xml:space="preserve"> </w:t>
      </w:r>
      <w:r w:rsidRPr="00F64697">
        <w:rPr>
          <w:rFonts w:cs="Times New Roman"/>
          <w:bCs/>
          <w:sz w:val="24"/>
          <w:szCs w:val="24"/>
        </w:rPr>
        <w:t>españoles, ingleses y comunitarios ante el Tribunal de Justicia de la Unión Europea, así como los procesos arbitrales en Londres; analizar críticamente su contenido y determinar qué efectos legales tendría un siniestro similar si ocurriese actualmente.</w:t>
      </w:r>
    </w:p>
    <w:p w14:paraId="27AA20FB" w14:textId="77777777" w:rsidR="00DE3167" w:rsidRPr="00F64697" w:rsidRDefault="00DE3167" w:rsidP="00564130">
      <w:pPr>
        <w:spacing w:before="120" w:after="120" w:line="240" w:lineRule="auto"/>
        <w:jc w:val="both"/>
        <w:rPr>
          <w:rFonts w:cs="Times New Roman"/>
          <w:bCs/>
          <w:sz w:val="24"/>
          <w:szCs w:val="24"/>
        </w:rPr>
      </w:pPr>
    </w:p>
    <w:p w14:paraId="0B14B925" w14:textId="702F60C0" w:rsidR="00CE6BD3" w:rsidRPr="00F64697" w:rsidRDefault="003F16B6" w:rsidP="008308CE">
      <w:pPr>
        <w:pStyle w:val="Prrafodelista"/>
        <w:numPr>
          <w:ilvl w:val="0"/>
          <w:numId w:val="33"/>
        </w:numPr>
        <w:spacing w:before="120" w:after="120" w:line="240" w:lineRule="auto"/>
        <w:jc w:val="both"/>
        <w:rPr>
          <w:rFonts w:cs="Times New Roman"/>
          <w:b/>
          <w:sz w:val="24"/>
          <w:szCs w:val="24"/>
        </w:rPr>
      </w:pPr>
      <w:r w:rsidRPr="00F64697">
        <w:rPr>
          <w:rFonts w:cs="Times New Roman"/>
          <w:b/>
          <w:sz w:val="24"/>
          <w:szCs w:val="24"/>
        </w:rPr>
        <w:t>HECHOS, PROCEDIMIENTOS JUDICIALES Y CUESTIÓN PREJUDICIAL</w:t>
      </w:r>
    </w:p>
    <w:p w14:paraId="7A1485B6" w14:textId="77777777" w:rsidR="00FC096A" w:rsidRPr="00F64697" w:rsidRDefault="00FC096A" w:rsidP="00FC096A">
      <w:pPr>
        <w:pStyle w:val="Prrafodelista"/>
        <w:spacing w:before="120" w:after="120" w:line="240" w:lineRule="auto"/>
        <w:ind w:left="1080"/>
        <w:jc w:val="both"/>
        <w:rPr>
          <w:rFonts w:cs="Times New Roman"/>
          <w:b/>
          <w:sz w:val="24"/>
          <w:szCs w:val="24"/>
        </w:rPr>
      </w:pPr>
    </w:p>
    <w:p w14:paraId="6E4BE3FA" w14:textId="0DF4F2B7" w:rsidR="00FC096A" w:rsidRPr="00F64697" w:rsidRDefault="00FC096A" w:rsidP="00FC096A">
      <w:pPr>
        <w:pStyle w:val="Prrafodelista"/>
        <w:numPr>
          <w:ilvl w:val="0"/>
          <w:numId w:val="42"/>
        </w:numPr>
        <w:spacing w:before="120" w:after="120" w:line="240" w:lineRule="auto"/>
        <w:jc w:val="both"/>
        <w:rPr>
          <w:rFonts w:cs="Times New Roman"/>
          <w:b/>
          <w:sz w:val="24"/>
          <w:szCs w:val="24"/>
        </w:rPr>
      </w:pPr>
      <w:r w:rsidRPr="00F64697">
        <w:rPr>
          <w:rFonts w:cs="Times New Roman"/>
          <w:b/>
          <w:sz w:val="24"/>
          <w:szCs w:val="24"/>
        </w:rPr>
        <w:t>Proceso español</w:t>
      </w:r>
      <w:r w:rsidR="00F64697">
        <w:rPr>
          <w:rFonts w:cs="Times New Roman"/>
          <w:b/>
          <w:sz w:val="24"/>
          <w:szCs w:val="24"/>
        </w:rPr>
        <w:t>: condena al asegurador al pago de 855 millones de euros</w:t>
      </w:r>
    </w:p>
    <w:bookmarkEnd w:id="3"/>
    <w:p w14:paraId="57C08F7F" w14:textId="6732ECB9" w:rsidR="00B54FFF" w:rsidRPr="00F64697" w:rsidRDefault="00B54FFF" w:rsidP="00E17EC6">
      <w:pPr>
        <w:spacing w:before="120" w:after="120" w:line="240" w:lineRule="auto"/>
        <w:jc w:val="both"/>
        <w:rPr>
          <w:rFonts w:cs="Times New Roman"/>
          <w:sz w:val="24"/>
          <w:szCs w:val="24"/>
        </w:rPr>
      </w:pPr>
      <w:r w:rsidRPr="00F64697">
        <w:rPr>
          <w:rFonts w:cs="Times New Roman"/>
          <w:sz w:val="24"/>
          <w:szCs w:val="24"/>
        </w:rPr>
        <w:t>En noviembre de 2002, el buque, monocasco, con bandera de Bahamas y asegurado en condiciones P&amp;I</w:t>
      </w:r>
      <w:r w:rsidRPr="00F64697">
        <w:rPr>
          <w:rFonts w:cs="Times New Roman"/>
          <w:sz w:val="24"/>
          <w:szCs w:val="24"/>
          <w:vertAlign w:val="superscript"/>
        </w:rPr>
        <w:footnoteReference w:id="2"/>
      </w:r>
      <w:r w:rsidRPr="00F64697">
        <w:rPr>
          <w:rFonts w:cs="Times New Roman"/>
          <w:sz w:val="24"/>
          <w:szCs w:val="24"/>
        </w:rPr>
        <w:t xml:space="preserve"> por The London P&amp;I Club, navega desde San Petersburgo hacia </w:t>
      </w:r>
      <w:r w:rsidRPr="00F64697">
        <w:rPr>
          <w:rFonts w:cs="Times New Roman"/>
          <w:sz w:val="24"/>
          <w:szCs w:val="24"/>
        </w:rPr>
        <w:lastRenderedPageBreak/>
        <w:t xml:space="preserve">Gibraltar, donde </w:t>
      </w:r>
      <w:r w:rsidR="00C41116" w:rsidRPr="00F64697">
        <w:rPr>
          <w:rFonts w:cs="Times New Roman"/>
          <w:sz w:val="24"/>
          <w:szCs w:val="24"/>
        </w:rPr>
        <w:t xml:space="preserve">habría de </w:t>
      </w:r>
      <w:r w:rsidRPr="00F64697">
        <w:rPr>
          <w:rFonts w:cs="Times New Roman"/>
          <w:sz w:val="24"/>
          <w:szCs w:val="24"/>
        </w:rPr>
        <w:t>seguir viaje hacia Singapur u otro destino asiático. Lleva a bordo unas 76.000 toneladas métricas de fueloil. Cerca del Cabo Fisterra (Galicia) sufr</w:t>
      </w:r>
      <w:r w:rsidR="00EE0C20" w:rsidRPr="00F64697">
        <w:rPr>
          <w:rFonts w:cs="Times New Roman"/>
          <w:sz w:val="24"/>
          <w:szCs w:val="24"/>
        </w:rPr>
        <w:t>e</w:t>
      </w:r>
      <w:r w:rsidRPr="00F64697">
        <w:rPr>
          <w:rFonts w:cs="Times New Roman"/>
          <w:sz w:val="24"/>
          <w:szCs w:val="24"/>
        </w:rPr>
        <w:t xml:space="preserve"> daños y solicit</w:t>
      </w:r>
      <w:r w:rsidR="00EE0C20" w:rsidRPr="00F64697">
        <w:rPr>
          <w:rFonts w:cs="Times New Roman"/>
          <w:sz w:val="24"/>
          <w:szCs w:val="24"/>
        </w:rPr>
        <w:t xml:space="preserve">a </w:t>
      </w:r>
      <w:r w:rsidRPr="00F64697">
        <w:rPr>
          <w:rFonts w:cs="Times New Roman"/>
          <w:sz w:val="24"/>
          <w:szCs w:val="24"/>
        </w:rPr>
        <w:t xml:space="preserve">refugio. La decisión de las autoridades </w:t>
      </w:r>
      <w:r w:rsidR="00EE0C20" w:rsidRPr="00F64697">
        <w:rPr>
          <w:rFonts w:cs="Times New Roman"/>
          <w:sz w:val="24"/>
          <w:szCs w:val="24"/>
        </w:rPr>
        <w:t>es</w:t>
      </w:r>
      <w:r w:rsidRPr="00F64697">
        <w:rPr>
          <w:rFonts w:cs="Times New Roman"/>
          <w:sz w:val="24"/>
          <w:szCs w:val="24"/>
        </w:rPr>
        <w:t xml:space="preserve"> la de alejar el buque averiado de la costa española. Queda</w:t>
      </w:r>
      <w:r w:rsidR="00C41116" w:rsidRPr="00F64697">
        <w:rPr>
          <w:rFonts w:cs="Times New Roman"/>
          <w:sz w:val="24"/>
          <w:szCs w:val="24"/>
        </w:rPr>
        <w:t>rá</w:t>
      </w:r>
      <w:r w:rsidRPr="00F64697">
        <w:rPr>
          <w:rFonts w:cs="Times New Roman"/>
          <w:sz w:val="24"/>
          <w:szCs w:val="24"/>
        </w:rPr>
        <w:t xml:space="preserve"> </w:t>
      </w:r>
      <w:r w:rsidR="00C41116" w:rsidRPr="00F64697">
        <w:rPr>
          <w:rFonts w:cs="Times New Roman"/>
          <w:sz w:val="24"/>
          <w:szCs w:val="24"/>
        </w:rPr>
        <w:t xml:space="preserve">luego </w:t>
      </w:r>
      <w:r w:rsidRPr="00F64697">
        <w:rPr>
          <w:rFonts w:cs="Times New Roman"/>
          <w:sz w:val="24"/>
          <w:szCs w:val="24"/>
        </w:rPr>
        <w:t>judicialmente probado que el capitán desobedec</w:t>
      </w:r>
      <w:r w:rsidR="00EE0C20" w:rsidRPr="00F64697">
        <w:rPr>
          <w:rFonts w:cs="Times New Roman"/>
          <w:sz w:val="24"/>
          <w:szCs w:val="24"/>
        </w:rPr>
        <w:t>e</w:t>
      </w:r>
      <w:r w:rsidRPr="00F64697">
        <w:rPr>
          <w:rFonts w:cs="Times New Roman"/>
          <w:sz w:val="24"/>
          <w:szCs w:val="24"/>
        </w:rPr>
        <w:t xml:space="preserve"> la orden. La situación empeor</w:t>
      </w:r>
      <w:r w:rsidR="00EE0C20" w:rsidRPr="00F64697">
        <w:rPr>
          <w:rFonts w:cs="Times New Roman"/>
          <w:sz w:val="24"/>
          <w:szCs w:val="24"/>
        </w:rPr>
        <w:t>a</w:t>
      </w:r>
      <w:r w:rsidRPr="00F64697">
        <w:rPr>
          <w:rFonts w:cs="Times New Roman"/>
          <w:sz w:val="24"/>
          <w:szCs w:val="24"/>
        </w:rPr>
        <w:t xml:space="preserve"> y los intentos de salvamento </w:t>
      </w:r>
      <w:r w:rsidR="00EE0C20" w:rsidRPr="00F64697">
        <w:rPr>
          <w:rFonts w:cs="Times New Roman"/>
          <w:sz w:val="24"/>
          <w:szCs w:val="24"/>
        </w:rPr>
        <w:t>son</w:t>
      </w:r>
      <w:r w:rsidRPr="00F64697">
        <w:rPr>
          <w:rFonts w:cs="Times New Roman"/>
          <w:sz w:val="24"/>
          <w:szCs w:val="24"/>
        </w:rPr>
        <w:t xml:space="preserve"> infructuosos</w:t>
      </w:r>
      <w:r w:rsidR="00C45C0F" w:rsidRPr="00F64697">
        <w:rPr>
          <w:rFonts w:cs="Times New Roman"/>
          <w:sz w:val="24"/>
          <w:szCs w:val="24"/>
        </w:rPr>
        <w:t>. E</w:t>
      </w:r>
      <w:r w:rsidRPr="00F64697">
        <w:rPr>
          <w:rFonts w:cs="Times New Roman"/>
          <w:sz w:val="24"/>
          <w:szCs w:val="24"/>
        </w:rPr>
        <w:t>l buque se part</w:t>
      </w:r>
      <w:r w:rsidR="00EE0C20" w:rsidRPr="00F64697">
        <w:rPr>
          <w:rFonts w:cs="Times New Roman"/>
          <w:sz w:val="24"/>
          <w:szCs w:val="24"/>
        </w:rPr>
        <w:t>e</w:t>
      </w:r>
      <w:r w:rsidRPr="00F64697">
        <w:rPr>
          <w:rFonts w:cs="Times New Roman"/>
          <w:sz w:val="24"/>
          <w:szCs w:val="24"/>
        </w:rPr>
        <w:t xml:space="preserve"> en dos</w:t>
      </w:r>
      <w:r w:rsidR="0025307F" w:rsidRPr="00F64697">
        <w:rPr>
          <w:rFonts w:cs="Times New Roman"/>
          <w:sz w:val="24"/>
          <w:szCs w:val="24"/>
        </w:rPr>
        <w:t xml:space="preserve">, </w:t>
      </w:r>
      <w:r w:rsidRPr="00F64697">
        <w:rPr>
          <w:rFonts w:cs="Times New Roman"/>
          <w:sz w:val="24"/>
          <w:szCs w:val="24"/>
        </w:rPr>
        <w:t>se hund</w:t>
      </w:r>
      <w:r w:rsidR="00EE0C20" w:rsidRPr="00F64697">
        <w:rPr>
          <w:rFonts w:cs="Times New Roman"/>
          <w:sz w:val="24"/>
          <w:szCs w:val="24"/>
        </w:rPr>
        <w:t>e</w:t>
      </w:r>
      <w:r w:rsidR="0025307F" w:rsidRPr="00F64697">
        <w:rPr>
          <w:rFonts w:cs="Times New Roman"/>
          <w:sz w:val="24"/>
          <w:szCs w:val="24"/>
        </w:rPr>
        <w:t xml:space="preserve"> y </w:t>
      </w:r>
      <w:r w:rsidRPr="00F64697">
        <w:rPr>
          <w:rFonts w:cs="Times New Roman"/>
          <w:sz w:val="24"/>
          <w:szCs w:val="24"/>
        </w:rPr>
        <w:t>produ</w:t>
      </w:r>
      <w:r w:rsidR="00EE0C20" w:rsidRPr="00F64697">
        <w:rPr>
          <w:rFonts w:cs="Times New Roman"/>
          <w:sz w:val="24"/>
          <w:szCs w:val="24"/>
        </w:rPr>
        <w:t>ce</w:t>
      </w:r>
      <w:r w:rsidRPr="00F64697">
        <w:rPr>
          <w:rFonts w:cs="Times New Roman"/>
          <w:sz w:val="24"/>
          <w:szCs w:val="24"/>
        </w:rPr>
        <w:t xml:space="preserve"> </w:t>
      </w:r>
      <w:r w:rsidR="00B41121" w:rsidRPr="00F64697">
        <w:rPr>
          <w:rFonts w:cs="Times New Roman"/>
          <w:sz w:val="24"/>
          <w:szCs w:val="24"/>
        </w:rPr>
        <w:t>un derrame</w:t>
      </w:r>
      <w:r w:rsidRPr="00F64697">
        <w:rPr>
          <w:rFonts w:cs="Times New Roman"/>
          <w:sz w:val="24"/>
          <w:szCs w:val="24"/>
        </w:rPr>
        <w:t xml:space="preserve"> de unas 63.000 toneladas de hidrocarburos en el litoral cantábrico español y francés. El Juzgado de Concurbión de A Coruña inici</w:t>
      </w:r>
      <w:r w:rsidR="00EE0C20" w:rsidRPr="00F64697">
        <w:rPr>
          <w:rFonts w:cs="Times New Roman"/>
          <w:sz w:val="24"/>
          <w:szCs w:val="24"/>
        </w:rPr>
        <w:t>a</w:t>
      </w:r>
      <w:r w:rsidRPr="00F64697">
        <w:rPr>
          <w:rFonts w:cs="Times New Roman"/>
          <w:sz w:val="24"/>
          <w:szCs w:val="24"/>
        </w:rPr>
        <w:t xml:space="preserve"> la instrucción del procedimiento penal. </w:t>
      </w:r>
    </w:p>
    <w:p w14:paraId="344F4899" w14:textId="76133E29" w:rsidR="000C6FBE" w:rsidRPr="00F64697" w:rsidRDefault="007F0B69" w:rsidP="00E17EC6">
      <w:pPr>
        <w:spacing w:before="120" w:after="120" w:line="240" w:lineRule="auto"/>
        <w:jc w:val="both"/>
        <w:rPr>
          <w:rFonts w:cs="Times New Roman"/>
          <w:sz w:val="24"/>
          <w:szCs w:val="24"/>
        </w:rPr>
      </w:pPr>
      <w:r w:rsidRPr="00F64697">
        <w:rPr>
          <w:rFonts w:cs="Times New Roman"/>
          <w:sz w:val="24"/>
          <w:szCs w:val="24"/>
        </w:rPr>
        <w:t>En 2010, terminada la instrucción</w:t>
      </w:r>
      <w:r w:rsidR="00542975" w:rsidRPr="00F64697">
        <w:rPr>
          <w:rFonts w:cs="Times New Roman"/>
          <w:sz w:val="24"/>
          <w:szCs w:val="24"/>
        </w:rPr>
        <w:t xml:space="preserve"> ante el Juzgado de Concurbión</w:t>
      </w:r>
      <w:r w:rsidRPr="00F64697">
        <w:rPr>
          <w:rFonts w:cs="Times New Roman"/>
          <w:sz w:val="24"/>
          <w:szCs w:val="24"/>
        </w:rPr>
        <w:t>,</w:t>
      </w:r>
      <w:r w:rsidR="000C6FBE" w:rsidRPr="00F64697">
        <w:rPr>
          <w:rFonts w:cs="Times New Roman"/>
          <w:sz w:val="24"/>
          <w:szCs w:val="24"/>
        </w:rPr>
        <w:t xml:space="preserve"> </w:t>
      </w:r>
      <w:r w:rsidRPr="00F64697">
        <w:rPr>
          <w:rFonts w:cs="Times New Roman"/>
          <w:sz w:val="24"/>
          <w:szCs w:val="24"/>
        </w:rPr>
        <w:t>se inici</w:t>
      </w:r>
      <w:r w:rsidR="00EE0C20" w:rsidRPr="00F64697">
        <w:rPr>
          <w:rFonts w:cs="Times New Roman"/>
          <w:sz w:val="24"/>
          <w:szCs w:val="24"/>
        </w:rPr>
        <w:t>a</w:t>
      </w:r>
      <w:r w:rsidRPr="00F64697">
        <w:rPr>
          <w:rFonts w:cs="Times New Roman"/>
          <w:sz w:val="24"/>
          <w:szCs w:val="24"/>
        </w:rPr>
        <w:t xml:space="preserve"> el proceso declarativo penal ante la Audiencia Provincial de A Coruña</w:t>
      </w:r>
      <w:r w:rsidR="00665289" w:rsidRPr="00F64697">
        <w:rPr>
          <w:rFonts w:cs="Times New Roman"/>
          <w:sz w:val="24"/>
          <w:szCs w:val="24"/>
        </w:rPr>
        <w:t>. Se plantea la</w:t>
      </w:r>
      <w:r w:rsidR="00AC104C" w:rsidRPr="00F64697">
        <w:rPr>
          <w:rFonts w:cs="Times New Roman"/>
          <w:sz w:val="24"/>
          <w:szCs w:val="24"/>
        </w:rPr>
        <w:t xml:space="preserve"> responsabilidad criminal</w:t>
      </w:r>
      <w:r w:rsidRPr="00F64697">
        <w:rPr>
          <w:rFonts w:cs="Times New Roman"/>
          <w:sz w:val="24"/>
          <w:szCs w:val="24"/>
        </w:rPr>
        <w:t xml:space="preserve"> </w:t>
      </w:r>
      <w:r w:rsidR="00665289" w:rsidRPr="00F64697">
        <w:rPr>
          <w:rFonts w:cs="Times New Roman"/>
          <w:sz w:val="24"/>
          <w:szCs w:val="24"/>
        </w:rPr>
        <w:t>d</w:t>
      </w:r>
      <w:r w:rsidRPr="00F64697">
        <w:rPr>
          <w:rFonts w:cs="Times New Roman"/>
          <w:sz w:val="24"/>
          <w:szCs w:val="24"/>
        </w:rPr>
        <w:t>el capitán</w:t>
      </w:r>
      <w:r w:rsidR="00726B4E" w:rsidRPr="00F64697">
        <w:rPr>
          <w:rFonts w:cs="Times New Roman"/>
          <w:sz w:val="24"/>
          <w:szCs w:val="24"/>
        </w:rPr>
        <w:t xml:space="preserve">, </w:t>
      </w:r>
      <w:r w:rsidR="00665289" w:rsidRPr="00F64697">
        <w:rPr>
          <w:rFonts w:cs="Times New Roman"/>
          <w:sz w:val="24"/>
          <w:szCs w:val="24"/>
        </w:rPr>
        <w:t>d</w:t>
      </w:r>
      <w:r w:rsidRPr="00F64697">
        <w:rPr>
          <w:rFonts w:cs="Times New Roman"/>
          <w:sz w:val="24"/>
          <w:szCs w:val="24"/>
        </w:rPr>
        <w:t xml:space="preserve">el primer oficial del buque y </w:t>
      </w:r>
      <w:r w:rsidR="00665289" w:rsidRPr="00F64697">
        <w:rPr>
          <w:rFonts w:cs="Times New Roman"/>
          <w:sz w:val="24"/>
          <w:szCs w:val="24"/>
        </w:rPr>
        <w:t>d</w:t>
      </w:r>
      <w:r w:rsidRPr="00F64697">
        <w:rPr>
          <w:rFonts w:cs="Times New Roman"/>
          <w:sz w:val="24"/>
          <w:szCs w:val="24"/>
        </w:rPr>
        <w:t>el Director de la Marina Mercante</w:t>
      </w:r>
      <w:r w:rsidR="000C6FBE" w:rsidRPr="00F64697">
        <w:rPr>
          <w:rFonts w:cs="Times New Roman"/>
          <w:sz w:val="24"/>
          <w:szCs w:val="24"/>
        </w:rPr>
        <w:t xml:space="preserve"> por delitos contra el medio ambiente, daños en espacios naturales protegidos</w:t>
      </w:r>
      <w:r w:rsidR="00BC1785" w:rsidRPr="00F64697">
        <w:rPr>
          <w:rFonts w:cs="Times New Roman"/>
          <w:sz w:val="24"/>
          <w:szCs w:val="24"/>
        </w:rPr>
        <w:t xml:space="preserve">. En </w:t>
      </w:r>
      <w:r w:rsidR="000C6FBE" w:rsidRPr="00F64697">
        <w:rPr>
          <w:rFonts w:cs="Times New Roman"/>
          <w:sz w:val="24"/>
          <w:szCs w:val="24"/>
        </w:rPr>
        <w:t>caso del capitán y el primer oficial</w:t>
      </w:r>
      <w:r w:rsidR="00C3123A">
        <w:rPr>
          <w:rFonts w:cs="Times New Roman"/>
          <w:sz w:val="24"/>
          <w:szCs w:val="24"/>
        </w:rPr>
        <w:t>,</w:t>
      </w:r>
      <w:r w:rsidR="000C6FBE" w:rsidRPr="00F64697">
        <w:rPr>
          <w:rFonts w:cs="Times New Roman"/>
          <w:sz w:val="24"/>
          <w:szCs w:val="24"/>
        </w:rPr>
        <w:t xml:space="preserve"> </w:t>
      </w:r>
      <w:r w:rsidR="00BC1785" w:rsidRPr="00F64697">
        <w:rPr>
          <w:rFonts w:cs="Times New Roman"/>
          <w:sz w:val="24"/>
          <w:szCs w:val="24"/>
        </w:rPr>
        <w:t xml:space="preserve">también </w:t>
      </w:r>
      <w:r w:rsidR="000C6FBE" w:rsidRPr="00F64697">
        <w:rPr>
          <w:rFonts w:cs="Times New Roman"/>
          <w:sz w:val="24"/>
          <w:szCs w:val="24"/>
        </w:rPr>
        <w:t>por des</w:t>
      </w:r>
      <w:r w:rsidR="00AC104C" w:rsidRPr="00F64697">
        <w:rPr>
          <w:rFonts w:cs="Times New Roman"/>
          <w:sz w:val="24"/>
          <w:szCs w:val="24"/>
        </w:rPr>
        <w:t>obe</w:t>
      </w:r>
      <w:r w:rsidR="000C6FBE" w:rsidRPr="00F64697">
        <w:rPr>
          <w:rFonts w:cs="Times New Roman"/>
          <w:sz w:val="24"/>
          <w:szCs w:val="24"/>
        </w:rPr>
        <w:t>diencia grave a la autoridad</w:t>
      </w:r>
      <w:r w:rsidR="00002749" w:rsidRPr="00F64697">
        <w:rPr>
          <w:rFonts w:cs="Times New Roman"/>
          <w:sz w:val="24"/>
          <w:szCs w:val="24"/>
        </w:rPr>
        <w:t xml:space="preserve">. </w:t>
      </w:r>
    </w:p>
    <w:p w14:paraId="19DCCA99" w14:textId="6532C198" w:rsidR="000C6FBE" w:rsidRPr="00F64697" w:rsidRDefault="00002749" w:rsidP="00E17EC6">
      <w:pPr>
        <w:spacing w:before="120" w:after="120" w:line="240" w:lineRule="auto"/>
        <w:jc w:val="both"/>
        <w:rPr>
          <w:rFonts w:cs="Times New Roman"/>
          <w:sz w:val="24"/>
          <w:szCs w:val="24"/>
        </w:rPr>
      </w:pPr>
      <w:r w:rsidRPr="00F64697">
        <w:rPr>
          <w:rFonts w:cs="Times New Roman"/>
          <w:sz w:val="24"/>
          <w:szCs w:val="24"/>
        </w:rPr>
        <w:t>C</w:t>
      </w:r>
      <w:r w:rsidR="007F0B69" w:rsidRPr="00F64697">
        <w:rPr>
          <w:rFonts w:cs="Times New Roman"/>
          <w:sz w:val="24"/>
          <w:szCs w:val="24"/>
        </w:rPr>
        <w:t>onjuntamente</w:t>
      </w:r>
      <w:r w:rsidR="00AC104C" w:rsidRPr="00F64697">
        <w:rPr>
          <w:rFonts w:cs="Times New Roman"/>
          <w:sz w:val="24"/>
          <w:szCs w:val="24"/>
        </w:rPr>
        <w:t xml:space="preserve"> en el mismo proceso penal</w:t>
      </w:r>
      <w:r w:rsidR="007F0B69" w:rsidRPr="00F64697">
        <w:rPr>
          <w:rFonts w:cs="Times New Roman"/>
          <w:sz w:val="24"/>
          <w:szCs w:val="24"/>
        </w:rPr>
        <w:t xml:space="preserve"> </w:t>
      </w:r>
      <w:r w:rsidRPr="00F64697">
        <w:rPr>
          <w:rFonts w:cs="Times New Roman"/>
          <w:sz w:val="24"/>
          <w:szCs w:val="24"/>
        </w:rPr>
        <w:t>se formula</w:t>
      </w:r>
      <w:r w:rsidR="00EE0C20" w:rsidRPr="00F64697">
        <w:rPr>
          <w:rFonts w:cs="Times New Roman"/>
          <w:sz w:val="24"/>
          <w:szCs w:val="24"/>
        </w:rPr>
        <w:t>n</w:t>
      </w:r>
      <w:r w:rsidRPr="00F64697">
        <w:rPr>
          <w:rFonts w:cs="Times New Roman"/>
          <w:sz w:val="24"/>
          <w:szCs w:val="24"/>
        </w:rPr>
        <w:t xml:space="preserve"> </w:t>
      </w:r>
      <w:r w:rsidR="007F0B69" w:rsidRPr="00F64697">
        <w:rPr>
          <w:rFonts w:cs="Times New Roman"/>
          <w:sz w:val="24"/>
          <w:szCs w:val="24"/>
        </w:rPr>
        <w:t>las acciones civiles</w:t>
      </w:r>
      <w:r w:rsidR="00BC1785" w:rsidRPr="00F64697">
        <w:rPr>
          <w:rFonts w:cs="Times New Roman"/>
          <w:sz w:val="24"/>
          <w:szCs w:val="24"/>
        </w:rPr>
        <w:t>. P</w:t>
      </w:r>
      <w:r w:rsidR="00AC6312" w:rsidRPr="00F64697">
        <w:rPr>
          <w:rFonts w:cs="Times New Roman"/>
          <w:sz w:val="24"/>
          <w:szCs w:val="24"/>
        </w:rPr>
        <w:t>rincipalmente</w:t>
      </w:r>
      <w:r w:rsidR="00F21C21" w:rsidRPr="00F64697">
        <w:rPr>
          <w:rFonts w:cs="Times New Roman"/>
          <w:sz w:val="24"/>
          <w:szCs w:val="24"/>
        </w:rPr>
        <w:t xml:space="preserve"> contra el capitán</w:t>
      </w:r>
      <w:r w:rsidR="00BC1785" w:rsidRPr="00F64697">
        <w:rPr>
          <w:rFonts w:cs="Times New Roman"/>
          <w:sz w:val="24"/>
          <w:szCs w:val="24"/>
        </w:rPr>
        <w:t xml:space="preserve"> del buque “Prestige”</w:t>
      </w:r>
      <w:r w:rsidR="00F21C21" w:rsidRPr="00F64697">
        <w:rPr>
          <w:rFonts w:cs="Times New Roman"/>
          <w:sz w:val="24"/>
          <w:szCs w:val="24"/>
        </w:rPr>
        <w:t xml:space="preserve">, </w:t>
      </w:r>
      <w:r w:rsidR="00BC1785" w:rsidRPr="00F64697">
        <w:rPr>
          <w:rFonts w:cs="Times New Roman"/>
          <w:sz w:val="24"/>
          <w:szCs w:val="24"/>
        </w:rPr>
        <w:t>su</w:t>
      </w:r>
      <w:r w:rsidR="00AC6312" w:rsidRPr="00F64697">
        <w:rPr>
          <w:rFonts w:cs="Times New Roman"/>
          <w:sz w:val="24"/>
          <w:szCs w:val="24"/>
        </w:rPr>
        <w:t xml:space="preserve"> armador</w:t>
      </w:r>
      <w:r w:rsidR="00011F2C">
        <w:rPr>
          <w:rFonts w:cs="Times New Roman"/>
          <w:sz w:val="24"/>
          <w:szCs w:val="24"/>
        </w:rPr>
        <w:t>, la sociedad propietaria del buque</w:t>
      </w:r>
      <w:r w:rsidR="00F21C21" w:rsidRPr="00F64697">
        <w:rPr>
          <w:rFonts w:cs="Times New Roman"/>
          <w:sz w:val="24"/>
          <w:szCs w:val="24"/>
        </w:rPr>
        <w:t xml:space="preserve">, </w:t>
      </w:r>
      <w:r w:rsidR="00EE3611" w:rsidRPr="00F64697">
        <w:rPr>
          <w:rFonts w:cs="Times New Roman"/>
          <w:sz w:val="24"/>
          <w:szCs w:val="24"/>
        </w:rPr>
        <w:t>el club P&amp;I</w:t>
      </w:r>
      <w:r w:rsidR="00AC104C" w:rsidRPr="00F64697">
        <w:rPr>
          <w:rFonts w:cs="Times New Roman"/>
          <w:sz w:val="24"/>
          <w:szCs w:val="24"/>
        </w:rPr>
        <w:t xml:space="preserve"> </w:t>
      </w:r>
      <w:r w:rsidR="00F21C21" w:rsidRPr="00F64697">
        <w:rPr>
          <w:rFonts w:cs="Times New Roman"/>
          <w:sz w:val="24"/>
          <w:szCs w:val="24"/>
        </w:rPr>
        <w:t xml:space="preserve">y </w:t>
      </w:r>
      <w:r w:rsidR="004F324A" w:rsidRPr="00F64697">
        <w:rPr>
          <w:rFonts w:cs="Times New Roman"/>
          <w:sz w:val="24"/>
          <w:szCs w:val="24"/>
        </w:rPr>
        <w:t xml:space="preserve">el </w:t>
      </w:r>
      <w:r w:rsidR="00011F2C" w:rsidRPr="00011F2C">
        <w:rPr>
          <w:rFonts w:cs="Times New Roman"/>
          <w:sz w:val="24"/>
          <w:szCs w:val="24"/>
        </w:rPr>
        <w:t xml:space="preserve">Fondo Internacional de Indemnización de daños debidos a contaminación por hidrocarburos </w:t>
      </w:r>
      <w:r w:rsidR="00011F2C">
        <w:rPr>
          <w:rFonts w:cs="Times New Roman"/>
          <w:sz w:val="24"/>
          <w:szCs w:val="24"/>
        </w:rPr>
        <w:t>(</w:t>
      </w:r>
      <w:r w:rsidR="009D1063" w:rsidRPr="00F64697">
        <w:rPr>
          <w:rFonts w:cs="Times New Roman"/>
          <w:sz w:val="24"/>
          <w:szCs w:val="24"/>
        </w:rPr>
        <w:t>FIDAC</w:t>
      </w:r>
      <w:r w:rsidR="00011F2C">
        <w:rPr>
          <w:rFonts w:cs="Times New Roman"/>
          <w:sz w:val="24"/>
          <w:szCs w:val="24"/>
        </w:rPr>
        <w:t>)</w:t>
      </w:r>
      <w:r w:rsidR="007F0B69" w:rsidRPr="00F64697">
        <w:rPr>
          <w:rFonts w:cs="Times New Roman"/>
          <w:sz w:val="24"/>
          <w:szCs w:val="24"/>
        </w:rPr>
        <w:t xml:space="preserve">. </w:t>
      </w:r>
      <w:r w:rsidR="00AC104C" w:rsidRPr="00F64697">
        <w:rPr>
          <w:rFonts w:cs="Times New Roman"/>
          <w:sz w:val="24"/>
          <w:szCs w:val="24"/>
        </w:rPr>
        <w:t>El club P&amp;I es emplazado a juicio como demandado de responsabilidad civil, pero no se persona</w:t>
      </w:r>
      <w:r w:rsidR="004F324A" w:rsidRPr="00F64697">
        <w:rPr>
          <w:rFonts w:cs="Times New Roman"/>
          <w:sz w:val="24"/>
          <w:szCs w:val="24"/>
        </w:rPr>
        <w:t xml:space="preserve">. No obstante, </w:t>
      </w:r>
      <w:r w:rsidR="00AC104C" w:rsidRPr="00F64697">
        <w:rPr>
          <w:rFonts w:cs="Times New Roman"/>
          <w:sz w:val="24"/>
          <w:szCs w:val="24"/>
        </w:rPr>
        <w:t xml:space="preserve">con arreglo al seguro P&amp;I </w:t>
      </w:r>
      <w:r w:rsidR="004F324A" w:rsidRPr="00F64697">
        <w:rPr>
          <w:rFonts w:cs="Times New Roman"/>
          <w:sz w:val="24"/>
          <w:szCs w:val="24"/>
        </w:rPr>
        <w:t>suscrito con su asegurado</w:t>
      </w:r>
      <w:r w:rsidR="00EE3611" w:rsidRPr="00F64697">
        <w:rPr>
          <w:rFonts w:cs="Times New Roman"/>
          <w:sz w:val="24"/>
          <w:szCs w:val="24"/>
        </w:rPr>
        <w:t>,</w:t>
      </w:r>
      <w:r w:rsidR="004F324A" w:rsidRPr="00F64697">
        <w:rPr>
          <w:rFonts w:cs="Times New Roman"/>
          <w:sz w:val="24"/>
          <w:szCs w:val="24"/>
        </w:rPr>
        <w:t xml:space="preserve"> </w:t>
      </w:r>
      <w:r w:rsidR="00AC104C" w:rsidRPr="00F64697">
        <w:rPr>
          <w:rFonts w:cs="Times New Roman"/>
          <w:sz w:val="24"/>
          <w:szCs w:val="24"/>
        </w:rPr>
        <w:t xml:space="preserve">lleva la defensa jurídica del capitán del buque. </w:t>
      </w:r>
      <w:r w:rsidR="007F0B69" w:rsidRPr="00F64697">
        <w:rPr>
          <w:rFonts w:cs="Times New Roman"/>
          <w:sz w:val="24"/>
          <w:szCs w:val="24"/>
        </w:rPr>
        <w:t xml:space="preserve">El principal reclamante </w:t>
      </w:r>
      <w:r w:rsidR="000C6FBE" w:rsidRPr="00F64697">
        <w:rPr>
          <w:rFonts w:cs="Times New Roman"/>
          <w:sz w:val="24"/>
          <w:szCs w:val="24"/>
        </w:rPr>
        <w:t xml:space="preserve">de responsabilidad civil </w:t>
      </w:r>
      <w:r w:rsidR="007F0B69" w:rsidRPr="00F64697">
        <w:rPr>
          <w:rFonts w:cs="Times New Roman"/>
          <w:sz w:val="24"/>
          <w:szCs w:val="24"/>
        </w:rPr>
        <w:t>e</w:t>
      </w:r>
      <w:r w:rsidR="00AC6312" w:rsidRPr="00F64697">
        <w:rPr>
          <w:rFonts w:cs="Times New Roman"/>
          <w:sz w:val="24"/>
          <w:szCs w:val="24"/>
        </w:rPr>
        <w:t>s</w:t>
      </w:r>
      <w:r w:rsidR="007F0B69" w:rsidRPr="00F64697">
        <w:rPr>
          <w:rFonts w:cs="Times New Roman"/>
          <w:sz w:val="24"/>
          <w:szCs w:val="24"/>
        </w:rPr>
        <w:t xml:space="preserve"> el Estado </w:t>
      </w:r>
      <w:r w:rsidR="007D430C" w:rsidRPr="00F64697">
        <w:rPr>
          <w:rFonts w:cs="Times New Roman"/>
          <w:sz w:val="24"/>
          <w:szCs w:val="24"/>
        </w:rPr>
        <w:t>e</w:t>
      </w:r>
      <w:r w:rsidR="007F0B69" w:rsidRPr="00F64697">
        <w:rPr>
          <w:rFonts w:cs="Times New Roman"/>
          <w:sz w:val="24"/>
          <w:szCs w:val="24"/>
        </w:rPr>
        <w:t>spañol</w:t>
      </w:r>
      <w:r w:rsidR="007D430C" w:rsidRPr="00F64697">
        <w:rPr>
          <w:rFonts w:cs="Times New Roman"/>
          <w:sz w:val="24"/>
          <w:szCs w:val="24"/>
        </w:rPr>
        <w:t xml:space="preserve">. </w:t>
      </w:r>
      <w:r w:rsidR="00BC1785" w:rsidRPr="00F64697">
        <w:rPr>
          <w:rFonts w:cs="Times New Roman"/>
          <w:sz w:val="24"/>
          <w:szCs w:val="24"/>
        </w:rPr>
        <w:t xml:space="preserve">Una parte de su </w:t>
      </w:r>
      <w:r w:rsidR="007D430C" w:rsidRPr="00F64697">
        <w:rPr>
          <w:rFonts w:cs="Times New Roman"/>
          <w:sz w:val="24"/>
          <w:szCs w:val="24"/>
        </w:rPr>
        <w:t>reclamación corresponde a las indemnizaciones adelantadas a los afectados</w:t>
      </w:r>
      <w:r w:rsidR="00BB31A4" w:rsidRPr="00F64697">
        <w:rPr>
          <w:rStyle w:val="Refdenotaalpie"/>
          <w:rFonts w:cs="Times New Roman"/>
          <w:sz w:val="24"/>
          <w:szCs w:val="24"/>
        </w:rPr>
        <w:footnoteReference w:id="3"/>
      </w:r>
      <w:r w:rsidR="00EE3611" w:rsidRPr="00F64697">
        <w:rPr>
          <w:rFonts w:cs="Times New Roman"/>
          <w:sz w:val="24"/>
          <w:szCs w:val="24"/>
        </w:rPr>
        <w:t xml:space="preserve">. </w:t>
      </w:r>
    </w:p>
    <w:p w14:paraId="026CC110" w14:textId="2A6D5560" w:rsidR="00EE3611" w:rsidRPr="00F64697" w:rsidRDefault="00AC6312" w:rsidP="004F324A">
      <w:pPr>
        <w:autoSpaceDE w:val="0"/>
        <w:autoSpaceDN w:val="0"/>
        <w:adjustRightInd w:val="0"/>
        <w:spacing w:before="120" w:after="120" w:line="240" w:lineRule="auto"/>
        <w:jc w:val="both"/>
        <w:rPr>
          <w:rFonts w:cs="Times New Roman"/>
          <w:sz w:val="24"/>
          <w:szCs w:val="24"/>
        </w:rPr>
      </w:pPr>
      <w:r w:rsidRPr="00F64697">
        <w:rPr>
          <w:rFonts w:cs="Times New Roman"/>
          <w:sz w:val="24"/>
          <w:szCs w:val="24"/>
        </w:rPr>
        <w:t>E</w:t>
      </w:r>
      <w:r w:rsidR="00EE3611" w:rsidRPr="00F64697">
        <w:rPr>
          <w:rFonts w:cs="Times New Roman"/>
          <w:sz w:val="24"/>
          <w:szCs w:val="24"/>
        </w:rPr>
        <w:t xml:space="preserve">l juicio concluye con </w:t>
      </w:r>
      <w:r w:rsidRPr="00F64697">
        <w:rPr>
          <w:rFonts w:cs="Times New Roman"/>
          <w:sz w:val="24"/>
          <w:szCs w:val="24"/>
        </w:rPr>
        <w:t>l</w:t>
      </w:r>
      <w:r w:rsidR="000C6FBE" w:rsidRPr="00F64697">
        <w:rPr>
          <w:rFonts w:cs="Times New Roman"/>
          <w:sz w:val="24"/>
          <w:szCs w:val="24"/>
        </w:rPr>
        <w:t>a sentencia de la Audiencia Provincial A Coruña de 13 de noviembre de 2013</w:t>
      </w:r>
      <w:r w:rsidR="000C6FBE" w:rsidRPr="00F64697">
        <w:rPr>
          <w:rStyle w:val="Refdenotaalpie"/>
          <w:rFonts w:cs="Times New Roman"/>
          <w:sz w:val="24"/>
          <w:szCs w:val="24"/>
        </w:rPr>
        <w:footnoteReference w:id="4"/>
      </w:r>
      <w:r w:rsidR="00EE3611" w:rsidRPr="00F64697">
        <w:rPr>
          <w:rFonts w:cs="Times New Roman"/>
          <w:sz w:val="24"/>
          <w:szCs w:val="24"/>
        </w:rPr>
        <w:t>. A</w:t>
      </w:r>
      <w:r w:rsidR="000C6FBE" w:rsidRPr="00F64697">
        <w:rPr>
          <w:rFonts w:cs="Times New Roman"/>
          <w:sz w:val="24"/>
          <w:szCs w:val="24"/>
        </w:rPr>
        <w:t>bs</w:t>
      </w:r>
      <w:r w:rsidRPr="00F64697">
        <w:rPr>
          <w:rFonts w:cs="Times New Roman"/>
          <w:sz w:val="24"/>
          <w:szCs w:val="24"/>
        </w:rPr>
        <w:t>uelve</w:t>
      </w:r>
      <w:r w:rsidR="000C6FBE" w:rsidRPr="00F64697">
        <w:rPr>
          <w:rFonts w:cs="Times New Roman"/>
          <w:sz w:val="24"/>
          <w:szCs w:val="24"/>
        </w:rPr>
        <w:t xml:space="preserve"> al capitán, </w:t>
      </w:r>
      <w:r w:rsidRPr="00F64697">
        <w:rPr>
          <w:rFonts w:cs="Times New Roman"/>
          <w:sz w:val="24"/>
          <w:szCs w:val="24"/>
        </w:rPr>
        <w:t>a</w:t>
      </w:r>
      <w:r w:rsidR="000C6FBE" w:rsidRPr="00F64697">
        <w:rPr>
          <w:rFonts w:cs="Times New Roman"/>
          <w:sz w:val="24"/>
          <w:szCs w:val="24"/>
        </w:rPr>
        <w:t>l primer oficial y al Director General de la Marina Mercante de los delitos contra el medio ambiente y daños en espacios naturales y, además, al primer oficial, del delito de desobediencia. En cambio, conden</w:t>
      </w:r>
      <w:r w:rsidR="00E17EC6" w:rsidRPr="00F64697">
        <w:rPr>
          <w:rFonts w:cs="Times New Roman"/>
          <w:sz w:val="24"/>
          <w:szCs w:val="24"/>
        </w:rPr>
        <w:t>a</w:t>
      </w:r>
      <w:r w:rsidR="000C6FBE" w:rsidRPr="00F64697">
        <w:rPr>
          <w:rFonts w:cs="Times New Roman"/>
          <w:sz w:val="24"/>
          <w:szCs w:val="24"/>
        </w:rPr>
        <w:t xml:space="preserve"> al capitán como autor criminalmente responsable de un delito de desobediencia grave a la autoridad.</w:t>
      </w:r>
      <w:r w:rsidR="004F324A" w:rsidRPr="00F64697">
        <w:rPr>
          <w:rFonts w:cs="Times New Roman"/>
          <w:sz w:val="24"/>
          <w:szCs w:val="24"/>
        </w:rPr>
        <w:t xml:space="preserve"> </w:t>
      </w:r>
    </w:p>
    <w:p w14:paraId="119E2769" w14:textId="60B2CAC4" w:rsidR="00BB31A4" w:rsidRPr="00F64697" w:rsidRDefault="00EE3611" w:rsidP="00BB31A4">
      <w:pPr>
        <w:spacing w:before="120" w:after="120" w:line="240" w:lineRule="auto"/>
        <w:jc w:val="both"/>
        <w:rPr>
          <w:rFonts w:cs="Times New Roman"/>
          <w:sz w:val="24"/>
          <w:szCs w:val="24"/>
        </w:rPr>
      </w:pPr>
      <w:r w:rsidRPr="00F64697">
        <w:rPr>
          <w:rFonts w:cs="Times New Roman"/>
          <w:sz w:val="24"/>
          <w:szCs w:val="24"/>
        </w:rPr>
        <w:t>L</w:t>
      </w:r>
      <w:r w:rsidR="00AC104C" w:rsidRPr="00F64697">
        <w:rPr>
          <w:rFonts w:cs="Times New Roman"/>
          <w:sz w:val="24"/>
          <w:szCs w:val="24"/>
        </w:rPr>
        <w:t xml:space="preserve">a sentencia </w:t>
      </w:r>
      <w:r w:rsidRPr="00F64697">
        <w:rPr>
          <w:rFonts w:cs="Times New Roman"/>
          <w:sz w:val="24"/>
          <w:szCs w:val="24"/>
        </w:rPr>
        <w:t xml:space="preserve">de la Audiencia Provincial de A Coruña de 13 de noviembre de 2013 </w:t>
      </w:r>
      <w:r w:rsidR="00AC104C" w:rsidRPr="00F64697">
        <w:rPr>
          <w:rFonts w:cs="Times New Roman"/>
          <w:sz w:val="24"/>
          <w:szCs w:val="24"/>
        </w:rPr>
        <w:t>n</w:t>
      </w:r>
      <w:r w:rsidR="00E17EC6" w:rsidRPr="00F64697">
        <w:rPr>
          <w:rFonts w:cs="Times New Roman"/>
          <w:sz w:val="24"/>
          <w:szCs w:val="24"/>
        </w:rPr>
        <w:t>o contiene pronunciamientos de condena</w:t>
      </w:r>
      <w:r w:rsidR="00AC104C" w:rsidRPr="00F64697">
        <w:rPr>
          <w:rFonts w:cs="Times New Roman"/>
          <w:sz w:val="24"/>
          <w:szCs w:val="24"/>
        </w:rPr>
        <w:t xml:space="preserve"> de responsabilidad civil</w:t>
      </w:r>
      <w:r w:rsidR="00BC1785" w:rsidRPr="00F64697">
        <w:rPr>
          <w:rFonts w:cs="Times New Roman"/>
          <w:sz w:val="24"/>
          <w:szCs w:val="24"/>
        </w:rPr>
        <w:t xml:space="preserve"> del club P&amp;I</w:t>
      </w:r>
      <w:r w:rsidR="007D430C" w:rsidRPr="00F64697">
        <w:rPr>
          <w:rFonts w:cs="Times New Roman"/>
          <w:sz w:val="24"/>
          <w:szCs w:val="24"/>
        </w:rPr>
        <w:t xml:space="preserve">. </w:t>
      </w:r>
      <w:r w:rsidR="004F75ED">
        <w:rPr>
          <w:rFonts w:cs="Times New Roman"/>
          <w:sz w:val="24"/>
          <w:szCs w:val="24"/>
        </w:rPr>
        <w:t>Tr</w:t>
      </w:r>
      <w:r w:rsidR="00BB31A4" w:rsidRPr="00F64697">
        <w:rPr>
          <w:rFonts w:cs="Times New Roman"/>
          <w:sz w:val="24"/>
          <w:szCs w:val="24"/>
        </w:rPr>
        <w:t>as el siniestro</w:t>
      </w:r>
      <w:r w:rsidR="004F75ED">
        <w:rPr>
          <w:rFonts w:cs="Times New Roman"/>
          <w:sz w:val="24"/>
          <w:szCs w:val="24"/>
        </w:rPr>
        <w:t>, este asegurador</w:t>
      </w:r>
      <w:r w:rsidR="00BB31A4" w:rsidRPr="00F64697">
        <w:rPr>
          <w:rFonts w:cs="Times New Roman"/>
          <w:sz w:val="24"/>
          <w:szCs w:val="24"/>
        </w:rPr>
        <w:t xml:space="preserve"> depositó un fondo de indemnización de 22.777.986 euros ante el Juzgado de Concurbión. </w:t>
      </w:r>
      <w:r w:rsidR="004F75ED" w:rsidRPr="004F75ED">
        <w:rPr>
          <w:rFonts w:cs="Times New Roman"/>
          <w:sz w:val="24"/>
          <w:szCs w:val="24"/>
        </w:rPr>
        <w:t xml:space="preserve">Para garantizar que el propietario de un buque esté en condiciones de cumplir sus obligaciones en virtud del </w:t>
      </w:r>
      <w:r w:rsidR="004F75ED" w:rsidRPr="00F64697">
        <w:rPr>
          <w:sz w:val="24"/>
          <w:szCs w:val="24"/>
          <w:lang w:val="es-ES_tradnl"/>
        </w:rPr>
        <w:t xml:space="preserve">Convenio Internacional sobre </w:t>
      </w:r>
      <w:r w:rsidR="004F75ED" w:rsidRPr="00F64697">
        <w:rPr>
          <w:sz w:val="24"/>
          <w:szCs w:val="24"/>
          <w:lang w:val="es-ES_tradnl"/>
        </w:rPr>
        <w:lastRenderedPageBreak/>
        <w:t xml:space="preserve">Responsabilidad Civil nacida de daños debidos a contaminación por hidrocarburos, 1992 (en adelante, </w:t>
      </w:r>
      <w:r w:rsidR="004F75ED" w:rsidRPr="00F64697">
        <w:rPr>
          <w:i/>
          <w:iCs/>
          <w:sz w:val="24"/>
          <w:szCs w:val="24"/>
          <w:lang w:val="es-ES_tradnl"/>
        </w:rPr>
        <w:t>Convenio de Responsabilidad Civil de 1992</w:t>
      </w:r>
      <w:r w:rsidR="004F75ED" w:rsidRPr="00F64697">
        <w:rPr>
          <w:sz w:val="24"/>
          <w:szCs w:val="24"/>
          <w:lang w:val="es-ES_tradnl"/>
        </w:rPr>
        <w:t>)</w:t>
      </w:r>
      <w:r w:rsidR="004F75ED" w:rsidRPr="00F64697">
        <w:rPr>
          <w:rStyle w:val="Refdenotaalpie"/>
          <w:rFonts w:cs="Times New Roman"/>
          <w:sz w:val="24"/>
          <w:szCs w:val="24"/>
        </w:rPr>
        <w:footnoteReference w:id="5"/>
      </w:r>
      <w:r w:rsidR="004F75ED">
        <w:rPr>
          <w:rFonts w:cs="Times New Roman"/>
          <w:sz w:val="24"/>
          <w:szCs w:val="24"/>
        </w:rPr>
        <w:t xml:space="preserve">, el propietario del buque </w:t>
      </w:r>
      <w:r w:rsidR="004F75ED" w:rsidRPr="004F75ED">
        <w:rPr>
          <w:rFonts w:cs="Times New Roman"/>
          <w:sz w:val="24"/>
          <w:szCs w:val="24"/>
        </w:rPr>
        <w:t xml:space="preserve">está obligado a contratar un seguro </w:t>
      </w:r>
      <w:r w:rsidR="004F75ED">
        <w:rPr>
          <w:rFonts w:cs="Times New Roman"/>
          <w:sz w:val="24"/>
          <w:szCs w:val="24"/>
        </w:rPr>
        <w:t xml:space="preserve">que cubra al menos </w:t>
      </w:r>
      <w:r w:rsidR="004F75ED" w:rsidRPr="004F75ED">
        <w:rPr>
          <w:rFonts w:cs="Times New Roman"/>
          <w:sz w:val="24"/>
          <w:szCs w:val="24"/>
        </w:rPr>
        <w:t>el límite de</w:t>
      </w:r>
      <w:r w:rsidR="004F75ED">
        <w:rPr>
          <w:rFonts w:cs="Times New Roman"/>
          <w:sz w:val="24"/>
          <w:szCs w:val="24"/>
        </w:rPr>
        <w:t xml:space="preserve"> indemnización resultante de la aplicación de los criterios del propio Convenio</w:t>
      </w:r>
      <w:r w:rsidR="004F75ED" w:rsidRPr="00F64697">
        <w:rPr>
          <w:rStyle w:val="Refdenotaalpie"/>
          <w:rFonts w:cs="Times New Roman"/>
          <w:sz w:val="24"/>
          <w:szCs w:val="24"/>
        </w:rPr>
        <w:footnoteReference w:id="6"/>
      </w:r>
      <w:r w:rsidR="004F75ED">
        <w:rPr>
          <w:rFonts w:cs="Times New Roman"/>
          <w:sz w:val="24"/>
          <w:szCs w:val="24"/>
        </w:rPr>
        <w:t>. Depende del arqueo del buque siniestrado y se calculan en “</w:t>
      </w:r>
      <w:r w:rsidR="004F75ED" w:rsidRPr="00F64697">
        <w:rPr>
          <w:rFonts w:cs="Times New Roman"/>
          <w:sz w:val="24"/>
          <w:szCs w:val="24"/>
        </w:rPr>
        <w:t>unidades de cuenta”</w:t>
      </w:r>
      <w:r w:rsidR="004F75ED">
        <w:rPr>
          <w:rFonts w:cs="Times New Roman"/>
          <w:sz w:val="24"/>
          <w:szCs w:val="24"/>
        </w:rPr>
        <w:t>. S</w:t>
      </w:r>
      <w:r w:rsidR="004F75ED" w:rsidRPr="00F64697">
        <w:rPr>
          <w:rFonts w:cs="Times New Roman"/>
          <w:sz w:val="24"/>
          <w:szCs w:val="24"/>
        </w:rPr>
        <w:t>e corresponden con los Derechos Especiales de Giro, DEG (o SDR, por S</w:t>
      </w:r>
      <w:r w:rsidR="004F75ED" w:rsidRPr="00F64697">
        <w:rPr>
          <w:rFonts w:cs="Times New Roman"/>
          <w:i/>
          <w:iCs/>
          <w:sz w:val="24"/>
          <w:szCs w:val="24"/>
        </w:rPr>
        <w:t>pecial Drawing Rights</w:t>
      </w:r>
      <w:r w:rsidR="004F75ED" w:rsidRPr="00F64697">
        <w:rPr>
          <w:rFonts w:cs="Times New Roman"/>
          <w:sz w:val="24"/>
          <w:szCs w:val="24"/>
        </w:rPr>
        <w:t xml:space="preserve">) del Fondo Monetario Internacional. </w:t>
      </w:r>
      <w:r w:rsidR="004F75ED">
        <w:rPr>
          <w:rFonts w:cs="Times New Roman"/>
          <w:sz w:val="24"/>
          <w:szCs w:val="24"/>
        </w:rPr>
        <w:t xml:space="preserve">En este caso eran </w:t>
      </w:r>
      <w:r w:rsidR="004F75ED" w:rsidRPr="004F75ED">
        <w:rPr>
          <w:rFonts w:cs="Times New Roman"/>
          <w:sz w:val="24"/>
          <w:szCs w:val="24"/>
        </w:rPr>
        <w:t>18.884.400</w:t>
      </w:r>
      <w:r w:rsidR="004F75ED">
        <w:rPr>
          <w:rFonts w:cs="Times New Roman"/>
          <w:sz w:val="24"/>
          <w:szCs w:val="24"/>
        </w:rPr>
        <w:t xml:space="preserve"> DEG</w:t>
      </w:r>
      <w:r w:rsidR="004F75ED" w:rsidRPr="004F75ED">
        <w:rPr>
          <w:rFonts w:cs="Times New Roman"/>
          <w:sz w:val="24"/>
          <w:szCs w:val="24"/>
        </w:rPr>
        <w:t xml:space="preserve">. </w:t>
      </w:r>
      <w:r w:rsidR="00BB31A4" w:rsidRPr="00F64697">
        <w:rPr>
          <w:rFonts w:cs="Times New Roman"/>
          <w:sz w:val="24"/>
          <w:szCs w:val="24"/>
        </w:rPr>
        <w:t xml:space="preserve">Es necesario convertir los Derechos Especiales de Giro a la moneda nacional en la fecha en que se constituye el fondo de indemnización (art. V.9.a). </w:t>
      </w:r>
      <w:r w:rsidR="004F75ED">
        <w:rPr>
          <w:rFonts w:cs="Times New Roman"/>
          <w:sz w:val="24"/>
          <w:szCs w:val="24"/>
        </w:rPr>
        <w:t xml:space="preserve">De su conversión, surgen los </w:t>
      </w:r>
      <w:r w:rsidR="004F75ED" w:rsidRPr="00F64697">
        <w:rPr>
          <w:rFonts w:cs="Times New Roman"/>
          <w:sz w:val="24"/>
          <w:szCs w:val="24"/>
        </w:rPr>
        <w:t xml:space="preserve">22.777.986 </w:t>
      </w:r>
      <w:r w:rsidR="004F75ED">
        <w:rPr>
          <w:rFonts w:cs="Times New Roman"/>
          <w:sz w:val="24"/>
          <w:szCs w:val="24"/>
        </w:rPr>
        <w:t xml:space="preserve">euros (en adelante, 22,7 millones de euros). </w:t>
      </w:r>
      <w:r w:rsidR="00C236EF">
        <w:rPr>
          <w:rFonts w:cs="Times New Roman"/>
          <w:sz w:val="24"/>
          <w:szCs w:val="24"/>
        </w:rPr>
        <w:t xml:space="preserve">El art. VII 8 del Convenio admite la acción directa contra el asegurador, pero sólo hasta </w:t>
      </w:r>
      <w:r w:rsidR="00BB31A4" w:rsidRPr="00F64697">
        <w:rPr>
          <w:rFonts w:cs="Times New Roman"/>
          <w:sz w:val="24"/>
          <w:szCs w:val="24"/>
        </w:rPr>
        <w:t xml:space="preserve">el límite de la indemnización. </w:t>
      </w:r>
    </w:p>
    <w:p w14:paraId="17224F73" w14:textId="34D6F581" w:rsidR="00C3123A" w:rsidRDefault="00E17C9B" w:rsidP="00E17EC6">
      <w:pPr>
        <w:autoSpaceDE w:val="0"/>
        <w:autoSpaceDN w:val="0"/>
        <w:adjustRightInd w:val="0"/>
        <w:spacing w:before="120" w:after="120" w:line="240" w:lineRule="auto"/>
        <w:jc w:val="both"/>
        <w:rPr>
          <w:rFonts w:cs="Times New Roman"/>
          <w:sz w:val="24"/>
          <w:szCs w:val="24"/>
        </w:rPr>
      </w:pPr>
      <w:r>
        <w:rPr>
          <w:rFonts w:cs="Times New Roman"/>
          <w:sz w:val="24"/>
          <w:szCs w:val="24"/>
        </w:rPr>
        <w:t xml:space="preserve">El Magistrado ponente </w:t>
      </w:r>
      <w:r w:rsidR="00C3123A">
        <w:rPr>
          <w:rFonts w:cs="Times New Roman"/>
          <w:sz w:val="24"/>
          <w:szCs w:val="24"/>
        </w:rPr>
        <w:t xml:space="preserve">se muestra consciente del carácter muy bajo de los </w:t>
      </w:r>
      <w:r w:rsidR="00AC6312" w:rsidRPr="00F64697">
        <w:rPr>
          <w:rFonts w:cs="Times New Roman"/>
          <w:sz w:val="24"/>
          <w:szCs w:val="24"/>
        </w:rPr>
        <w:t>limites</w:t>
      </w:r>
      <w:r w:rsidR="00BB31A4" w:rsidRPr="00F64697">
        <w:rPr>
          <w:rFonts w:cs="Times New Roman"/>
          <w:sz w:val="24"/>
          <w:szCs w:val="24"/>
        </w:rPr>
        <w:t xml:space="preserve"> del Convenio de Responsabilidad Civil de 1992</w:t>
      </w:r>
      <w:r w:rsidR="00C3123A">
        <w:rPr>
          <w:rFonts w:cs="Times New Roman"/>
          <w:sz w:val="24"/>
          <w:szCs w:val="24"/>
        </w:rPr>
        <w:t xml:space="preserve"> y su aplicación a un supuesto de daños catastróficos. Sin embargo, los aplica, pues</w:t>
      </w:r>
      <w:r w:rsidR="00AC6312" w:rsidRPr="00F64697">
        <w:rPr>
          <w:rFonts w:cs="Times New Roman"/>
          <w:sz w:val="24"/>
          <w:szCs w:val="24"/>
        </w:rPr>
        <w:t>:</w:t>
      </w:r>
      <w:r w:rsidR="00F21C21" w:rsidRPr="00F64697">
        <w:rPr>
          <w:rFonts w:cs="Times New Roman"/>
          <w:sz w:val="24"/>
          <w:szCs w:val="24"/>
        </w:rPr>
        <w:t xml:space="preserve"> “</w:t>
      </w:r>
      <w:r w:rsidR="00F21C21" w:rsidRPr="00F64697">
        <w:rPr>
          <w:rFonts w:cs="Times New Roman"/>
          <w:i/>
          <w:iCs/>
          <w:sz w:val="24"/>
          <w:szCs w:val="24"/>
        </w:rPr>
        <w:t>aun cuando muchos no acepten sus implicaciones restrictivas que son evidentes y vinculantes, desde la mera perspectiva del principio de legalidad, pues una norma internacional incorporada al Derecho español es de aplicación inmediata y estricta</w:t>
      </w:r>
      <w:r w:rsidR="00F21C21" w:rsidRPr="00F64697">
        <w:rPr>
          <w:rFonts w:cs="Times New Roman"/>
          <w:sz w:val="24"/>
          <w:szCs w:val="24"/>
        </w:rPr>
        <w:t>”</w:t>
      </w:r>
      <w:r w:rsidR="00AC6312" w:rsidRPr="00F64697">
        <w:rPr>
          <w:rStyle w:val="Refdenotaalpie"/>
          <w:rFonts w:cs="Times New Roman"/>
          <w:sz w:val="24"/>
          <w:szCs w:val="24"/>
        </w:rPr>
        <w:footnoteReference w:id="7"/>
      </w:r>
      <w:r w:rsidR="004F324A" w:rsidRPr="00F64697">
        <w:rPr>
          <w:rFonts w:cs="Times New Roman"/>
          <w:sz w:val="24"/>
          <w:szCs w:val="24"/>
        </w:rPr>
        <w:t xml:space="preserve">. </w:t>
      </w:r>
      <w:r w:rsidR="00BC1785" w:rsidRPr="00F64697">
        <w:rPr>
          <w:rFonts w:cs="Times New Roman"/>
          <w:sz w:val="24"/>
          <w:szCs w:val="24"/>
        </w:rPr>
        <w:t xml:space="preserve">Los </w:t>
      </w:r>
      <w:r w:rsidR="00C3123A">
        <w:rPr>
          <w:rFonts w:cs="Times New Roman"/>
          <w:sz w:val="24"/>
          <w:szCs w:val="24"/>
        </w:rPr>
        <w:t>demandantes</w:t>
      </w:r>
      <w:r w:rsidR="00BC1785" w:rsidRPr="00F64697">
        <w:rPr>
          <w:rFonts w:cs="Times New Roman"/>
          <w:sz w:val="24"/>
          <w:szCs w:val="24"/>
        </w:rPr>
        <w:t xml:space="preserve">, entre ellos el Estado español, plantean </w:t>
      </w:r>
      <w:r w:rsidR="00EE3611" w:rsidRPr="00F64697">
        <w:rPr>
          <w:rFonts w:cs="Times New Roman"/>
          <w:sz w:val="24"/>
          <w:szCs w:val="24"/>
        </w:rPr>
        <w:t>recurso de</w:t>
      </w:r>
      <w:r w:rsidR="0003673E" w:rsidRPr="00F64697">
        <w:rPr>
          <w:rFonts w:cs="Times New Roman"/>
          <w:sz w:val="24"/>
          <w:szCs w:val="24"/>
        </w:rPr>
        <w:t xml:space="preserve"> </w:t>
      </w:r>
      <w:r w:rsidR="007D430C" w:rsidRPr="00F64697">
        <w:rPr>
          <w:rFonts w:cs="Times New Roman"/>
          <w:sz w:val="24"/>
          <w:szCs w:val="24"/>
        </w:rPr>
        <w:t>casación</w:t>
      </w:r>
      <w:r w:rsidR="00BC1785" w:rsidRPr="00F64697">
        <w:rPr>
          <w:rFonts w:cs="Times New Roman"/>
          <w:sz w:val="24"/>
          <w:szCs w:val="24"/>
        </w:rPr>
        <w:t xml:space="preserve">. </w:t>
      </w:r>
    </w:p>
    <w:p w14:paraId="74640AA9" w14:textId="6A3E66BD" w:rsidR="00BB31A4" w:rsidRPr="00F64697" w:rsidRDefault="00C3123A" w:rsidP="00E17EC6">
      <w:pPr>
        <w:autoSpaceDE w:val="0"/>
        <w:autoSpaceDN w:val="0"/>
        <w:adjustRightInd w:val="0"/>
        <w:spacing w:before="120" w:after="120" w:line="240" w:lineRule="auto"/>
        <w:jc w:val="both"/>
        <w:rPr>
          <w:rFonts w:cs="Times New Roman"/>
          <w:sz w:val="24"/>
          <w:szCs w:val="24"/>
        </w:rPr>
      </w:pPr>
      <w:r>
        <w:rPr>
          <w:rFonts w:cs="Times New Roman"/>
          <w:sz w:val="24"/>
          <w:szCs w:val="24"/>
        </w:rPr>
        <w:t>L</w:t>
      </w:r>
      <w:r w:rsidR="00C53673" w:rsidRPr="00F64697">
        <w:rPr>
          <w:rFonts w:cs="Times New Roman"/>
          <w:sz w:val="24"/>
          <w:szCs w:val="24"/>
        </w:rPr>
        <w:t xml:space="preserve">a sentencia del </w:t>
      </w:r>
      <w:r w:rsidR="007F0B69" w:rsidRPr="00F64697">
        <w:rPr>
          <w:rFonts w:cs="Times New Roman"/>
          <w:sz w:val="24"/>
          <w:szCs w:val="24"/>
        </w:rPr>
        <w:t>Tribunal Supremo</w:t>
      </w:r>
      <w:r w:rsidR="00C53673" w:rsidRPr="00F64697">
        <w:rPr>
          <w:rFonts w:cs="Times New Roman"/>
          <w:sz w:val="24"/>
          <w:szCs w:val="24"/>
        </w:rPr>
        <w:t>, Sala 2ª, de lo Penal, de 14 de enero de 2016</w:t>
      </w:r>
      <w:r w:rsidR="00C53673" w:rsidRPr="00F64697">
        <w:rPr>
          <w:rStyle w:val="Refdenotaalpie"/>
          <w:rFonts w:cs="Times New Roman"/>
          <w:sz w:val="24"/>
          <w:szCs w:val="24"/>
          <w:shd w:val="clear" w:color="auto" w:fill="FFFFFF"/>
        </w:rPr>
        <w:footnoteReference w:id="8"/>
      </w:r>
      <w:r w:rsidR="00F21C21" w:rsidRPr="00F64697">
        <w:rPr>
          <w:rFonts w:cs="Times New Roman"/>
          <w:sz w:val="24"/>
          <w:szCs w:val="24"/>
          <w:shd w:val="clear" w:color="auto" w:fill="FFFFFF"/>
        </w:rPr>
        <w:t>,</w:t>
      </w:r>
      <w:r w:rsidR="00CB7610" w:rsidRPr="00F64697">
        <w:rPr>
          <w:rFonts w:cs="Times New Roman"/>
          <w:sz w:val="24"/>
          <w:szCs w:val="24"/>
          <w:shd w:val="clear" w:color="auto" w:fill="FFFFFF"/>
        </w:rPr>
        <w:t xml:space="preserve"> </w:t>
      </w:r>
      <w:r w:rsidR="00C53673" w:rsidRPr="00F64697">
        <w:rPr>
          <w:rFonts w:cs="Times New Roman"/>
          <w:sz w:val="24"/>
          <w:szCs w:val="24"/>
        </w:rPr>
        <w:t>casa y anula parcialmente</w:t>
      </w:r>
      <w:r w:rsidR="0003673E" w:rsidRPr="00F64697">
        <w:rPr>
          <w:rFonts w:cs="Times New Roman"/>
          <w:sz w:val="24"/>
          <w:szCs w:val="24"/>
        </w:rPr>
        <w:t xml:space="preserve"> la sentencia de la Audiencia Provincial de A Coruña</w:t>
      </w:r>
      <w:r w:rsidR="00EE3611" w:rsidRPr="00F64697">
        <w:rPr>
          <w:rFonts w:cs="Times New Roman"/>
          <w:sz w:val="24"/>
          <w:szCs w:val="24"/>
        </w:rPr>
        <w:t xml:space="preserve"> de 13 de noviembre de 2013</w:t>
      </w:r>
      <w:r w:rsidR="0003673E" w:rsidRPr="00F64697">
        <w:rPr>
          <w:rFonts w:cs="Times New Roman"/>
          <w:sz w:val="24"/>
          <w:szCs w:val="24"/>
        </w:rPr>
        <w:t>.</w:t>
      </w:r>
      <w:r>
        <w:rPr>
          <w:rFonts w:cs="Times New Roman"/>
          <w:sz w:val="24"/>
          <w:szCs w:val="24"/>
        </w:rPr>
        <w:t xml:space="preserve"> </w:t>
      </w:r>
      <w:r w:rsidR="00EE3611" w:rsidRPr="00F64697">
        <w:rPr>
          <w:rFonts w:cs="Times New Roman"/>
          <w:sz w:val="24"/>
          <w:szCs w:val="24"/>
        </w:rPr>
        <w:t>En cuanto a la responsabilidad penal, d</w:t>
      </w:r>
      <w:r w:rsidR="00F52ECE" w:rsidRPr="00F64697">
        <w:rPr>
          <w:rFonts w:cs="Times New Roman"/>
          <w:sz w:val="24"/>
          <w:szCs w:val="24"/>
        </w:rPr>
        <w:t xml:space="preserve">eclara al capitán </w:t>
      </w:r>
      <w:r w:rsidR="00AC6312" w:rsidRPr="00F64697">
        <w:rPr>
          <w:rFonts w:cs="Times New Roman"/>
          <w:sz w:val="24"/>
          <w:szCs w:val="24"/>
        </w:rPr>
        <w:t xml:space="preserve">del </w:t>
      </w:r>
      <w:r w:rsidR="0087782D" w:rsidRPr="00F64697">
        <w:rPr>
          <w:rFonts w:cs="Times New Roman"/>
          <w:sz w:val="24"/>
          <w:szCs w:val="24"/>
        </w:rPr>
        <w:t xml:space="preserve">buque como </w:t>
      </w:r>
      <w:r w:rsidR="00F52ECE" w:rsidRPr="00F64697">
        <w:rPr>
          <w:rFonts w:cs="Times New Roman"/>
          <w:sz w:val="24"/>
          <w:szCs w:val="24"/>
        </w:rPr>
        <w:t xml:space="preserve">autor responsable sin concurrencia de circunstancias modificativas de la responsabilidad criminal, de un delito imprudente contra el medio ambiente en la </w:t>
      </w:r>
      <w:r w:rsidR="00F52ECE" w:rsidRPr="00F64697">
        <w:rPr>
          <w:rFonts w:cs="Times New Roman"/>
          <w:sz w:val="24"/>
          <w:szCs w:val="24"/>
        </w:rPr>
        <w:lastRenderedPageBreak/>
        <w:t>modalidad agravada de deterioro catastrófico.</w:t>
      </w:r>
      <w:r>
        <w:rPr>
          <w:rFonts w:cs="Times New Roman"/>
          <w:sz w:val="24"/>
          <w:szCs w:val="24"/>
        </w:rPr>
        <w:t xml:space="preserve"> </w:t>
      </w:r>
      <w:r w:rsidR="00FD24E9">
        <w:rPr>
          <w:rFonts w:cs="Times New Roman"/>
          <w:sz w:val="24"/>
          <w:szCs w:val="24"/>
        </w:rPr>
        <w:t>Con relación a</w:t>
      </w:r>
      <w:r>
        <w:rPr>
          <w:rFonts w:cs="Times New Roman"/>
          <w:sz w:val="24"/>
          <w:szCs w:val="24"/>
        </w:rPr>
        <w:t xml:space="preserve"> la </w:t>
      </w:r>
      <w:r w:rsidR="00E53898" w:rsidRPr="00F64697">
        <w:rPr>
          <w:rFonts w:cs="Times New Roman"/>
          <w:sz w:val="24"/>
          <w:szCs w:val="24"/>
        </w:rPr>
        <w:t xml:space="preserve">responsabilidad civil, </w:t>
      </w:r>
      <w:r w:rsidR="00EE3611" w:rsidRPr="00F64697">
        <w:rPr>
          <w:rFonts w:cs="Times New Roman"/>
          <w:sz w:val="24"/>
          <w:szCs w:val="24"/>
        </w:rPr>
        <w:t xml:space="preserve">decide </w:t>
      </w:r>
      <w:r w:rsidR="00E53898" w:rsidRPr="00F64697">
        <w:rPr>
          <w:rFonts w:cs="Times New Roman"/>
          <w:sz w:val="24"/>
          <w:szCs w:val="24"/>
        </w:rPr>
        <w:t>que</w:t>
      </w:r>
      <w:r w:rsidR="0087782D" w:rsidRPr="00F64697">
        <w:rPr>
          <w:rFonts w:cs="Times New Roman"/>
          <w:sz w:val="24"/>
          <w:szCs w:val="24"/>
        </w:rPr>
        <w:t xml:space="preserve">: </w:t>
      </w:r>
    </w:p>
    <w:p w14:paraId="5B4A2C05" w14:textId="4CFC66E7" w:rsidR="00BB31A4" w:rsidRPr="00F64697" w:rsidRDefault="0087782D" w:rsidP="00E17EC6">
      <w:pPr>
        <w:autoSpaceDE w:val="0"/>
        <w:autoSpaceDN w:val="0"/>
        <w:adjustRightInd w:val="0"/>
        <w:spacing w:before="120" w:after="120" w:line="240" w:lineRule="auto"/>
        <w:jc w:val="both"/>
        <w:rPr>
          <w:rFonts w:cs="Times New Roman"/>
          <w:sz w:val="24"/>
          <w:szCs w:val="24"/>
        </w:rPr>
      </w:pPr>
      <w:r w:rsidRPr="00F64697">
        <w:rPr>
          <w:rFonts w:cs="Times New Roman"/>
          <w:sz w:val="24"/>
          <w:szCs w:val="24"/>
        </w:rPr>
        <w:t>1) E</w:t>
      </w:r>
      <w:r w:rsidR="00E53898" w:rsidRPr="00F64697">
        <w:rPr>
          <w:rFonts w:cs="Times New Roman"/>
          <w:sz w:val="24"/>
          <w:szCs w:val="24"/>
        </w:rPr>
        <w:t xml:space="preserve">l capitán </w:t>
      </w:r>
      <w:r w:rsidR="00BB31A4" w:rsidRPr="00F64697">
        <w:rPr>
          <w:rFonts w:cs="Times New Roman"/>
          <w:sz w:val="24"/>
          <w:szCs w:val="24"/>
        </w:rPr>
        <w:t>responde ilimitadamente de los daños y perjuicios causados. No consta si el capitán ha podido abonar alguna indemnización.</w:t>
      </w:r>
    </w:p>
    <w:p w14:paraId="76A9D107" w14:textId="1FC0B684" w:rsidR="00BB31A4" w:rsidRPr="00F64697" w:rsidRDefault="0087782D" w:rsidP="00E17EC6">
      <w:pPr>
        <w:autoSpaceDE w:val="0"/>
        <w:autoSpaceDN w:val="0"/>
        <w:adjustRightInd w:val="0"/>
        <w:spacing w:before="120" w:after="120" w:line="240" w:lineRule="auto"/>
        <w:jc w:val="both"/>
        <w:rPr>
          <w:rFonts w:cs="Times New Roman"/>
          <w:i/>
          <w:iCs/>
          <w:sz w:val="24"/>
          <w:szCs w:val="24"/>
        </w:rPr>
      </w:pPr>
      <w:r w:rsidRPr="00F64697">
        <w:rPr>
          <w:rFonts w:cs="Times New Roman"/>
          <w:sz w:val="24"/>
          <w:szCs w:val="24"/>
        </w:rPr>
        <w:t>2) La sociedad propietaria del buque es responsable civil subsidiaria</w:t>
      </w:r>
      <w:r w:rsidR="00BB31A4" w:rsidRPr="00F64697">
        <w:rPr>
          <w:rFonts w:cs="Times New Roman"/>
          <w:i/>
          <w:iCs/>
          <w:sz w:val="24"/>
          <w:szCs w:val="24"/>
        </w:rPr>
        <w:t xml:space="preserve">. </w:t>
      </w:r>
      <w:r w:rsidR="00BB31A4" w:rsidRPr="00F64697">
        <w:rPr>
          <w:rFonts w:cs="Times New Roman"/>
          <w:sz w:val="24"/>
          <w:szCs w:val="24"/>
        </w:rPr>
        <w:t>Tampoco nos consta que esta sociedad haya abonado indemnización alguna.</w:t>
      </w:r>
      <w:r w:rsidR="00673801">
        <w:rPr>
          <w:rFonts w:cs="Times New Roman"/>
          <w:sz w:val="24"/>
          <w:szCs w:val="24"/>
        </w:rPr>
        <w:t xml:space="preserve"> </w:t>
      </w:r>
    </w:p>
    <w:p w14:paraId="436A8D93" w14:textId="3CF8CACB" w:rsidR="00BB31A4" w:rsidRPr="00F64697" w:rsidRDefault="0087782D" w:rsidP="00BB31A4">
      <w:pPr>
        <w:pStyle w:val="parrafo"/>
        <w:spacing w:before="120" w:beforeAutospacing="0" w:after="120" w:afterAutospacing="0"/>
        <w:jc w:val="both"/>
      </w:pPr>
      <w:r w:rsidRPr="008B7106">
        <w:t>3)</w:t>
      </w:r>
      <w:r w:rsidR="00E53898" w:rsidRPr="008B7106">
        <w:t xml:space="preserve"> </w:t>
      </w:r>
      <w:r w:rsidR="00EE3611" w:rsidRPr="008B7106">
        <w:t>El c</w:t>
      </w:r>
      <w:r w:rsidR="00E53898" w:rsidRPr="008B7106">
        <w:t xml:space="preserve">lub </w:t>
      </w:r>
      <w:r w:rsidR="00EE3611" w:rsidRPr="008B7106">
        <w:t xml:space="preserve">P&amp;I </w:t>
      </w:r>
      <w:r w:rsidRPr="008B7106">
        <w:t>es responsable civil direct</w:t>
      </w:r>
      <w:r w:rsidR="00EE3611" w:rsidRPr="008B7106">
        <w:t>o</w:t>
      </w:r>
      <w:r w:rsidRPr="00F64697">
        <w:rPr>
          <w:i/>
          <w:iCs/>
        </w:rPr>
        <w:t xml:space="preserve"> </w:t>
      </w:r>
      <w:r w:rsidR="00E53898" w:rsidRPr="00F64697">
        <w:rPr>
          <w:i/>
          <w:iCs/>
        </w:rPr>
        <w:t>“hasta el límite de la póliza suscrita</w:t>
      </w:r>
      <w:r w:rsidR="00E53898" w:rsidRPr="00F64697">
        <w:t>”</w:t>
      </w:r>
      <w:r w:rsidR="00BB31A4" w:rsidRPr="00F64697">
        <w:t>.</w:t>
      </w:r>
      <w:r w:rsidRPr="00F64697">
        <w:t xml:space="preserve"> </w:t>
      </w:r>
      <w:r w:rsidR="00C3123A">
        <w:t xml:space="preserve">El artículo legal en que se basa para condenar </w:t>
      </w:r>
      <w:r w:rsidR="00BB31A4" w:rsidRPr="00F64697">
        <w:t xml:space="preserve">al club P&amp;I por encima de los límites de responsabilidad previstos en el Convenio de Responsabilidad Civil de 1992 y hasta la suma asegurada en la póliza, </w:t>
      </w:r>
      <w:r w:rsidR="00C3123A">
        <w:t xml:space="preserve">es </w:t>
      </w:r>
      <w:r w:rsidR="00BB31A4" w:rsidRPr="00F64697">
        <w:t>el art. 117 Código Penal: “</w:t>
      </w:r>
      <w:r w:rsidR="00BB31A4" w:rsidRPr="00F64697">
        <w:rPr>
          <w:i/>
          <w:iCs/>
        </w:rPr>
        <w:t>Además no podemos olvidar que nos encontramos ante una responsabilidad civil, que a su vez procede de otra penal, en relación a unos daños producidos en espacios sometidos a la jurisdicción de los Tribunales españoles, y que el artículo 117 del CP declara expresamente la responsabilidad de la aseguradora que hubiera asumido el riesgo de las responsabilidades pecuniarias derivadas del uso o explotación del bien o actividad cuando a consecuencia de un hecho previsto en el Código se produzca el evento que determine el riesgo. Y en este caso así ha ocurrido</w:t>
      </w:r>
      <w:r w:rsidR="00BB31A4" w:rsidRPr="00F64697">
        <w:t>”.</w:t>
      </w:r>
    </w:p>
    <w:p w14:paraId="5E50D0A9" w14:textId="1D41E945" w:rsidR="003D69CA" w:rsidRPr="00F64697" w:rsidRDefault="00461744" w:rsidP="003D69CA">
      <w:pPr>
        <w:spacing w:before="120" w:after="120" w:line="240" w:lineRule="auto"/>
        <w:jc w:val="both"/>
        <w:rPr>
          <w:rFonts w:cs="Times New Roman"/>
          <w:sz w:val="24"/>
          <w:szCs w:val="24"/>
        </w:rPr>
      </w:pPr>
      <w:r>
        <w:rPr>
          <w:rFonts w:cs="Times New Roman"/>
          <w:sz w:val="24"/>
          <w:szCs w:val="24"/>
        </w:rPr>
        <w:t>La decisión del</w:t>
      </w:r>
      <w:r w:rsidR="003D69CA" w:rsidRPr="00F64697">
        <w:rPr>
          <w:rFonts w:cs="Times New Roman"/>
          <w:sz w:val="24"/>
          <w:szCs w:val="24"/>
        </w:rPr>
        <w:t xml:space="preserve"> Tribunal Supremo </w:t>
      </w:r>
      <w:r>
        <w:rPr>
          <w:rFonts w:cs="Times New Roman"/>
          <w:sz w:val="24"/>
          <w:szCs w:val="24"/>
        </w:rPr>
        <w:t xml:space="preserve">contrasta con el </w:t>
      </w:r>
      <w:r w:rsidR="003D69CA" w:rsidRPr="00F64697">
        <w:rPr>
          <w:rFonts w:cs="Times New Roman"/>
          <w:sz w:val="24"/>
          <w:szCs w:val="24"/>
        </w:rPr>
        <w:t>art. VII.8 Convenio de Responsabilidad Civil de 1992</w:t>
      </w:r>
      <w:r>
        <w:rPr>
          <w:rFonts w:cs="Times New Roman"/>
          <w:sz w:val="24"/>
          <w:szCs w:val="24"/>
        </w:rPr>
        <w:t>. Éste</w:t>
      </w:r>
      <w:r w:rsidR="003D69CA" w:rsidRPr="00F64697">
        <w:rPr>
          <w:rFonts w:cs="Times New Roman"/>
          <w:sz w:val="24"/>
          <w:szCs w:val="24"/>
        </w:rPr>
        <w:t xml:space="preserve"> dispone que, en caso de reclamar </w:t>
      </w:r>
      <w:r>
        <w:rPr>
          <w:rFonts w:cs="Times New Roman"/>
          <w:sz w:val="24"/>
          <w:szCs w:val="24"/>
        </w:rPr>
        <w:t>en acción directa contra el</w:t>
      </w:r>
      <w:r w:rsidR="003D69CA" w:rsidRPr="00F64697">
        <w:rPr>
          <w:rFonts w:cs="Times New Roman"/>
          <w:sz w:val="24"/>
          <w:szCs w:val="24"/>
        </w:rPr>
        <w:t xml:space="preserve"> asegurador: “</w:t>
      </w:r>
      <w:r w:rsidR="003D69CA" w:rsidRPr="00F64697">
        <w:rPr>
          <w:rFonts w:cs="Times New Roman"/>
          <w:i/>
          <w:iCs/>
          <w:sz w:val="24"/>
          <w:szCs w:val="24"/>
        </w:rPr>
        <w:t>En tal caso el demandado podrá, aun cuando el propietario no tenga derecho a limitar su responsabilidad de conformidad con el artículo V, párrafo 2, valerse de los límites de responsabilidad que prescribe el artículo V, párrafo 1</w:t>
      </w:r>
      <w:r w:rsidR="003D69CA" w:rsidRPr="00F64697">
        <w:rPr>
          <w:rFonts w:cs="Times New Roman"/>
          <w:sz w:val="24"/>
          <w:szCs w:val="24"/>
        </w:rPr>
        <w:t>”.</w:t>
      </w:r>
    </w:p>
    <w:p w14:paraId="2F88AEDB" w14:textId="77777777" w:rsidR="008B7106" w:rsidRPr="00F64697" w:rsidRDefault="008B7106" w:rsidP="008B7106">
      <w:pPr>
        <w:pStyle w:val="Textonotapie"/>
        <w:spacing w:before="120" w:after="120"/>
        <w:jc w:val="both"/>
        <w:rPr>
          <w:rFonts w:cs="Times New Roman"/>
          <w:sz w:val="24"/>
          <w:szCs w:val="24"/>
          <w:lang w:val="es-ES"/>
        </w:rPr>
      </w:pPr>
      <w:r w:rsidRPr="00C3123A">
        <w:rPr>
          <w:rFonts w:cs="Times New Roman"/>
          <w:sz w:val="24"/>
          <w:szCs w:val="24"/>
          <w:lang w:val="es-ES"/>
        </w:rPr>
        <w:t>En nuestra opinión, los arts. 117 Código Penal y el art. VII.8 Convenio de Responsabilidad Civil de 1992 sí podrían haberse conciliado y evitar soluciones contradictorias. El Tribunal Supremo, a diferencia de la sentencia de la Audiencia Provincial de A Coruña, que anula, aplica el art. 117 Código Penal en detrimento del Convenio de Responsabilidad civil de 1992, que protege al asegurador de buques petroleros. El Tribunal Supremo podía haber optado por la “</w:t>
      </w:r>
      <w:r w:rsidRPr="00C3123A">
        <w:rPr>
          <w:rFonts w:cs="Times New Roman"/>
          <w:i/>
          <w:sz w:val="24"/>
          <w:szCs w:val="24"/>
          <w:lang w:val="es-ES"/>
        </w:rPr>
        <w:t>indemnización legalmente establecida</w:t>
      </w:r>
      <w:r w:rsidRPr="00C3123A">
        <w:rPr>
          <w:rFonts w:cs="Times New Roman"/>
          <w:sz w:val="24"/>
          <w:szCs w:val="24"/>
          <w:lang w:val="es-ES"/>
        </w:rPr>
        <w:t xml:space="preserve">” del art. 117 Código Penal, que el club P&amp;I ya ha desembolsado en forma de fondo de indemnización de 22,7 millones de euros. </w:t>
      </w:r>
      <w:r w:rsidRPr="00F64697">
        <w:rPr>
          <w:rFonts w:cs="Times New Roman"/>
          <w:sz w:val="24"/>
          <w:szCs w:val="24"/>
          <w:lang w:val="es-ES"/>
        </w:rPr>
        <w:t xml:space="preserve">Sin embargo, el Tribunal Supremo </w:t>
      </w:r>
      <w:r w:rsidRPr="00F64697">
        <w:rPr>
          <w:rFonts w:cs="Times New Roman"/>
          <w:i/>
          <w:iCs/>
          <w:sz w:val="24"/>
          <w:szCs w:val="24"/>
          <w:lang w:val="es-ES"/>
        </w:rPr>
        <w:t>rompe los límites</w:t>
      </w:r>
      <w:r w:rsidRPr="00F64697">
        <w:rPr>
          <w:rFonts w:cs="Times New Roman"/>
          <w:sz w:val="24"/>
          <w:szCs w:val="24"/>
          <w:lang w:val="es-ES"/>
        </w:rPr>
        <w:t xml:space="preserve"> del Convenio de Responsabilidad Civil de 1992 y condena, en base al art. 117 Código Penal al club P&amp;I como responsable civil hasta la “(indemnización) </w:t>
      </w:r>
      <w:r w:rsidRPr="00F64697">
        <w:rPr>
          <w:rFonts w:cs="Times New Roman"/>
          <w:i/>
          <w:sz w:val="24"/>
          <w:szCs w:val="24"/>
          <w:lang w:val="es-ES"/>
        </w:rPr>
        <w:t>convencionalmente pactada</w:t>
      </w:r>
      <w:r w:rsidRPr="00F64697">
        <w:rPr>
          <w:rFonts w:cs="Times New Roman"/>
          <w:sz w:val="24"/>
          <w:szCs w:val="24"/>
          <w:lang w:val="es-ES"/>
        </w:rPr>
        <w:t>” en la póliza de seguros.</w:t>
      </w:r>
      <w:r w:rsidRPr="00F64697">
        <w:rPr>
          <w:iCs/>
          <w:sz w:val="24"/>
          <w:szCs w:val="24"/>
          <w:lang w:val="es-ES"/>
        </w:rPr>
        <w:t xml:space="preserve"> </w:t>
      </w:r>
    </w:p>
    <w:p w14:paraId="29A8CA9F" w14:textId="62E4536E" w:rsidR="008B7106" w:rsidRPr="008B7106" w:rsidRDefault="00C236EF" w:rsidP="008B7106">
      <w:pPr>
        <w:pStyle w:val="NormalWeb"/>
        <w:spacing w:before="120" w:after="120" w:line="240" w:lineRule="auto"/>
        <w:jc w:val="both"/>
      </w:pPr>
      <w:r>
        <w:t>E</w:t>
      </w:r>
      <w:r w:rsidR="008B7106" w:rsidRPr="00F64697">
        <w:t xml:space="preserve">l Tribunal Supremo </w:t>
      </w:r>
      <w:r>
        <w:t xml:space="preserve">también trae a colación su </w:t>
      </w:r>
      <w:r w:rsidR="00046639">
        <w:t>jurisprudencia en materia de acción directa contra el club P&amp;I, principalmente de su</w:t>
      </w:r>
      <w:r w:rsidR="008B7106" w:rsidRPr="00F64697">
        <w:t xml:space="preserve"> sentencia de 3 de julio de 2003 (“Seabank”)</w:t>
      </w:r>
      <w:r w:rsidR="008B7106" w:rsidRPr="00F64697">
        <w:rPr>
          <w:rStyle w:val="Refdenotaalpie"/>
        </w:rPr>
        <w:footnoteReference w:id="9"/>
      </w:r>
      <w:r w:rsidR="008B7106" w:rsidRPr="00F64697">
        <w:t xml:space="preserve">. En su virtud, el perjudicado no tiene acción directa </w:t>
      </w:r>
      <w:r w:rsidR="00046639">
        <w:t xml:space="preserve">en España </w:t>
      </w:r>
      <w:r w:rsidR="008B7106" w:rsidRPr="00F64697">
        <w:t>contra el asegurador por estar el contrato de seguro P&amp;I sometido a Derecho inglés y a arbitraje</w:t>
      </w:r>
      <w:r>
        <w:t xml:space="preserve"> si se persona en el proceso español y formula una declinatoria de jurisdicción</w:t>
      </w:r>
      <w:r w:rsidR="008B7106" w:rsidRPr="00F64697">
        <w:t>.</w:t>
      </w:r>
      <w:r>
        <w:t xml:space="preserve"> </w:t>
      </w:r>
      <w:r w:rsidR="00D7315A">
        <w:t>C</w:t>
      </w:r>
      <w:r>
        <w:t xml:space="preserve">iertamente, esta jurisprudencia no </w:t>
      </w:r>
      <w:r w:rsidR="00D7315A">
        <w:t>es</w:t>
      </w:r>
      <w:r>
        <w:t xml:space="preserve"> aplicable, pues</w:t>
      </w:r>
      <w:r w:rsidR="008B7106" w:rsidRPr="00F64697">
        <w:t xml:space="preserve"> “</w:t>
      </w:r>
      <w:r w:rsidR="008B7106" w:rsidRPr="00F64697">
        <w:rPr>
          <w:i/>
        </w:rPr>
        <w:t>la aseguradora, en su actitud de ausencia voluntaria en el proceso, no ha alegado ni esa ni ninguna otra causa de oposición a su obligación de indemnizar que pudiera excusar la misma, por lo que a ella incumbe soportar las consecuencias de su comportamiento procesal, máxime cuando de pronunciamientos relativos a la responsabilidad civil se trata</w:t>
      </w:r>
      <w:r w:rsidR="008B7106" w:rsidRPr="00F64697">
        <w:t>”. No obstante</w:t>
      </w:r>
      <w:r w:rsidR="00D7315A">
        <w:t xml:space="preserve"> la jurisdicción española para resolver el litigio</w:t>
      </w:r>
      <w:r w:rsidR="008B7106" w:rsidRPr="00F64697">
        <w:t xml:space="preserve">, </w:t>
      </w:r>
      <w:r w:rsidR="00011F2C">
        <w:t xml:space="preserve">en el fondo del asunto, </w:t>
      </w:r>
      <w:r w:rsidR="008B7106" w:rsidRPr="00F64697">
        <w:t xml:space="preserve">con arreglo al Derecho español, estaban vigentes los límites de indemnización del Convenio de </w:t>
      </w:r>
      <w:r w:rsidR="008B7106" w:rsidRPr="00F64697">
        <w:lastRenderedPageBreak/>
        <w:t>Responsabilidad Civil de 1992, incorporado a nuestro ordenamiento jurídico</w:t>
      </w:r>
      <w:r w:rsidR="00011F2C">
        <w:t xml:space="preserve">. Tal y </w:t>
      </w:r>
      <w:r w:rsidR="008B7106" w:rsidRPr="008B7106">
        <w:t>como afirmaba la sentencia de la Audiencia Provincial de A Coruña, que el Tribunal Supremo casa y anula.</w:t>
      </w:r>
    </w:p>
    <w:p w14:paraId="74CC6152" w14:textId="2965506C" w:rsidR="00D7315A" w:rsidRDefault="008B7106" w:rsidP="008B7106">
      <w:pPr>
        <w:spacing w:before="120" w:after="120" w:line="240" w:lineRule="auto"/>
        <w:jc w:val="both"/>
        <w:rPr>
          <w:sz w:val="24"/>
          <w:szCs w:val="24"/>
        </w:rPr>
      </w:pPr>
      <w:r w:rsidRPr="008B7106">
        <w:rPr>
          <w:sz w:val="24"/>
          <w:szCs w:val="24"/>
        </w:rPr>
        <w:t>Finalmente, el Tribunal Supremo añade que, “</w:t>
      </w:r>
      <w:r w:rsidRPr="008B7106">
        <w:rPr>
          <w:i/>
          <w:iCs/>
          <w:sz w:val="24"/>
          <w:szCs w:val="24"/>
        </w:rPr>
        <w:t xml:space="preserve">Además su actuación al constituir el fondo de garantía previsto en el CLC92 </w:t>
      </w:r>
      <w:r w:rsidRPr="008B7106">
        <w:rPr>
          <w:sz w:val="24"/>
          <w:szCs w:val="24"/>
        </w:rPr>
        <w:t>(</w:t>
      </w:r>
      <w:r w:rsidRPr="008B7106">
        <w:rPr>
          <w:i/>
          <w:iCs/>
          <w:sz w:val="24"/>
          <w:szCs w:val="24"/>
        </w:rPr>
        <w:t>sic</w:t>
      </w:r>
      <w:r w:rsidRPr="008B7106">
        <w:rPr>
          <w:sz w:val="24"/>
          <w:szCs w:val="24"/>
        </w:rPr>
        <w:t xml:space="preserve"> Convenio de Responsabilidad Civil de 1992)</w:t>
      </w:r>
      <w:r w:rsidRPr="008B7106">
        <w:rPr>
          <w:i/>
          <w:iCs/>
          <w:sz w:val="24"/>
          <w:szCs w:val="24"/>
        </w:rPr>
        <w:t xml:space="preserve"> en principio desborda los perfiles tradicionales de los seguros P&amp;I, en cuanto que no se ha limitado a restituir a la asegurada el pago que ella hubiera hecho (pay to be paid), sino que ha efectuado el desembolso para hacer frente a las acciones directas de los perjudicados</w:t>
      </w:r>
      <w:r w:rsidRPr="008B7106">
        <w:rPr>
          <w:sz w:val="24"/>
          <w:szCs w:val="24"/>
        </w:rPr>
        <w:t xml:space="preserve">”. </w:t>
      </w:r>
      <w:r w:rsidR="00D7315A">
        <w:rPr>
          <w:sz w:val="24"/>
          <w:szCs w:val="24"/>
        </w:rPr>
        <w:t xml:space="preserve">En realidad, el Convenio de Responsabilidad Civil de 1992 reconoce que el perjudicado tiene acción directa contra el asegurador hasta el límite de la indemnización. </w:t>
      </w:r>
      <w:r w:rsidR="0065463A">
        <w:rPr>
          <w:sz w:val="24"/>
          <w:szCs w:val="24"/>
        </w:rPr>
        <w:t>Ninguna regla de pago previo por el asegurado es oponible hasta el límite de la indemnización. El Convenio c</w:t>
      </w:r>
      <w:r w:rsidR="00D7315A">
        <w:rPr>
          <w:sz w:val="24"/>
          <w:szCs w:val="24"/>
        </w:rPr>
        <w:t>rea una obligación legal de pago a cargo del asegurador del propietario del buque petrolero, precisamente para garantizar que al menos el perjudicado/s cobra hasta los límites legales que fija dicho Convenio. Es verdad que su art. V identifica al propietario del buque como la persona obligada a depositar el fondo de indemnización y no prevé que lo deposite directamente su asegurador. Sin embargo, el asegurador tiene responsabilidad legal y directa frente al perjudicado. En contrario, si el asegurador no hubiese hecho el pago inmediato</w:t>
      </w:r>
      <w:r w:rsidR="0065463A">
        <w:rPr>
          <w:sz w:val="24"/>
          <w:szCs w:val="24"/>
        </w:rPr>
        <w:t xml:space="preserve"> hasta los límites de la indemnización</w:t>
      </w:r>
      <w:r w:rsidR="00D7315A">
        <w:rPr>
          <w:sz w:val="24"/>
          <w:szCs w:val="24"/>
        </w:rPr>
        <w:t xml:space="preserve">, </w:t>
      </w:r>
      <w:r w:rsidR="0065463A">
        <w:rPr>
          <w:sz w:val="24"/>
          <w:szCs w:val="24"/>
        </w:rPr>
        <w:t>el</w:t>
      </w:r>
      <w:r w:rsidR="00D7315A">
        <w:rPr>
          <w:sz w:val="24"/>
          <w:szCs w:val="24"/>
        </w:rPr>
        <w:t xml:space="preserve"> perjudicado </w:t>
      </w:r>
      <w:r w:rsidR="0065463A">
        <w:rPr>
          <w:sz w:val="24"/>
          <w:szCs w:val="24"/>
        </w:rPr>
        <w:t>tiene siempre acción directa. El adelanto de la indemnización hasta el limite fijado en el Convenio (“</w:t>
      </w:r>
      <w:r w:rsidR="0065463A" w:rsidRPr="0065463A">
        <w:rPr>
          <w:i/>
          <w:iCs/>
          <w:sz w:val="24"/>
          <w:szCs w:val="24"/>
        </w:rPr>
        <w:t>CLC-claims</w:t>
      </w:r>
      <w:r w:rsidR="0065463A">
        <w:rPr>
          <w:sz w:val="24"/>
          <w:szCs w:val="24"/>
        </w:rPr>
        <w:t xml:space="preserve">”) hizo innecesaria la acción directa.  </w:t>
      </w:r>
    </w:p>
    <w:p w14:paraId="26A49CCC" w14:textId="55373A6A" w:rsidR="008B7106" w:rsidRPr="008B7106" w:rsidRDefault="0065463A" w:rsidP="0065463A">
      <w:pPr>
        <w:spacing w:before="120" w:after="120" w:line="240" w:lineRule="auto"/>
        <w:jc w:val="both"/>
        <w:rPr>
          <w:sz w:val="24"/>
          <w:szCs w:val="24"/>
        </w:rPr>
      </w:pPr>
      <w:r>
        <w:rPr>
          <w:sz w:val="24"/>
          <w:szCs w:val="24"/>
        </w:rPr>
        <w:t>Sin embargo, aquí no se discutía judicialmente el pago hasta los límites de indemnización del Convenio de Responsabilidad Civil de 1992 (los 22,7 millones de euros citados y ya abonados), sino la posibilidad de que el asegurador pagase por encima de dicha cuantía y hasta el límite de la suma asegurada en el contrato de seguro P&amp;I. Para este exceso, e</w:t>
      </w:r>
      <w:r w:rsidR="008B7106" w:rsidRPr="008B7106">
        <w:rPr>
          <w:sz w:val="24"/>
          <w:szCs w:val="24"/>
        </w:rPr>
        <w:t xml:space="preserve">l club P&amp;I no renuncia a la regla del pago previo prevista en el contrato de seguro P&amp;I. </w:t>
      </w:r>
      <w:r w:rsidRPr="008B7106">
        <w:rPr>
          <w:sz w:val="24"/>
          <w:szCs w:val="24"/>
        </w:rPr>
        <w:t>Para cualquier reclamación por encima de los límites de indemnizaciones sancionados en el Convenio de Responsabilidad Civil de 1992</w:t>
      </w:r>
      <w:r>
        <w:rPr>
          <w:sz w:val="24"/>
          <w:szCs w:val="24"/>
        </w:rPr>
        <w:t xml:space="preserve"> (“</w:t>
      </w:r>
      <w:r w:rsidRPr="0065463A">
        <w:rPr>
          <w:i/>
          <w:iCs/>
          <w:sz w:val="24"/>
          <w:szCs w:val="24"/>
        </w:rPr>
        <w:t>non-CLC claims</w:t>
      </w:r>
      <w:r>
        <w:rPr>
          <w:sz w:val="24"/>
          <w:szCs w:val="24"/>
        </w:rPr>
        <w:t>”)</w:t>
      </w:r>
      <w:r w:rsidRPr="008B7106">
        <w:rPr>
          <w:sz w:val="24"/>
          <w:szCs w:val="24"/>
        </w:rPr>
        <w:t>,</w:t>
      </w:r>
      <w:r>
        <w:rPr>
          <w:sz w:val="24"/>
          <w:szCs w:val="24"/>
        </w:rPr>
        <w:t xml:space="preserve"> que el asegurado no haya pagado previamente la indemnización al perjudicado es una línea de defensa a la cual el club P&amp;I no ha renunciado ni expresa ni tácitamente en ningún momento. </w:t>
      </w:r>
    </w:p>
    <w:p w14:paraId="1C2BF1E7" w14:textId="20E8239C" w:rsidR="00BB31A4" w:rsidRPr="00F64697" w:rsidRDefault="0087782D" w:rsidP="008B7106">
      <w:pPr>
        <w:spacing w:before="120" w:after="120" w:line="240" w:lineRule="auto"/>
        <w:jc w:val="both"/>
        <w:rPr>
          <w:rFonts w:cs="Times New Roman"/>
          <w:sz w:val="24"/>
          <w:szCs w:val="24"/>
        </w:rPr>
      </w:pPr>
      <w:r w:rsidRPr="008B7106">
        <w:rPr>
          <w:rFonts w:cs="Times New Roman"/>
          <w:sz w:val="24"/>
          <w:szCs w:val="24"/>
        </w:rPr>
        <w:t xml:space="preserve">4) El </w:t>
      </w:r>
      <w:r w:rsidR="00011F2C" w:rsidRPr="00011F2C">
        <w:rPr>
          <w:rFonts w:cs="Times New Roman"/>
          <w:sz w:val="24"/>
          <w:szCs w:val="24"/>
        </w:rPr>
        <w:t xml:space="preserve">Fondo Internacional de Indemnización de daños debidos a contaminación por hidrocarburos </w:t>
      </w:r>
      <w:r w:rsidR="00BB31A4" w:rsidRPr="008B7106">
        <w:rPr>
          <w:rFonts w:cs="Times New Roman"/>
          <w:sz w:val="24"/>
          <w:szCs w:val="24"/>
        </w:rPr>
        <w:t>(</w:t>
      </w:r>
      <w:r w:rsidR="00011F2C">
        <w:rPr>
          <w:rFonts w:cs="Times New Roman"/>
          <w:sz w:val="24"/>
          <w:szCs w:val="24"/>
        </w:rPr>
        <w:t xml:space="preserve">FIDAC, o </w:t>
      </w:r>
      <w:r w:rsidR="00BB31A4" w:rsidRPr="008B7106">
        <w:rPr>
          <w:rFonts w:cs="Times New Roman"/>
          <w:i/>
          <w:iCs/>
          <w:sz w:val="24"/>
          <w:szCs w:val="24"/>
        </w:rPr>
        <w:t>International Oil Pollution Compensation</w:t>
      </w:r>
      <w:r w:rsidR="00BB31A4" w:rsidRPr="00F64697">
        <w:rPr>
          <w:rFonts w:cs="Times New Roman"/>
          <w:i/>
          <w:iCs/>
          <w:sz w:val="24"/>
          <w:szCs w:val="24"/>
        </w:rPr>
        <w:t xml:space="preserve"> Funds </w:t>
      </w:r>
      <w:r w:rsidR="00BB31A4" w:rsidRPr="00F64697">
        <w:rPr>
          <w:rFonts w:cs="Times New Roman"/>
          <w:sz w:val="24"/>
          <w:szCs w:val="24"/>
        </w:rPr>
        <w:t xml:space="preserve">o el acrónimo </w:t>
      </w:r>
      <w:r w:rsidR="00BB31A4" w:rsidRPr="00F64697">
        <w:rPr>
          <w:rFonts w:cs="Times New Roman"/>
          <w:i/>
          <w:iCs/>
          <w:sz w:val="24"/>
          <w:szCs w:val="24"/>
        </w:rPr>
        <w:t>IOPC Funds</w:t>
      </w:r>
      <w:r w:rsidR="00BB31A4" w:rsidRPr="00F64697">
        <w:rPr>
          <w:rFonts w:cs="Times New Roman"/>
          <w:sz w:val="24"/>
          <w:szCs w:val="24"/>
        </w:rPr>
        <w:t xml:space="preserve">) </w:t>
      </w:r>
      <w:r w:rsidRPr="00F64697">
        <w:rPr>
          <w:rFonts w:cs="Times New Roman"/>
          <w:sz w:val="24"/>
          <w:szCs w:val="24"/>
        </w:rPr>
        <w:t xml:space="preserve">es responsable hasta </w:t>
      </w:r>
      <w:r w:rsidR="00EE3611" w:rsidRPr="00F64697">
        <w:rPr>
          <w:rFonts w:cs="Times New Roman"/>
          <w:sz w:val="24"/>
          <w:szCs w:val="24"/>
        </w:rPr>
        <w:t>el</w:t>
      </w:r>
      <w:r w:rsidR="00E53898" w:rsidRPr="00F64697">
        <w:rPr>
          <w:rFonts w:cs="Times New Roman"/>
          <w:sz w:val="24"/>
          <w:szCs w:val="24"/>
        </w:rPr>
        <w:t xml:space="preserve"> límite establecido en el Convenio del Fondo de 1992.</w:t>
      </w:r>
      <w:r w:rsidR="00F52ECE" w:rsidRPr="00F64697">
        <w:rPr>
          <w:rFonts w:cs="Times New Roman"/>
          <w:sz w:val="24"/>
          <w:szCs w:val="24"/>
        </w:rPr>
        <w:t xml:space="preserve"> </w:t>
      </w:r>
      <w:r w:rsidR="00BB31A4" w:rsidRPr="00F64697">
        <w:rPr>
          <w:rFonts w:cs="Times New Roman"/>
          <w:sz w:val="24"/>
          <w:szCs w:val="24"/>
        </w:rPr>
        <w:t>El ha abonado, en complemento al fondo de indemnización del club P&amp;I, y de forma escalada en el tiempo la cuantía de 147,9 millones de euros</w:t>
      </w:r>
      <w:r w:rsidR="00BB31A4" w:rsidRPr="00F64697">
        <w:rPr>
          <w:rStyle w:val="Refdenotaalpie"/>
          <w:rFonts w:cs="Times New Roman"/>
          <w:sz w:val="24"/>
          <w:szCs w:val="24"/>
        </w:rPr>
        <w:footnoteReference w:id="10"/>
      </w:r>
      <w:r w:rsidR="00BB31A4" w:rsidRPr="00F64697">
        <w:rPr>
          <w:rFonts w:cs="Times New Roman"/>
          <w:sz w:val="24"/>
          <w:szCs w:val="24"/>
        </w:rPr>
        <w:t xml:space="preserve">. La cuantía total de la indemnización pagadera por el FIDAC está limitada también, en relación con un suceso cualquiera. La suma total de dicha cuantía y la cuantía de indemnización efectivamente pagada en virtud del Convenio de Responsabilidad Civil de 1992, respecto de los daños ocasionados por contaminación que queden comprendidos en el ámbito del Convenio internacional sobre la constitución de un fondo internacional de indemnización de daños debidos a contaminación por hidrocarburos, 1992 (en adelante, </w:t>
      </w:r>
      <w:r w:rsidR="00BB31A4" w:rsidRPr="00F64697">
        <w:rPr>
          <w:rFonts w:cs="Times New Roman"/>
          <w:i/>
          <w:iCs/>
          <w:sz w:val="24"/>
          <w:szCs w:val="24"/>
        </w:rPr>
        <w:t>Convenio del Fondo de 1992</w:t>
      </w:r>
      <w:r w:rsidR="00BB31A4" w:rsidRPr="00F64697">
        <w:rPr>
          <w:rFonts w:cs="Times New Roman"/>
          <w:sz w:val="24"/>
          <w:szCs w:val="24"/>
        </w:rPr>
        <w:t>)</w:t>
      </w:r>
      <w:r w:rsidR="00BB31A4" w:rsidRPr="00F64697">
        <w:rPr>
          <w:rFonts w:cs="Times New Roman"/>
          <w:sz w:val="24"/>
          <w:szCs w:val="24"/>
          <w:vertAlign w:val="superscript"/>
        </w:rPr>
        <w:footnoteReference w:id="11"/>
      </w:r>
      <w:r w:rsidR="00BB31A4" w:rsidRPr="00F64697">
        <w:rPr>
          <w:rFonts w:cs="Times New Roman"/>
          <w:sz w:val="24"/>
          <w:szCs w:val="24"/>
        </w:rPr>
        <w:t xml:space="preserve">, no puede exceder de 203 millones unidades de cuenta (art. 4.4.a). Los límites </w:t>
      </w:r>
      <w:r w:rsidR="00BB31A4" w:rsidRPr="00F64697">
        <w:rPr>
          <w:rFonts w:cs="Times New Roman"/>
          <w:sz w:val="24"/>
          <w:szCs w:val="24"/>
        </w:rPr>
        <w:lastRenderedPageBreak/>
        <w:t xml:space="preserve">indemnizatorios del Convenio del Fondo de 1992 también se calculan con arreglo a las unidades de cuenta, que se corresponde con los Derechos Especiales de Giro del Fondo Monetario Internacional (art. 1.4). El Convenio del Fondo de 1992 nace de la voluntad de garantizar una indemnización adicional, de segundo tramo, a la previa del propietario del buque y su asegurador o garante cuando ésta no garantiza la reparación íntegra de los daños causados por contaminación marítima por hidrocarburos. Al efecto, varios Estados han creado una entidad con personalidad jurídica propia, el FIDAC. Se sufraga con las aportaciones </w:t>
      </w:r>
      <w:r w:rsidR="00461744">
        <w:rPr>
          <w:rFonts w:cs="Times New Roman"/>
          <w:sz w:val="24"/>
          <w:szCs w:val="24"/>
        </w:rPr>
        <w:t xml:space="preserve">de las empresas petroleras ubicada en </w:t>
      </w:r>
      <w:r w:rsidR="00BB31A4" w:rsidRPr="00F64697">
        <w:rPr>
          <w:rFonts w:cs="Times New Roman"/>
          <w:sz w:val="24"/>
          <w:szCs w:val="24"/>
        </w:rPr>
        <w:t xml:space="preserve">cada Estado miembro </w:t>
      </w:r>
      <w:r w:rsidR="00461744">
        <w:rPr>
          <w:rFonts w:cs="Times New Roman"/>
          <w:sz w:val="24"/>
          <w:szCs w:val="24"/>
        </w:rPr>
        <w:t xml:space="preserve">y </w:t>
      </w:r>
      <w:r w:rsidR="00BB31A4" w:rsidRPr="00F64697">
        <w:rPr>
          <w:rFonts w:cs="Times New Roman"/>
          <w:sz w:val="24"/>
          <w:szCs w:val="24"/>
        </w:rPr>
        <w:t>en proporción a la importación de hidrocarburos por vía marítima en su territorio.</w:t>
      </w:r>
      <w:r w:rsidR="00461744">
        <w:rPr>
          <w:rFonts w:cs="Times New Roman"/>
          <w:sz w:val="24"/>
          <w:szCs w:val="24"/>
        </w:rPr>
        <w:t xml:space="preserve"> </w:t>
      </w:r>
    </w:p>
    <w:p w14:paraId="7C08A6A7" w14:textId="74B286E4" w:rsidR="005F4B13" w:rsidRPr="00F64697" w:rsidRDefault="00461744" w:rsidP="00FC096A">
      <w:pPr>
        <w:autoSpaceDE w:val="0"/>
        <w:autoSpaceDN w:val="0"/>
        <w:adjustRightInd w:val="0"/>
        <w:spacing w:before="120" w:after="120" w:line="240" w:lineRule="auto"/>
        <w:jc w:val="both"/>
        <w:rPr>
          <w:rStyle w:val="DeltaViewInsertion"/>
          <w:rFonts w:cs="Times New Roman"/>
          <w:color w:val="auto"/>
          <w:sz w:val="24"/>
          <w:szCs w:val="24"/>
          <w:u w:val="none"/>
        </w:rPr>
      </w:pPr>
      <w:r>
        <w:rPr>
          <w:rFonts w:cs="Times New Roman"/>
          <w:sz w:val="24"/>
          <w:szCs w:val="24"/>
        </w:rPr>
        <w:t>La</w:t>
      </w:r>
      <w:r w:rsidR="00F67E44" w:rsidRPr="00F64697">
        <w:rPr>
          <w:rFonts w:cs="Times New Roman"/>
          <w:sz w:val="24"/>
          <w:szCs w:val="24"/>
        </w:rPr>
        <w:t xml:space="preserve"> sentencia del</w:t>
      </w:r>
      <w:r w:rsidR="005F4B13" w:rsidRPr="00F64697">
        <w:rPr>
          <w:rFonts w:cs="Times New Roman"/>
          <w:sz w:val="24"/>
          <w:szCs w:val="24"/>
        </w:rPr>
        <w:t xml:space="preserve"> Tribunal Supremo de 14 de enero de 2016 </w:t>
      </w:r>
      <w:r>
        <w:rPr>
          <w:rFonts w:cs="Times New Roman"/>
          <w:sz w:val="24"/>
          <w:szCs w:val="24"/>
        </w:rPr>
        <w:t xml:space="preserve">no establece qué debe cobrar a cada perjudicado a cargo de cada demandado, ni cómo se distribuye el depósito de 22,7 millones de euros. </w:t>
      </w:r>
      <w:r w:rsidR="00B43C4B">
        <w:rPr>
          <w:rFonts w:cs="Times New Roman"/>
          <w:sz w:val="24"/>
          <w:szCs w:val="24"/>
        </w:rPr>
        <w:t>S</w:t>
      </w:r>
      <w:r>
        <w:rPr>
          <w:rFonts w:cs="Times New Roman"/>
          <w:sz w:val="24"/>
          <w:szCs w:val="24"/>
        </w:rPr>
        <w:t xml:space="preserve">ólo </w:t>
      </w:r>
      <w:r w:rsidR="005F4B13" w:rsidRPr="00F64697">
        <w:rPr>
          <w:rFonts w:cs="Times New Roman"/>
          <w:sz w:val="24"/>
          <w:szCs w:val="24"/>
        </w:rPr>
        <w:t xml:space="preserve">fija los criterios de cálculo de las indemnizaciones debidas en concepto de responsabilidad civil. La cuantificación exacta </w:t>
      </w:r>
      <w:r w:rsidR="00FD24E9">
        <w:rPr>
          <w:rFonts w:cs="Times New Roman"/>
          <w:sz w:val="24"/>
          <w:szCs w:val="24"/>
        </w:rPr>
        <w:t>para</w:t>
      </w:r>
      <w:r w:rsidR="005F4B13" w:rsidRPr="00F64697">
        <w:rPr>
          <w:rFonts w:cs="Times New Roman"/>
          <w:sz w:val="24"/>
          <w:szCs w:val="24"/>
        </w:rPr>
        <w:t xml:space="preserve"> abonar por cada responsable y la indemnización debida a cada perjudicado es el objeto del proceso ejecutivo seguido ante la Audiencia Provincial de A Coruña</w:t>
      </w:r>
      <w:r w:rsidR="005F4B13" w:rsidRPr="00F64697">
        <w:rPr>
          <w:rStyle w:val="Refdenotaalpie"/>
          <w:rFonts w:cs="Times New Roman"/>
          <w:sz w:val="24"/>
          <w:szCs w:val="24"/>
        </w:rPr>
        <w:footnoteReference w:id="12"/>
      </w:r>
      <w:r w:rsidR="005F4B13" w:rsidRPr="00F64697">
        <w:rPr>
          <w:rFonts w:cs="Times New Roman"/>
          <w:sz w:val="24"/>
          <w:szCs w:val="24"/>
        </w:rPr>
        <w:t>.</w:t>
      </w:r>
      <w:r w:rsidR="007455DF" w:rsidRPr="00F64697">
        <w:rPr>
          <w:rFonts w:cs="Times New Roman"/>
          <w:sz w:val="24"/>
          <w:szCs w:val="24"/>
        </w:rPr>
        <w:t xml:space="preserve"> </w:t>
      </w:r>
      <w:r w:rsidR="005F4B13" w:rsidRPr="00F64697">
        <w:rPr>
          <w:rFonts w:cs="Times New Roman"/>
          <w:sz w:val="24"/>
          <w:szCs w:val="24"/>
        </w:rPr>
        <w:t>Ha habido varias resoluciones en este proceso ejecutivo. El auto de la Audiencia Provincial de A Coruña de 15 de noviembre de 2017 (rectificado por auto de 11 de enero de 2018) fija los términos de la indemnización de cada afectado</w:t>
      </w:r>
      <w:r w:rsidR="005F4B13" w:rsidRPr="00F64697">
        <w:rPr>
          <w:rFonts w:cs="Times New Roman"/>
          <w:sz w:val="24"/>
          <w:szCs w:val="24"/>
          <w:vertAlign w:val="superscript"/>
        </w:rPr>
        <w:footnoteReference w:id="13"/>
      </w:r>
      <w:r w:rsidR="005F4B13" w:rsidRPr="00F64697">
        <w:rPr>
          <w:rFonts w:cs="Times New Roman"/>
          <w:sz w:val="24"/>
          <w:szCs w:val="24"/>
        </w:rPr>
        <w:t>. Luego, el Tribunal Supremo, mediante sentencia de 19 de diciembre de 2018</w:t>
      </w:r>
      <w:r w:rsidR="005F4B13" w:rsidRPr="00F64697">
        <w:rPr>
          <w:rFonts w:cs="Times New Roman"/>
          <w:sz w:val="24"/>
          <w:szCs w:val="24"/>
          <w:vertAlign w:val="superscript"/>
        </w:rPr>
        <w:footnoteReference w:id="14"/>
      </w:r>
      <w:r w:rsidR="005F4B13" w:rsidRPr="00F64697">
        <w:rPr>
          <w:rFonts w:cs="Times New Roman"/>
          <w:sz w:val="24"/>
          <w:szCs w:val="24"/>
        </w:rPr>
        <w:t xml:space="preserve">, anula parcialmente dicho auto, con pronunciamientos que sustituyen lo dispuesto en el mismo. </w:t>
      </w:r>
      <w:r w:rsidR="00B43C4B">
        <w:rPr>
          <w:rFonts w:cs="Times New Roman"/>
          <w:sz w:val="24"/>
          <w:szCs w:val="24"/>
        </w:rPr>
        <w:t>Sin embargo, l</w:t>
      </w:r>
      <w:r w:rsidR="005F4B13" w:rsidRPr="00F64697">
        <w:rPr>
          <w:rFonts w:cs="Times New Roman"/>
          <w:sz w:val="24"/>
          <w:szCs w:val="24"/>
        </w:rPr>
        <w:t>a resolución principal en el proceso ejecutivo es</w:t>
      </w:r>
      <w:r w:rsidR="00B61EE3" w:rsidRPr="00F64697">
        <w:rPr>
          <w:rFonts w:cs="Times New Roman"/>
          <w:sz w:val="24"/>
          <w:szCs w:val="24"/>
        </w:rPr>
        <w:t>pañol</w:t>
      </w:r>
      <w:r w:rsidR="005F4B13" w:rsidRPr="00F64697">
        <w:rPr>
          <w:rFonts w:cs="Times New Roman"/>
          <w:sz w:val="24"/>
          <w:szCs w:val="24"/>
        </w:rPr>
        <w:t xml:space="preserve"> </w:t>
      </w:r>
      <w:r w:rsidR="00B61EE3" w:rsidRPr="00F64697">
        <w:rPr>
          <w:rFonts w:cs="Times New Roman"/>
          <w:sz w:val="24"/>
          <w:szCs w:val="24"/>
        </w:rPr>
        <w:t xml:space="preserve">es </w:t>
      </w:r>
      <w:r w:rsidR="005F4B13" w:rsidRPr="00F64697">
        <w:rPr>
          <w:rFonts w:cs="Times New Roman"/>
          <w:sz w:val="24"/>
          <w:szCs w:val="24"/>
        </w:rPr>
        <w:t xml:space="preserve">el </w:t>
      </w:r>
      <w:r w:rsidR="005F4B13" w:rsidRPr="00F64697">
        <w:rPr>
          <w:rFonts w:cs="Times New Roman"/>
          <w:i/>
          <w:iCs/>
          <w:sz w:val="24"/>
          <w:szCs w:val="24"/>
        </w:rPr>
        <w:t>auto de la Audiencia Provincial A Coruña de 1 de marzo de 2019</w:t>
      </w:r>
      <w:r w:rsidR="00B61EE3" w:rsidRPr="00F64697">
        <w:rPr>
          <w:rStyle w:val="Refdenotaalpie"/>
          <w:rFonts w:cs="Times New Roman"/>
          <w:sz w:val="24"/>
          <w:szCs w:val="24"/>
        </w:rPr>
        <w:footnoteReference w:id="15"/>
      </w:r>
      <w:r w:rsidR="00F67E44" w:rsidRPr="00F64697">
        <w:rPr>
          <w:rFonts w:cs="Times New Roman"/>
          <w:sz w:val="24"/>
          <w:szCs w:val="24"/>
        </w:rPr>
        <w:t>.</w:t>
      </w:r>
      <w:r w:rsidR="00B61EE3" w:rsidRPr="00F64697">
        <w:rPr>
          <w:sz w:val="24"/>
          <w:szCs w:val="24"/>
        </w:rPr>
        <w:t xml:space="preserve"> </w:t>
      </w:r>
      <w:r w:rsidR="00FC096A" w:rsidRPr="00F64697">
        <w:rPr>
          <w:rFonts w:cs="Times New Roman"/>
          <w:sz w:val="24"/>
          <w:szCs w:val="24"/>
        </w:rPr>
        <w:t>C</w:t>
      </w:r>
      <w:r w:rsidR="005F4B13" w:rsidRPr="00F64697">
        <w:rPr>
          <w:rFonts w:cs="Times New Roman"/>
          <w:sz w:val="24"/>
          <w:szCs w:val="24"/>
        </w:rPr>
        <w:t>uantifica las indemnizaciones debidas a los afectados por la contaminación ocasionada por el siniestro del buque “Prestige”</w:t>
      </w:r>
      <w:r w:rsidR="00887DBC" w:rsidRPr="00F64697">
        <w:rPr>
          <w:rFonts w:cs="Times New Roman"/>
          <w:sz w:val="24"/>
          <w:szCs w:val="24"/>
        </w:rPr>
        <w:t xml:space="preserve">: </w:t>
      </w:r>
      <w:r w:rsidR="005F4B13" w:rsidRPr="00F64697">
        <w:rPr>
          <w:rFonts w:cs="Times New Roman"/>
          <w:sz w:val="24"/>
          <w:szCs w:val="24"/>
        </w:rPr>
        <w:t xml:space="preserve">Estado </w:t>
      </w:r>
      <w:r w:rsidR="00DA2396" w:rsidRPr="00F64697">
        <w:rPr>
          <w:rFonts w:cs="Times New Roman"/>
          <w:sz w:val="24"/>
          <w:szCs w:val="24"/>
        </w:rPr>
        <w:t>e</w:t>
      </w:r>
      <w:r w:rsidR="005F4B13" w:rsidRPr="00F64697">
        <w:rPr>
          <w:rFonts w:cs="Times New Roman"/>
          <w:sz w:val="24"/>
          <w:szCs w:val="24"/>
        </w:rPr>
        <w:t>spañol</w:t>
      </w:r>
      <w:r w:rsidR="00887DBC" w:rsidRPr="00F64697">
        <w:rPr>
          <w:rFonts w:cs="Times New Roman"/>
          <w:sz w:val="24"/>
          <w:szCs w:val="24"/>
        </w:rPr>
        <w:t>:</w:t>
      </w:r>
      <w:r w:rsidR="005F4B13" w:rsidRPr="00F64697">
        <w:rPr>
          <w:rFonts w:cs="Times New Roman"/>
          <w:sz w:val="24"/>
          <w:szCs w:val="24"/>
        </w:rPr>
        <w:t xml:space="preserve"> 2.355 millones de euros; Estado francés, 61 millones de euros; Gobierno de Galicia, 1,8 millones de euros;</w:t>
      </w:r>
      <w:r w:rsidR="00FC096A" w:rsidRPr="00F64697">
        <w:rPr>
          <w:rFonts w:cs="Times New Roman"/>
          <w:sz w:val="24"/>
          <w:szCs w:val="24"/>
        </w:rPr>
        <w:t xml:space="preserve"> n</w:t>
      </w:r>
      <w:r w:rsidR="005F4B13" w:rsidRPr="00F64697">
        <w:rPr>
          <w:rFonts w:cs="Times New Roman"/>
          <w:sz w:val="24"/>
          <w:szCs w:val="24"/>
        </w:rPr>
        <w:t xml:space="preserve">umerosísimas indemnizaciones de menor cuantía a favor de empresas de pesca, de turismo, así como a municipios y consejos provinciales franceses. </w:t>
      </w:r>
    </w:p>
    <w:p w14:paraId="72EE51CC" w14:textId="7A15307D" w:rsidR="005F4B13" w:rsidRPr="00F64697" w:rsidRDefault="00887DBC" w:rsidP="00887DBC">
      <w:pPr>
        <w:spacing w:before="120" w:after="120" w:line="240" w:lineRule="auto"/>
        <w:jc w:val="both"/>
        <w:rPr>
          <w:rFonts w:cs="Times New Roman"/>
          <w:sz w:val="24"/>
          <w:szCs w:val="24"/>
        </w:rPr>
      </w:pPr>
      <w:r w:rsidRPr="00F64697">
        <w:rPr>
          <w:rFonts w:cs="Times New Roman"/>
          <w:sz w:val="24"/>
          <w:szCs w:val="24"/>
        </w:rPr>
        <w:t>E</w:t>
      </w:r>
      <w:r w:rsidR="005F4B13" w:rsidRPr="00F64697">
        <w:rPr>
          <w:rFonts w:cs="Times New Roman"/>
          <w:sz w:val="24"/>
          <w:szCs w:val="24"/>
        </w:rPr>
        <w:t xml:space="preserve">l auto de la Audiencia Provincial de A Coruña de 1 de marzo de 2019 también cuantifica el importe </w:t>
      </w:r>
      <w:r w:rsidRPr="00F64697">
        <w:rPr>
          <w:rFonts w:cs="Times New Roman"/>
          <w:sz w:val="24"/>
          <w:szCs w:val="24"/>
        </w:rPr>
        <w:t>de la condena dineraria a</w:t>
      </w:r>
      <w:r w:rsidR="00F67E44" w:rsidRPr="00F64697">
        <w:rPr>
          <w:rFonts w:cs="Times New Roman"/>
          <w:sz w:val="24"/>
          <w:szCs w:val="24"/>
        </w:rPr>
        <w:t xml:space="preserve">l club </w:t>
      </w:r>
      <w:r w:rsidR="005F4B13" w:rsidRPr="00F64697">
        <w:rPr>
          <w:rFonts w:cs="Times New Roman"/>
          <w:sz w:val="24"/>
          <w:szCs w:val="24"/>
        </w:rPr>
        <w:t>P&amp;I</w:t>
      </w:r>
      <w:r w:rsidRPr="00F64697">
        <w:rPr>
          <w:rFonts w:cs="Times New Roman"/>
          <w:sz w:val="24"/>
          <w:szCs w:val="24"/>
        </w:rPr>
        <w:t xml:space="preserve"> y que está pendiente de pago</w:t>
      </w:r>
      <w:r w:rsidR="005F4B13" w:rsidRPr="00F64697">
        <w:rPr>
          <w:rFonts w:cs="Times New Roman"/>
          <w:sz w:val="24"/>
          <w:szCs w:val="24"/>
        </w:rPr>
        <w:t>: 855.493.575,65 euros. Corresponde a la conversión en euros del “</w:t>
      </w:r>
      <w:r w:rsidR="005F4B13" w:rsidRPr="00F64697">
        <w:rPr>
          <w:rFonts w:cs="Times New Roman"/>
          <w:i/>
          <w:iCs/>
          <w:sz w:val="24"/>
          <w:szCs w:val="24"/>
        </w:rPr>
        <w:t>one billion dollars</w:t>
      </w:r>
      <w:r w:rsidR="005F4B13" w:rsidRPr="00F64697">
        <w:rPr>
          <w:rFonts w:cs="Times New Roman"/>
          <w:sz w:val="24"/>
          <w:szCs w:val="24"/>
        </w:rPr>
        <w:t xml:space="preserve">” (1.000 millones de dólares). Se resta el fondo de indemnización depositado ya por el club P&amp;I conforme al Convenio de Responsabilidad Civil de 1992 (22,7 millones de euros). </w:t>
      </w:r>
    </w:p>
    <w:p w14:paraId="3B1BB168" w14:textId="77777777" w:rsidR="00334FEC" w:rsidRPr="00F64697" w:rsidRDefault="00334FEC" w:rsidP="00E17EC6">
      <w:pPr>
        <w:spacing w:before="120" w:after="120" w:line="240" w:lineRule="auto"/>
        <w:jc w:val="both"/>
        <w:rPr>
          <w:rFonts w:cs="Times New Roman"/>
          <w:b/>
          <w:bCs/>
          <w:sz w:val="24"/>
          <w:szCs w:val="24"/>
        </w:rPr>
      </w:pPr>
    </w:p>
    <w:p w14:paraId="4593DCD3" w14:textId="3112B77A" w:rsidR="003A0964" w:rsidRPr="00F64697" w:rsidRDefault="00FC096A" w:rsidP="00FC096A">
      <w:pPr>
        <w:pStyle w:val="Prrafodelista"/>
        <w:numPr>
          <w:ilvl w:val="0"/>
          <w:numId w:val="42"/>
        </w:numPr>
        <w:spacing w:before="120" w:after="120" w:line="240" w:lineRule="auto"/>
        <w:jc w:val="both"/>
        <w:rPr>
          <w:rFonts w:cs="Times New Roman"/>
          <w:b/>
          <w:bCs/>
          <w:caps/>
          <w:sz w:val="24"/>
          <w:szCs w:val="24"/>
        </w:rPr>
      </w:pPr>
      <w:r w:rsidRPr="00F64697">
        <w:rPr>
          <w:rFonts w:cs="Times New Roman"/>
          <w:b/>
          <w:bCs/>
          <w:sz w:val="24"/>
          <w:szCs w:val="24"/>
        </w:rPr>
        <w:t>Procesos arbitral y judicial ingleses</w:t>
      </w:r>
      <w:r w:rsidR="00F64697">
        <w:rPr>
          <w:rFonts w:cs="Times New Roman"/>
          <w:b/>
          <w:bCs/>
          <w:sz w:val="24"/>
          <w:szCs w:val="24"/>
        </w:rPr>
        <w:t>: exoneración del asegurador de pago alguno por encima de los límites internacionales de indemnización</w:t>
      </w:r>
      <w:r w:rsidR="00B43C4B">
        <w:rPr>
          <w:rFonts w:cs="Times New Roman"/>
          <w:b/>
          <w:bCs/>
          <w:sz w:val="24"/>
          <w:szCs w:val="24"/>
        </w:rPr>
        <w:t xml:space="preserve"> y regla de pago previo de la indemnización a cargo del asegurado</w:t>
      </w:r>
    </w:p>
    <w:p w14:paraId="17628908" w14:textId="025A76F8" w:rsidR="005F4B13" w:rsidRPr="00F64697" w:rsidRDefault="005F4B13" w:rsidP="005F4B13">
      <w:pPr>
        <w:spacing w:before="120" w:after="120" w:line="240" w:lineRule="auto"/>
        <w:jc w:val="both"/>
        <w:rPr>
          <w:rFonts w:cs="Times New Roman"/>
          <w:sz w:val="24"/>
          <w:szCs w:val="24"/>
        </w:rPr>
      </w:pPr>
      <w:r w:rsidRPr="00F64697">
        <w:rPr>
          <w:rFonts w:cs="Times New Roman"/>
          <w:sz w:val="24"/>
          <w:szCs w:val="24"/>
        </w:rPr>
        <w:t>Mientras el proceso declarativo de la responsabilidad civil y penal est</w:t>
      </w:r>
      <w:r w:rsidR="00887DBC" w:rsidRPr="00F64697">
        <w:rPr>
          <w:rFonts w:cs="Times New Roman"/>
          <w:sz w:val="24"/>
          <w:szCs w:val="24"/>
        </w:rPr>
        <w:t>á</w:t>
      </w:r>
      <w:r w:rsidRPr="00F64697">
        <w:rPr>
          <w:rFonts w:cs="Times New Roman"/>
          <w:sz w:val="24"/>
          <w:szCs w:val="24"/>
        </w:rPr>
        <w:t xml:space="preserve"> en marcha </w:t>
      </w:r>
      <w:r w:rsidR="00FC096A" w:rsidRPr="00F64697">
        <w:rPr>
          <w:rFonts w:cs="Times New Roman"/>
          <w:sz w:val="24"/>
          <w:szCs w:val="24"/>
        </w:rPr>
        <w:t xml:space="preserve">ante la Audiencia Provincial de A Coruña </w:t>
      </w:r>
      <w:r w:rsidRPr="00F64697">
        <w:rPr>
          <w:rFonts w:cs="Times New Roman"/>
          <w:sz w:val="24"/>
          <w:szCs w:val="24"/>
        </w:rPr>
        <w:t xml:space="preserve">desde 2010, </w:t>
      </w:r>
      <w:r w:rsidR="00887DBC" w:rsidRPr="00F64697">
        <w:rPr>
          <w:rFonts w:cs="Times New Roman"/>
          <w:sz w:val="24"/>
          <w:szCs w:val="24"/>
        </w:rPr>
        <w:t xml:space="preserve">con </w:t>
      </w:r>
      <w:r w:rsidRPr="00F64697">
        <w:rPr>
          <w:rFonts w:cs="Times New Roman"/>
          <w:sz w:val="24"/>
          <w:szCs w:val="24"/>
        </w:rPr>
        <w:t xml:space="preserve">el club P&amp;I </w:t>
      </w:r>
      <w:r w:rsidR="00887DBC" w:rsidRPr="00F64697">
        <w:rPr>
          <w:rFonts w:cs="Times New Roman"/>
          <w:sz w:val="24"/>
          <w:szCs w:val="24"/>
        </w:rPr>
        <w:t xml:space="preserve">en rebeldía, éste </w:t>
      </w:r>
      <w:r w:rsidRPr="00F64697">
        <w:rPr>
          <w:rFonts w:cs="Times New Roman"/>
          <w:sz w:val="24"/>
          <w:szCs w:val="24"/>
        </w:rPr>
        <w:t xml:space="preserve">dispone una </w:t>
      </w:r>
      <w:r w:rsidRPr="00F64697">
        <w:rPr>
          <w:rFonts w:cs="Times New Roman"/>
          <w:i/>
          <w:iCs/>
          <w:sz w:val="24"/>
          <w:szCs w:val="24"/>
        </w:rPr>
        <w:t xml:space="preserve">estrategia procesal </w:t>
      </w:r>
      <w:r w:rsidR="00682538" w:rsidRPr="00F64697">
        <w:rPr>
          <w:rFonts w:cs="Times New Roman"/>
          <w:i/>
          <w:iCs/>
          <w:sz w:val="24"/>
          <w:szCs w:val="24"/>
        </w:rPr>
        <w:t xml:space="preserve">de defensa </w:t>
      </w:r>
      <w:r w:rsidRPr="00F64697">
        <w:rPr>
          <w:rFonts w:cs="Times New Roman"/>
          <w:sz w:val="24"/>
          <w:szCs w:val="24"/>
        </w:rPr>
        <w:t xml:space="preserve">encaminada a obstaculizar la futura posible condena </w:t>
      </w:r>
      <w:r w:rsidR="00110695" w:rsidRPr="00F64697">
        <w:rPr>
          <w:rFonts w:cs="Times New Roman"/>
          <w:sz w:val="24"/>
          <w:szCs w:val="24"/>
        </w:rPr>
        <w:lastRenderedPageBreak/>
        <w:t xml:space="preserve">en su contra </w:t>
      </w:r>
      <w:r w:rsidRPr="00F64697">
        <w:rPr>
          <w:rFonts w:cs="Times New Roman"/>
          <w:sz w:val="24"/>
          <w:szCs w:val="24"/>
        </w:rPr>
        <w:t>que recayese en el proceso judicial español</w:t>
      </w:r>
      <w:r w:rsidR="00682538" w:rsidRPr="00F64697">
        <w:rPr>
          <w:rStyle w:val="Refdenotaalpie"/>
          <w:rFonts w:cs="Times New Roman"/>
          <w:sz w:val="24"/>
          <w:szCs w:val="24"/>
        </w:rPr>
        <w:footnoteReference w:id="16"/>
      </w:r>
      <w:r w:rsidRPr="00F64697">
        <w:rPr>
          <w:rFonts w:cs="Times New Roman"/>
          <w:sz w:val="24"/>
          <w:szCs w:val="24"/>
        </w:rPr>
        <w:t xml:space="preserve">. </w:t>
      </w:r>
      <w:r w:rsidR="00110695" w:rsidRPr="00F64697">
        <w:rPr>
          <w:rFonts w:cs="Times New Roman"/>
          <w:sz w:val="24"/>
          <w:szCs w:val="24"/>
        </w:rPr>
        <w:t>Tiene dos fases, una arbitral y otra judicial.</w:t>
      </w:r>
      <w:r w:rsidR="00887DBC" w:rsidRPr="00F64697">
        <w:rPr>
          <w:rFonts w:cs="Times New Roman"/>
          <w:sz w:val="24"/>
          <w:szCs w:val="24"/>
        </w:rPr>
        <w:t xml:space="preserve"> </w:t>
      </w:r>
    </w:p>
    <w:p w14:paraId="23EAC21B" w14:textId="098C2B0A" w:rsidR="00110695" w:rsidRPr="00F64697" w:rsidRDefault="00110695" w:rsidP="005F4B13">
      <w:pPr>
        <w:spacing w:before="120" w:after="120" w:line="240" w:lineRule="auto"/>
        <w:jc w:val="both"/>
        <w:rPr>
          <w:sz w:val="24"/>
          <w:szCs w:val="24"/>
        </w:rPr>
      </w:pPr>
      <w:r w:rsidRPr="00F64697">
        <w:rPr>
          <w:rFonts w:cs="Times New Roman"/>
          <w:i/>
          <w:iCs/>
          <w:sz w:val="24"/>
          <w:szCs w:val="24"/>
        </w:rPr>
        <w:t>1ª</w:t>
      </w:r>
      <w:r w:rsidR="00887DBC" w:rsidRPr="00F64697">
        <w:rPr>
          <w:rFonts w:cs="Times New Roman"/>
          <w:i/>
          <w:iCs/>
          <w:sz w:val="24"/>
          <w:szCs w:val="24"/>
        </w:rPr>
        <w:t>.</w:t>
      </w:r>
      <w:r w:rsidRPr="00F64697">
        <w:rPr>
          <w:rFonts w:cs="Times New Roman"/>
          <w:i/>
          <w:iCs/>
          <w:sz w:val="24"/>
          <w:szCs w:val="24"/>
        </w:rPr>
        <w:t xml:space="preserve"> Fase</w:t>
      </w:r>
      <w:r w:rsidR="00887DBC" w:rsidRPr="00F64697">
        <w:rPr>
          <w:rFonts w:cs="Times New Roman"/>
          <w:i/>
          <w:iCs/>
          <w:sz w:val="24"/>
          <w:szCs w:val="24"/>
        </w:rPr>
        <w:t xml:space="preserve"> arbitral</w:t>
      </w:r>
      <w:r w:rsidRPr="00F64697">
        <w:rPr>
          <w:rFonts w:cs="Times New Roman"/>
          <w:i/>
          <w:iCs/>
          <w:sz w:val="24"/>
          <w:szCs w:val="24"/>
        </w:rPr>
        <w:t>.</w:t>
      </w:r>
      <w:r w:rsidRPr="00F64697">
        <w:rPr>
          <w:rFonts w:cs="Times New Roman"/>
          <w:sz w:val="24"/>
          <w:szCs w:val="24"/>
        </w:rPr>
        <w:t xml:space="preserve"> En enero de 2012</w:t>
      </w:r>
      <w:r w:rsidR="005F4B13" w:rsidRPr="00F64697">
        <w:rPr>
          <w:rFonts w:cs="Times New Roman"/>
          <w:sz w:val="24"/>
          <w:szCs w:val="24"/>
        </w:rPr>
        <w:t xml:space="preserve">, el club P&amp;I </w:t>
      </w:r>
      <w:r w:rsidR="005F4B13" w:rsidRPr="00F64697">
        <w:rPr>
          <w:rFonts w:cs="Times New Roman"/>
          <w:sz w:val="24"/>
          <w:szCs w:val="24"/>
          <w:shd w:val="clear" w:color="auto" w:fill="FFFFFF"/>
        </w:rPr>
        <w:t>solicita al tribunal inglés competente y con arreglo a la Ley inglesa de arbitraje de 1996, el nombramiento de un árbitro en dos procedimientos arbitrales en Londres, uno contra el Estado español y otro contra el Estado francés</w:t>
      </w:r>
      <w:r w:rsidR="005F4B13" w:rsidRPr="00F64697">
        <w:rPr>
          <w:rStyle w:val="Refdenotaalpie"/>
          <w:rFonts w:cs="Times New Roman"/>
          <w:sz w:val="24"/>
          <w:szCs w:val="24"/>
          <w:shd w:val="clear" w:color="auto" w:fill="FFFFFF"/>
        </w:rPr>
        <w:footnoteReference w:id="17"/>
      </w:r>
      <w:r w:rsidR="005F4B13" w:rsidRPr="00F64697">
        <w:rPr>
          <w:rFonts w:cs="Times New Roman"/>
          <w:sz w:val="24"/>
          <w:szCs w:val="24"/>
          <w:shd w:val="clear" w:color="auto" w:fill="FFFFFF"/>
        </w:rPr>
        <w:t xml:space="preserve">. </w:t>
      </w:r>
      <w:r w:rsidR="00DA2396" w:rsidRPr="00F64697">
        <w:rPr>
          <w:rFonts w:cs="Times New Roman"/>
          <w:sz w:val="24"/>
          <w:szCs w:val="24"/>
          <w:shd w:val="clear" w:color="auto" w:fill="FFFFFF"/>
        </w:rPr>
        <w:t xml:space="preserve">Son los dos principales reclamantes de responsabilidad civil en el procedimiento en marcha ante la Audiencia Provincial de A Coruña. </w:t>
      </w:r>
      <w:r w:rsidR="005F4B13" w:rsidRPr="00F64697">
        <w:rPr>
          <w:rFonts w:cs="Times New Roman"/>
          <w:sz w:val="24"/>
          <w:szCs w:val="24"/>
          <w:shd w:val="clear" w:color="auto" w:fill="FFFFFF"/>
        </w:rPr>
        <w:t xml:space="preserve">El fundamento de la petición </w:t>
      </w:r>
      <w:r w:rsidR="00DA2396" w:rsidRPr="00F64697">
        <w:rPr>
          <w:rFonts w:cs="Times New Roman"/>
          <w:sz w:val="24"/>
          <w:szCs w:val="24"/>
          <w:shd w:val="clear" w:color="auto" w:fill="FFFFFF"/>
        </w:rPr>
        <w:t xml:space="preserve">del club P&amp;I </w:t>
      </w:r>
      <w:r w:rsidR="005F4B13" w:rsidRPr="00F64697">
        <w:rPr>
          <w:rFonts w:cs="Times New Roman"/>
          <w:sz w:val="24"/>
          <w:szCs w:val="24"/>
          <w:shd w:val="clear" w:color="auto" w:fill="FFFFFF"/>
        </w:rPr>
        <w:t xml:space="preserve">es la cláusula de arbitraje </w:t>
      </w:r>
      <w:r w:rsidR="00DA2396" w:rsidRPr="00F64697">
        <w:rPr>
          <w:rFonts w:cs="Times New Roman"/>
          <w:sz w:val="24"/>
          <w:szCs w:val="24"/>
          <w:shd w:val="clear" w:color="auto" w:fill="FFFFFF"/>
        </w:rPr>
        <w:t xml:space="preserve">en Londres </w:t>
      </w:r>
      <w:r w:rsidR="005F4B13" w:rsidRPr="00F64697">
        <w:rPr>
          <w:rFonts w:cs="Times New Roman"/>
          <w:sz w:val="24"/>
          <w:szCs w:val="24"/>
          <w:shd w:val="clear" w:color="auto" w:fill="FFFFFF"/>
        </w:rPr>
        <w:t xml:space="preserve">incluida en las reglas de seguro P&amp;I contratado con el asegurado. El club P&amp;I considera </w:t>
      </w:r>
      <w:r w:rsidR="00FC096A" w:rsidRPr="00F64697">
        <w:rPr>
          <w:rFonts w:cs="Times New Roman"/>
          <w:sz w:val="24"/>
          <w:szCs w:val="24"/>
          <w:shd w:val="clear" w:color="auto" w:fill="FFFFFF"/>
        </w:rPr>
        <w:t xml:space="preserve">que ambos Estados han incumplido su obligación de someter su reclamación dineraria contra el asegurador a arbitraje en Londres. Considera que estos Estados, terceros al contrato de seguro P&amp;I, están obligados por </w:t>
      </w:r>
      <w:r w:rsidR="005F4B13" w:rsidRPr="00F64697">
        <w:rPr>
          <w:rFonts w:cs="Times New Roman"/>
          <w:sz w:val="24"/>
          <w:szCs w:val="24"/>
          <w:shd w:val="clear" w:color="auto" w:fill="FFFFFF"/>
        </w:rPr>
        <w:t xml:space="preserve">la cláusula arbitral </w:t>
      </w:r>
      <w:r w:rsidR="00FC096A" w:rsidRPr="00F64697">
        <w:rPr>
          <w:rFonts w:cs="Times New Roman"/>
          <w:sz w:val="24"/>
          <w:szCs w:val="24"/>
          <w:shd w:val="clear" w:color="auto" w:fill="FFFFFF"/>
        </w:rPr>
        <w:t>de</w:t>
      </w:r>
      <w:r w:rsidR="005F4B13" w:rsidRPr="00F64697">
        <w:rPr>
          <w:rFonts w:cs="Times New Roman"/>
          <w:sz w:val="24"/>
          <w:szCs w:val="24"/>
          <w:shd w:val="clear" w:color="auto" w:fill="FFFFFF"/>
        </w:rPr>
        <w:t xml:space="preserve">l contrato de seguro </w:t>
      </w:r>
      <w:r w:rsidR="00FC096A" w:rsidRPr="00F64697">
        <w:rPr>
          <w:rFonts w:cs="Times New Roman"/>
          <w:sz w:val="24"/>
          <w:szCs w:val="24"/>
          <w:shd w:val="clear" w:color="auto" w:fill="FFFFFF"/>
        </w:rPr>
        <w:t>celebrado entre el asegurador y la sociedad propietaria del buque “Prestige”</w:t>
      </w:r>
      <w:r w:rsidRPr="00F64697">
        <w:rPr>
          <w:rStyle w:val="Refdenotaalpie"/>
          <w:rFonts w:cs="Times New Roman"/>
          <w:sz w:val="24"/>
          <w:szCs w:val="24"/>
          <w:shd w:val="clear" w:color="auto" w:fill="FFFFFF"/>
        </w:rPr>
        <w:footnoteReference w:id="18"/>
      </w:r>
      <w:r w:rsidRPr="00F64697">
        <w:rPr>
          <w:sz w:val="24"/>
          <w:szCs w:val="24"/>
        </w:rPr>
        <w:t xml:space="preserve">. </w:t>
      </w:r>
    </w:p>
    <w:p w14:paraId="39483C5F" w14:textId="7109544C" w:rsidR="00350A48" w:rsidRPr="00F64697" w:rsidRDefault="00110695" w:rsidP="00350A48">
      <w:pPr>
        <w:spacing w:before="120" w:after="120" w:line="240" w:lineRule="auto"/>
        <w:jc w:val="both"/>
        <w:rPr>
          <w:rFonts w:cs="Times New Roman"/>
          <w:sz w:val="24"/>
          <w:szCs w:val="24"/>
        </w:rPr>
      </w:pPr>
      <w:r w:rsidRPr="00F64697">
        <w:rPr>
          <w:rFonts w:cs="Times New Roman"/>
          <w:sz w:val="24"/>
          <w:szCs w:val="24"/>
          <w:shd w:val="clear" w:color="auto" w:fill="FFFFFF"/>
        </w:rPr>
        <w:t>El</w:t>
      </w:r>
      <w:r w:rsidR="005F4B13" w:rsidRPr="00F64697">
        <w:rPr>
          <w:rFonts w:cs="Times New Roman"/>
          <w:sz w:val="24"/>
          <w:szCs w:val="24"/>
          <w:shd w:val="clear" w:color="auto" w:fill="FFFFFF"/>
        </w:rPr>
        <w:t xml:space="preserve"> tribunal inglés competente </w:t>
      </w:r>
      <w:r w:rsidR="00DA2396" w:rsidRPr="00F64697">
        <w:rPr>
          <w:rFonts w:cs="Times New Roman"/>
          <w:sz w:val="24"/>
          <w:szCs w:val="24"/>
          <w:shd w:val="clear" w:color="auto" w:fill="FFFFFF"/>
        </w:rPr>
        <w:t xml:space="preserve">accede a la petición del club P&amp;I </w:t>
      </w:r>
      <w:r w:rsidR="00F93246" w:rsidRPr="00F64697">
        <w:rPr>
          <w:rFonts w:cs="Times New Roman"/>
          <w:sz w:val="24"/>
          <w:szCs w:val="24"/>
          <w:shd w:val="clear" w:color="auto" w:fill="FFFFFF"/>
        </w:rPr>
        <w:t xml:space="preserve">y </w:t>
      </w:r>
      <w:r w:rsidR="005F4B13" w:rsidRPr="00F64697">
        <w:rPr>
          <w:rFonts w:cs="Times New Roman"/>
          <w:sz w:val="24"/>
          <w:szCs w:val="24"/>
          <w:shd w:val="clear" w:color="auto" w:fill="FFFFFF"/>
        </w:rPr>
        <w:t>nombra un árbitro único</w:t>
      </w:r>
      <w:r w:rsidR="00350A48" w:rsidRPr="00F64697">
        <w:rPr>
          <w:rFonts w:cs="Times New Roman"/>
          <w:sz w:val="24"/>
          <w:szCs w:val="24"/>
          <w:shd w:val="clear" w:color="auto" w:fill="FFFFFF"/>
        </w:rPr>
        <w:t xml:space="preserve">, </w:t>
      </w:r>
      <w:r w:rsidR="00DA2396" w:rsidRPr="00F64697">
        <w:rPr>
          <w:rFonts w:cs="Times New Roman"/>
          <w:sz w:val="24"/>
          <w:szCs w:val="24"/>
          <w:shd w:val="clear" w:color="auto" w:fill="FFFFFF"/>
        </w:rPr>
        <w:t>para</w:t>
      </w:r>
      <w:r w:rsidR="005F4B13" w:rsidRPr="00F64697">
        <w:rPr>
          <w:rFonts w:cs="Times New Roman"/>
          <w:sz w:val="24"/>
          <w:szCs w:val="24"/>
          <w:shd w:val="clear" w:color="auto" w:fill="FFFFFF"/>
        </w:rPr>
        <w:t xml:space="preserve"> ambos procedimientos arbitrales contra los </w:t>
      </w:r>
      <w:r w:rsidR="005F4B13" w:rsidRPr="00F64697">
        <w:rPr>
          <w:rFonts w:cs="Times New Roman"/>
          <w:sz w:val="24"/>
          <w:szCs w:val="24"/>
        </w:rPr>
        <w:t>Estados español y francés, respectivamente. Ambos</w:t>
      </w:r>
      <w:r w:rsidR="002D7DC0" w:rsidRPr="00F64697">
        <w:rPr>
          <w:rFonts w:cs="Times New Roman"/>
          <w:sz w:val="24"/>
          <w:szCs w:val="24"/>
        </w:rPr>
        <w:t xml:space="preserve"> </w:t>
      </w:r>
      <w:r w:rsidR="005F4B13" w:rsidRPr="00F64697">
        <w:rPr>
          <w:rFonts w:cs="Times New Roman"/>
          <w:sz w:val="24"/>
          <w:szCs w:val="24"/>
        </w:rPr>
        <w:t>reh</w:t>
      </w:r>
      <w:r w:rsidRPr="00F64697">
        <w:rPr>
          <w:rFonts w:cs="Times New Roman"/>
          <w:sz w:val="24"/>
          <w:szCs w:val="24"/>
        </w:rPr>
        <w:t>ú</w:t>
      </w:r>
      <w:r w:rsidR="005F4B13" w:rsidRPr="00F64697">
        <w:rPr>
          <w:rFonts w:cs="Times New Roman"/>
          <w:sz w:val="24"/>
          <w:szCs w:val="24"/>
        </w:rPr>
        <w:t xml:space="preserve">san participar en el respectivo proceso arbitral. </w:t>
      </w:r>
      <w:r w:rsidR="00B43C4B">
        <w:rPr>
          <w:rFonts w:cs="Times New Roman"/>
          <w:sz w:val="24"/>
          <w:szCs w:val="24"/>
        </w:rPr>
        <w:t>Los arbitrajes</w:t>
      </w:r>
      <w:r w:rsidR="005F4B13" w:rsidRPr="00F64697">
        <w:rPr>
          <w:rFonts w:cs="Times New Roman"/>
          <w:sz w:val="24"/>
          <w:szCs w:val="24"/>
        </w:rPr>
        <w:t xml:space="preserve"> </w:t>
      </w:r>
      <w:r w:rsidR="00F93246" w:rsidRPr="00F64697">
        <w:rPr>
          <w:rFonts w:cs="Times New Roman"/>
          <w:sz w:val="24"/>
          <w:szCs w:val="24"/>
        </w:rPr>
        <w:t xml:space="preserve">en Londres </w:t>
      </w:r>
      <w:r w:rsidR="005F4B13" w:rsidRPr="00F64697">
        <w:rPr>
          <w:rFonts w:cs="Times New Roman"/>
          <w:sz w:val="24"/>
          <w:szCs w:val="24"/>
        </w:rPr>
        <w:t xml:space="preserve">terminan con laudos muy similares, contra el Estado español (13 febrero de 2013) y contra el Estado francés (3 de julio de 2013). El árbitro </w:t>
      </w:r>
      <w:r w:rsidR="00F93246" w:rsidRPr="00F64697">
        <w:rPr>
          <w:rFonts w:cs="Times New Roman"/>
          <w:sz w:val="24"/>
          <w:szCs w:val="24"/>
        </w:rPr>
        <w:t xml:space="preserve">único </w:t>
      </w:r>
      <w:r w:rsidR="005F4B13" w:rsidRPr="00F64697">
        <w:rPr>
          <w:rFonts w:cs="Times New Roman"/>
          <w:sz w:val="24"/>
          <w:szCs w:val="24"/>
        </w:rPr>
        <w:t xml:space="preserve">acoge íntegramente los términos solicitados por el </w:t>
      </w:r>
      <w:r w:rsidRPr="00F64697">
        <w:rPr>
          <w:rFonts w:cs="Times New Roman"/>
          <w:sz w:val="24"/>
          <w:szCs w:val="24"/>
        </w:rPr>
        <w:t>club P&amp;I</w:t>
      </w:r>
      <w:r w:rsidR="005F4B13" w:rsidRPr="00F64697">
        <w:rPr>
          <w:rFonts w:cs="Times New Roman"/>
          <w:sz w:val="24"/>
          <w:szCs w:val="24"/>
        </w:rPr>
        <w:t xml:space="preserve">: </w:t>
      </w:r>
    </w:p>
    <w:p w14:paraId="072B769C" w14:textId="1460A4F9" w:rsidR="00350A48" w:rsidRPr="00F64697" w:rsidRDefault="00350A48" w:rsidP="00350A48">
      <w:pPr>
        <w:pStyle w:val="Prrafodelista"/>
        <w:numPr>
          <w:ilvl w:val="0"/>
          <w:numId w:val="43"/>
        </w:numPr>
        <w:spacing w:before="120" w:after="120" w:line="240" w:lineRule="auto"/>
        <w:jc w:val="both"/>
        <w:rPr>
          <w:rFonts w:cs="Times New Roman"/>
          <w:sz w:val="24"/>
          <w:szCs w:val="24"/>
        </w:rPr>
      </w:pPr>
      <w:r w:rsidRPr="00F64697">
        <w:rPr>
          <w:rFonts w:cs="Times New Roman"/>
          <w:sz w:val="24"/>
          <w:szCs w:val="24"/>
        </w:rPr>
        <w:t>L</w:t>
      </w:r>
      <w:r w:rsidR="005F4B13" w:rsidRPr="00F64697">
        <w:rPr>
          <w:rFonts w:cs="Times New Roman"/>
          <w:sz w:val="24"/>
          <w:szCs w:val="24"/>
        </w:rPr>
        <w:t>a reclamación de los Estados español y francés contra el club P&amp;I debe someterse a arbitraje con arreglo al convenio arbitral del seguro P&amp;I</w:t>
      </w:r>
      <w:r w:rsidR="00B43C4B">
        <w:rPr>
          <w:rFonts w:cs="Times New Roman"/>
          <w:sz w:val="24"/>
          <w:szCs w:val="24"/>
        </w:rPr>
        <w:t>.</w:t>
      </w:r>
      <w:r w:rsidR="00110695" w:rsidRPr="00F64697">
        <w:rPr>
          <w:rFonts w:cs="Times New Roman"/>
          <w:sz w:val="24"/>
          <w:szCs w:val="24"/>
        </w:rPr>
        <w:t xml:space="preserve"> </w:t>
      </w:r>
    </w:p>
    <w:p w14:paraId="3F6C16F3" w14:textId="1DEABBB0" w:rsidR="00350A48" w:rsidRPr="00F64697" w:rsidRDefault="00350A48" w:rsidP="00350A48">
      <w:pPr>
        <w:pStyle w:val="Prrafodelista"/>
        <w:numPr>
          <w:ilvl w:val="0"/>
          <w:numId w:val="43"/>
        </w:numPr>
        <w:spacing w:before="120" w:after="120" w:line="240" w:lineRule="auto"/>
        <w:jc w:val="both"/>
        <w:rPr>
          <w:rFonts w:cs="Times New Roman"/>
          <w:sz w:val="24"/>
          <w:szCs w:val="24"/>
          <w:shd w:val="clear" w:color="auto" w:fill="FFFFFF"/>
        </w:rPr>
      </w:pPr>
      <w:r w:rsidRPr="00F64697">
        <w:rPr>
          <w:rFonts w:cs="Times New Roman"/>
          <w:sz w:val="24"/>
          <w:szCs w:val="24"/>
          <w:shd w:val="clear" w:color="auto" w:fill="FFFFFF"/>
        </w:rPr>
        <w:t>E</w:t>
      </w:r>
      <w:r w:rsidR="005F4B13" w:rsidRPr="00F64697">
        <w:rPr>
          <w:rFonts w:cs="Times New Roman"/>
          <w:sz w:val="24"/>
          <w:szCs w:val="24"/>
          <w:shd w:val="clear" w:color="auto" w:fill="FFFFFF"/>
        </w:rPr>
        <w:t xml:space="preserve">l club </w:t>
      </w:r>
      <w:r w:rsidR="00110695" w:rsidRPr="00F64697">
        <w:rPr>
          <w:rFonts w:cs="Times New Roman"/>
          <w:sz w:val="24"/>
          <w:szCs w:val="24"/>
          <w:shd w:val="clear" w:color="auto" w:fill="FFFFFF"/>
        </w:rPr>
        <w:t xml:space="preserve">P&amp;I </w:t>
      </w:r>
      <w:r w:rsidR="005F4B13" w:rsidRPr="00F64697">
        <w:rPr>
          <w:rFonts w:cs="Times New Roman"/>
          <w:sz w:val="24"/>
          <w:szCs w:val="24"/>
          <w:shd w:val="clear" w:color="auto" w:fill="FFFFFF"/>
        </w:rPr>
        <w:t>no debe responder por encima del límite indemnizatori</w:t>
      </w:r>
      <w:r w:rsidR="00110695" w:rsidRPr="00F64697">
        <w:rPr>
          <w:rFonts w:cs="Times New Roman"/>
          <w:sz w:val="24"/>
          <w:szCs w:val="24"/>
          <w:shd w:val="clear" w:color="auto" w:fill="FFFFFF"/>
        </w:rPr>
        <w:t>o</w:t>
      </w:r>
      <w:r w:rsidR="005F4B13" w:rsidRPr="00F64697">
        <w:rPr>
          <w:rFonts w:cs="Times New Roman"/>
          <w:sz w:val="24"/>
          <w:szCs w:val="24"/>
          <w:shd w:val="clear" w:color="auto" w:fill="FFFFFF"/>
        </w:rPr>
        <w:t xml:space="preserve"> del Convenio de Responsabilidad Civil de 1992. Subsidiariamente, su responsabilidad no </w:t>
      </w:r>
      <w:r w:rsidR="00110695" w:rsidRPr="00F64697">
        <w:rPr>
          <w:rFonts w:cs="Times New Roman"/>
          <w:sz w:val="24"/>
          <w:szCs w:val="24"/>
          <w:shd w:val="clear" w:color="auto" w:fill="FFFFFF"/>
        </w:rPr>
        <w:t>puede</w:t>
      </w:r>
      <w:r w:rsidR="005F4B13" w:rsidRPr="00F64697">
        <w:rPr>
          <w:rFonts w:cs="Times New Roman"/>
          <w:sz w:val="24"/>
          <w:szCs w:val="24"/>
          <w:shd w:val="clear" w:color="auto" w:fill="FFFFFF"/>
        </w:rPr>
        <w:t xml:space="preserve"> </w:t>
      </w:r>
      <w:r w:rsidR="00110695" w:rsidRPr="00F64697">
        <w:rPr>
          <w:rFonts w:cs="Times New Roman"/>
          <w:sz w:val="24"/>
          <w:szCs w:val="24"/>
          <w:shd w:val="clear" w:color="auto" w:fill="FFFFFF"/>
        </w:rPr>
        <w:t xml:space="preserve">ser </w:t>
      </w:r>
      <w:r w:rsidR="005F4B13" w:rsidRPr="00F64697">
        <w:rPr>
          <w:rFonts w:cs="Times New Roman"/>
          <w:sz w:val="24"/>
          <w:szCs w:val="24"/>
          <w:shd w:val="clear" w:color="auto" w:fill="FFFFFF"/>
        </w:rPr>
        <w:t>superior al límite de la suma asegurada en las reglas del seguro P&amp;I para daños por contaminación por hidrocarburos: 1.000 millones de dólares</w:t>
      </w:r>
      <w:r w:rsidR="00B43C4B">
        <w:rPr>
          <w:rFonts w:cs="Times New Roman"/>
          <w:sz w:val="24"/>
          <w:szCs w:val="24"/>
          <w:shd w:val="clear" w:color="auto" w:fill="FFFFFF"/>
        </w:rPr>
        <w:t>.</w:t>
      </w:r>
      <w:r w:rsidR="00110695" w:rsidRPr="00F64697">
        <w:rPr>
          <w:rFonts w:cs="Times New Roman"/>
          <w:sz w:val="24"/>
          <w:szCs w:val="24"/>
          <w:shd w:val="clear" w:color="auto" w:fill="FFFFFF"/>
        </w:rPr>
        <w:t xml:space="preserve"> </w:t>
      </w:r>
    </w:p>
    <w:p w14:paraId="07B10BEB" w14:textId="4AC92664" w:rsidR="00350A48" w:rsidRPr="00F64697" w:rsidRDefault="00350A48" w:rsidP="003C2B00">
      <w:pPr>
        <w:pStyle w:val="Prrafodelista"/>
        <w:numPr>
          <w:ilvl w:val="0"/>
          <w:numId w:val="43"/>
        </w:numPr>
        <w:spacing w:before="120" w:after="120" w:line="240" w:lineRule="auto"/>
        <w:jc w:val="both"/>
        <w:rPr>
          <w:sz w:val="24"/>
          <w:szCs w:val="24"/>
          <w:lang w:eastAsia="es-ES"/>
        </w:rPr>
      </w:pPr>
      <w:r w:rsidRPr="00F64697">
        <w:rPr>
          <w:rFonts w:cs="Times New Roman"/>
          <w:sz w:val="24"/>
          <w:szCs w:val="24"/>
          <w:shd w:val="clear" w:color="auto" w:fill="FFFFFF"/>
        </w:rPr>
        <w:t>E</w:t>
      </w:r>
      <w:r w:rsidR="005F4B13" w:rsidRPr="00F64697">
        <w:rPr>
          <w:rFonts w:cs="Times New Roman"/>
          <w:sz w:val="24"/>
          <w:szCs w:val="24"/>
          <w:shd w:val="clear" w:color="auto" w:fill="FFFFFF"/>
        </w:rPr>
        <w:t xml:space="preserve">s aplicable </w:t>
      </w:r>
      <w:r w:rsidR="00F93246" w:rsidRPr="00F64697">
        <w:rPr>
          <w:rFonts w:cs="Times New Roman"/>
          <w:sz w:val="24"/>
          <w:szCs w:val="24"/>
          <w:shd w:val="clear" w:color="auto" w:fill="FFFFFF"/>
        </w:rPr>
        <w:t>a la reclamación por encima de los límites del Convenio de Responsabilidad Civil de 1992 (“</w:t>
      </w:r>
      <w:r w:rsidR="00F93246" w:rsidRPr="00F64697">
        <w:rPr>
          <w:rFonts w:cs="Times New Roman"/>
          <w:i/>
          <w:iCs/>
          <w:sz w:val="24"/>
          <w:szCs w:val="24"/>
          <w:shd w:val="clear" w:color="auto" w:fill="FFFFFF"/>
        </w:rPr>
        <w:t>non-CLC claims</w:t>
      </w:r>
      <w:r w:rsidR="00F93246" w:rsidRPr="00F64697">
        <w:rPr>
          <w:rFonts w:cs="Times New Roman"/>
          <w:sz w:val="24"/>
          <w:szCs w:val="24"/>
          <w:shd w:val="clear" w:color="auto" w:fill="FFFFFF"/>
        </w:rPr>
        <w:t xml:space="preserve">”), </w:t>
      </w:r>
      <w:r w:rsidR="005F4B13" w:rsidRPr="00F64697">
        <w:rPr>
          <w:rFonts w:cs="Times New Roman"/>
          <w:sz w:val="24"/>
          <w:szCs w:val="24"/>
          <w:shd w:val="clear" w:color="auto" w:fill="FFFFFF"/>
        </w:rPr>
        <w:t>la cláusula de pago previo (“</w:t>
      </w:r>
      <w:r w:rsidR="005F4B13" w:rsidRPr="00F64697">
        <w:rPr>
          <w:rFonts w:cs="Times New Roman"/>
          <w:i/>
          <w:iCs/>
          <w:sz w:val="24"/>
          <w:szCs w:val="24"/>
          <w:shd w:val="clear" w:color="auto" w:fill="FFFFFF"/>
        </w:rPr>
        <w:t>pay to be paid</w:t>
      </w:r>
      <w:r w:rsidR="005F4B13" w:rsidRPr="00F64697">
        <w:rPr>
          <w:rFonts w:cs="Times New Roman"/>
          <w:iCs/>
          <w:sz w:val="24"/>
          <w:szCs w:val="24"/>
          <w:shd w:val="clear" w:color="auto" w:fill="FFFFFF"/>
        </w:rPr>
        <w:t>”</w:t>
      </w:r>
      <w:r w:rsidR="005F4B13" w:rsidRPr="00F64697">
        <w:rPr>
          <w:rFonts w:cs="Times New Roman"/>
          <w:sz w:val="24"/>
          <w:szCs w:val="24"/>
          <w:shd w:val="clear" w:color="auto" w:fill="FFFFFF"/>
        </w:rPr>
        <w:t>) de las reglas del seguro</w:t>
      </w:r>
      <w:r w:rsidRPr="00F64697">
        <w:rPr>
          <w:rFonts w:cs="Times New Roman"/>
          <w:sz w:val="24"/>
          <w:szCs w:val="24"/>
          <w:shd w:val="clear" w:color="auto" w:fill="FFFFFF"/>
        </w:rPr>
        <w:t xml:space="preserve">. El </w:t>
      </w:r>
      <w:r w:rsidRPr="00F64697">
        <w:rPr>
          <w:sz w:val="24"/>
          <w:szCs w:val="24"/>
        </w:rPr>
        <w:t>seguro P&amp;I se configura como un seguro de indemnización efectiva. Según la cláusula de pago previo, “</w:t>
      </w:r>
      <w:r w:rsidRPr="00F64697">
        <w:rPr>
          <w:i/>
          <w:iCs/>
          <w:sz w:val="24"/>
          <w:szCs w:val="24"/>
        </w:rPr>
        <w:t>pay to be paid</w:t>
      </w:r>
      <w:r w:rsidRPr="00F64697">
        <w:rPr>
          <w:sz w:val="24"/>
          <w:szCs w:val="24"/>
        </w:rPr>
        <w:t>”, “</w:t>
      </w:r>
      <w:r w:rsidRPr="00F64697">
        <w:rPr>
          <w:i/>
          <w:iCs/>
          <w:sz w:val="24"/>
          <w:szCs w:val="24"/>
        </w:rPr>
        <w:t>pay first</w:t>
      </w:r>
      <w:r w:rsidRPr="00F64697">
        <w:rPr>
          <w:sz w:val="24"/>
          <w:szCs w:val="24"/>
        </w:rPr>
        <w:t>”, “</w:t>
      </w:r>
      <w:r w:rsidRPr="00F64697">
        <w:rPr>
          <w:i/>
          <w:iCs/>
          <w:sz w:val="24"/>
          <w:szCs w:val="24"/>
        </w:rPr>
        <w:t>right of recovery</w:t>
      </w:r>
      <w:r w:rsidRPr="00F64697">
        <w:rPr>
          <w:sz w:val="24"/>
          <w:szCs w:val="24"/>
        </w:rPr>
        <w:t>” u otra fórmula, el club P&amp;I como asegurador sólo debe pagar la indemnización al asegurado responsable y a condición de que acredite haber pagado previamente al tercero perjudicado</w:t>
      </w:r>
      <w:r w:rsidR="00B43C4B">
        <w:rPr>
          <w:rStyle w:val="Refdenotaalpie"/>
          <w:sz w:val="24"/>
          <w:szCs w:val="24"/>
        </w:rPr>
        <w:footnoteReference w:id="19"/>
      </w:r>
      <w:r w:rsidRPr="00F64697">
        <w:rPr>
          <w:sz w:val="24"/>
          <w:szCs w:val="24"/>
        </w:rPr>
        <w:t xml:space="preserve">. No obstante, esta </w:t>
      </w:r>
      <w:r w:rsidRPr="00F64697">
        <w:rPr>
          <w:sz w:val="24"/>
          <w:szCs w:val="24"/>
        </w:rPr>
        <w:lastRenderedPageBreak/>
        <w:t xml:space="preserve">regla general de pago previo e indemnización efectiva no es absoluta en los contratos de seguro P&amp;I. Las reglas del seguro incluyen excepciones contractuales, donde el club P&amp;I se obliga a pagar directamente al tercero perjudicado, aunque su armador asegurado no haya desembolsado la indemnización antes. Esta excepción contractual surge normalmente de la necesidad de cumplir con normas imperativas de los convenios internacionales marítimos. Éstas obligan al propietario o al armador del buque a contar con un seguro obligatorio que, además, reconozca acción directa al tercero perjudicado frente al asegurador. Precisamente, es el caso de la responsabilidad civil derivada de daños nacidos por contaminación de hidrocarburos del Convenio de Responsabilidad Civil de 1992. El club P&amp;I, cumpliendo la norma internacional y el contrato de seguro P&amp;I se obliga al pago directo al tercero perjudicado </w:t>
      </w:r>
      <w:r w:rsidRPr="00F64697">
        <w:rPr>
          <w:i/>
          <w:iCs/>
          <w:sz w:val="24"/>
          <w:szCs w:val="24"/>
        </w:rPr>
        <w:t>hasta el límite de la indemnización</w:t>
      </w:r>
      <w:r w:rsidR="00B43C4B">
        <w:rPr>
          <w:i/>
          <w:iCs/>
          <w:sz w:val="24"/>
          <w:szCs w:val="24"/>
        </w:rPr>
        <w:t xml:space="preserve"> </w:t>
      </w:r>
      <w:r w:rsidR="00B43C4B" w:rsidRPr="00B43C4B">
        <w:rPr>
          <w:sz w:val="24"/>
          <w:szCs w:val="24"/>
        </w:rPr>
        <w:t>(“</w:t>
      </w:r>
      <w:r w:rsidR="00B43C4B">
        <w:rPr>
          <w:i/>
          <w:iCs/>
          <w:sz w:val="24"/>
          <w:szCs w:val="24"/>
        </w:rPr>
        <w:t>CLC claims</w:t>
      </w:r>
      <w:r w:rsidR="00B43C4B" w:rsidRPr="00B43C4B">
        <w:rPr>
          <w:sz w:val="24"/>
          <w:szCs w:val="24"/>
        </w:rPr>
        <w:t>”)</w:t>
      </w:r>
      <w:r w:rsidRPr="00F64697">
        <w:rPr>
          <w:sz w:val="24"/>
          <w:szCs w:val="24"/>
        </w:rPr>
        <w:t xml:space="preserve">. El árbitro señala </w:t>
      </w:r>
      <w:r w:rsidR="00C508F6" w:rsidRPr="00F64697">
        <w:rPr>
          <w:sz w:val="24"/>
          <w:szCs w:val="24"/>
        </w:rPr>
        <w:t>que,</w:t>
      </w:r>
      <w:r w:rsidRPr="00F64697">
        <w:rPr>
          <w:sz w:val="24"/>
          <w:szCs w:val="24"/>
        </w:rPr>
        <w:t xml:space="preserve"> por encima de dicho límite, la cláusula de pago previo es oponible al tercero perjudicado que intente cobrar la indemnización directamente del club P&amp;I.</w:t>
      </w:r>
    </w:p>
    <w:p w14:paraId="251C5106" w14:textId="52698819" w:rsidR="00574379" w:rsidRPr="00F64697" w:rsidRDefault="00110695" w:rsidP="00574379">
      <w:pPr>
        <w:spacing w:before="120" w:after="120" w:line="240" w:lineRule="auto"/>
        <w:jc w:val="both"/>
        <w:rPr>
          <w:sz w:val="24"/>
          <w:szCs w:val="24"/>
          <w:lang w:eastAsia="es-ES"/>
        </w:rPr>
      </w:pPr>
      <w:r w:rsidRPr="00F64697">
        <w:rPr>
          <w:i/>
          <w:iCs/>
          <w:sz w:val="24"/>
          <w:szCs w:val="24"/>
          <w:lang w:eastAsia="es-ES"/>
        </w:rPr>
        <w:t>2ª</w:t>
      </w:r>
      <w:r w:rsidR="00F93246" w:rsidRPr="00F64697">
        <w:rPr>
          <w:i/>
          <w:iCs/>
          <w:sz w:val="24"/>
          <w:szCs w:val="24"/>
          <w:lang w:eastAsia="es-ES"/>
        </w:rPr>
        <w:t>.</w:t>
      </w:r>
      <w:r w:rsidRPr="00F64697">
        <w:rPr>
          <w:i/>
          <w:iCs/>
          <w:sz w:val="24"/>
          <w:szCs w:val="24"/>
          <w:lang w:eastAsia="es-ES"/>
        </w:rPr>
        <w:t xml:space="preserve"> Fase</w:t>
      </w:r>
      <w:r w:rsidR="00F93246" w:rsidRPr="00F64697">
        <w:rPr>
          <w:i/>
          <w:iCs/>
          <w:sz w:val="24"/>
          <w:szCs w:val="24"/>
          <w:lang w:eastAsia="es-ES"/>
        </w:rPr>
        <w:t xml:space="preserve"> judicial</w:t>
      </w:r>
      <w:r w:rsidRPr="00F64697">
        <w:rPr>
          <w:sz w:val="24"/>
          <w:szCs w:val="24"/>
          <w:lang w:eastAsia="es-ES"/>
        </w:rPr>
        <w:t xml:space="preserve">. </w:t>
      </w:r>
      <w:r w:rsidR="00350A48" w:rsidRPr="00F64697">
        <w:rPr>
          <w:sz w:val="24"/>
          <w:szCs w:val="24"/>
          <w:lang w:eastAsia="es-ES"/>
        </w:rPr>
        <w:t xml:space="preserve">Una vez dictados los laudos arbitrales </w:t>
      </w:r>
      <w:r w:rsidR="00B43C4B">
        <w:rPr>
          <w:sz w:val="24"/>
          <w:szCs w:val="24"/>
          <w:lang w:eastAsia="es-ES"/>
        </w:rPr>
        <w:t>favorables al club P&amp;I</w:t>
      </w:r>
      <w:r w:rsidR="00350A48" w:rsidRPr="00F64697">
        <w:rPr>
          <w:sz w:val="24"/>
          <w:szCs w:val="24"/>
          <w:lang w:eastAsia="es-ES"/>
        </w:rPr>
        <w:t>,</w:t>
      </w:r>
      <w:r w:rsidR="00574379" w:rsidRPr="00F64697">
        <w:rPr>
          <w:sz w:val="24"/>
          <w:szCs w:val="24"/>
          <w:lang w:eastAsia="es-ES"/>
        </w:rPr>
        <w:t xml:space="preserve"> e</w:t>
      </w:r>
      <w:r w:rsidR="005F4B13" w:rsidRPr="00F64697">
        <w:rPr>
          <w:sz w:val="24"/>
          <w:szCs w:val="24"/>
          <w:lang w:eastAsia="es-ES"/>
        </w:rPr>
        <w:t xml:space="preserve">n marzo de 2013, </w:t>
      </w:r>
      <w:r w:rsidRPr="00F64697">
        <w:rPr>
          <w:sz w:val="24"/>
          <w:szCs w:val="24"/>
          <w:lang w:eastAsia="es-ES"/>
        </w:rPr>
        <w:t xml:space="preserve">el club P&amp;I solicita </w:t>
      </w:r>
      <w:r w:rsidR="005F4B13" w:rsidRPr="00F64697">
        <w:rPr>
          <w:sz w:val="24"/>
          <w:szCs w:val="24"/>
          <w:lang w:eastAsia="es-ES"/>
        </w:rPr>
        <w:t xml:space="preserve">a la </w:t>
      </w:r>
      <w:r w:rsidR="005F4B13" w:rsidRPr="00F64697">
        <w:rPr>
          <w:i/>
          <w:iCs/>
          <w:sz w:val="24"/>
          <w:szCs w:val="24"/>
          <w:lang w:eastAsia="es-ES"/>
        </w:rPr>
        <w:t>High Court</w:t>
      </w:r>
      <w:r w:rsidR="005F4B13" w:rsidRPr="00F64697">
        <w:rPr>
          <w:sz w:val="24"/>
          <w:szCs w:val="24"/>
          <w:lang w:eastAsia="es-ES"/>
        </w:rPr>
        <w:t xml:space="preserve"> competente, que ambos laudos arbitrales dictados respectivamente, sean reconocidos como sentencias</w:t>
      </w:r>
      <w:r w:rsidR="005F4B13" w:rsidRPr="00F64697">
        <w:rPr>
          <w:i/>
          <w:sz w:val="24"/>
          <w:szCs w:val="24"/>
          <w:lang w:eastAsia="es-ES"/>
        </w:rPr>
        <w:t xml:space="preserve"> </w:t>
      </w:r>
      <w:r w:rsidR="005F4B13" w:rsidRPr="00F64697">
        <w:rPr>
          <w:sz w:val="24"/>
          <w:szCs w:val="24"/>
          <w:lang w:eastAsia="es-ES"/>
        </w:rPr>
        <w:t xml:space="preserve">con arreglo al art. 66 de la Ley de arbitraje inglesa de 1996. </w:t>
      </w:r>
      <w:r w:rsidR="00F93246" w:rsidRPr="00F64697">
        <w:rPr>
          <w:sz w:val="24"/>
          <w:szCs w:val="24"/>
          <w:lang w:eastAsia="es-ES"/>
        </w:rPr>
        <w:t xml:space="preserve">Con permiso del tribunal, el laudo puede ser ejecutado en la misma forma que una resolución judicial. El tribunal competente puede emitir una resolución en los mismos términos del </w:t>
      </w:r>
      <w:r w:rsidR="006F573D" w:rsidRPr="00F64697">
        <w:rPr>
          <w:sz w:val="24"/>
          <w:szCs w:val="24"/>
          <w:lang w:eastAsia="es-ES"/>
        </w:rPr>
        <w:t>laudo.</w:t>
      </w:r>
      <w:r w:rsidR="00574379" w:rsidRPr="00F64697">
        <w:rPr>
          <w:sz w:val="24"/>
          <w:szCs w:val="24"/>
          <w:lang w:eastAsia="es-ES"/>
        </w:rPr>
        <w:t xml:space="preserve"> </w:t>
      </w:r>
      <w:r w:rsidR="006063B5" w:rsidRPr="00F64697">
        <w:rPr>
          <w:sz w:val="24"/>
          <w:szCs w:val="24"/>
          <w:lang w:eastAsia="es-ES"/>
        </w:rPr>
        <w:t>L</w:t>
      </w:r>
      <w:r w:rsidR="005F4B13" w:rsidRPr="00F64697">
        <w:rPr>
          <w:sz w:val="24"/>
          <w:szCs w:val="24"/>
          <w:lang w:eastAsia="es-ES"/>
        </w:rPr>
        <w:t xml:space="preserve">os Estados español y francés sí se personan ante la </w:t>
      </w:r>
      <w:r w:rsidR="005F4B13" w:rsidRPr="00F64697">
        <w:rPr>
          <w:i/>
          <w:sz w:val="24"/>
          <w:szCs w:val="24"/>
          <w:lang w:eastAsia="es-ES"/>
        </w:rPr>
        <w:t>High Court</w:t>
      </w:r>
      <w:r w:rsidR="005F4B13" w:rsidRPr="00F64697">
        <w:rPr>
          <w:sz w:val="24"/>
          <w:szCs w:val="24"/>
          <w:lang w:eastAsia="es-ES"/>
        </w:rPr>
        <w:t xml:space="preserve">, oponiéndose a la pretensión del club P&amp;I. </w:t>
      </w:r>
    </w:p>
    <w:p w14:paraId="01F61DDA" w14:textId="46C1E3AB" w:rsidR="006063B5" w:rsidRPr="00F64697" w:rsidRDefault="00AD4990" w:rsidP="00574379">
      <w:pPr>
        <w:spacing w:before="120" w:after="120" w:line="240" w:lineRule="auto"/>
        <w:jc w:val="both"/>
        <w:rPr>
          <w:sz w:val="24"/>
          <w:szCs w:val="24"/>
        </w:rPr>
      </w:pPr>
      <w:r>
        <w:rPr>
          <w:sz w:val="24"/>
          <w:szCs w:val="24"/>
          <w:lang w:eastAsia="es-ES"/>
        </w:rPr>
        <w:t>El Juez en su</w:t>
      </w:r>
      <w:r w:rsidR="005F4B13" w:rsidRPr="00F64697">
        <w:rPr>
          <w:sz w:val="24"/>
          <w:szCs w:val="24"/>
        </w:rPr>
        <w:t xml:space="preserve"> sentencia de la </w:t>
      </w:r>
      <w:r w:rsidR="005F4B13" w:rsidRPr="00F64697">
        <w:rPr>
          <w:i/>
          <w:sz w:val="24"/>
          <w:szCs w:val="24"/>
        </w:rPr>
        <w:t xml:space="preserve">High Court </w:t>
      </w:r>
      <w:r w:rsidR="005F4B13" w:rsidRPr="00F64697">
        <w:rPr>
          <w:iCs/>
          <w:sz w:val="24"/>
          <w:szCs w:val="24"/>
        </w:rPr>
        <w:t>de 22 de octubre de 2013</w:t>
      </w:r>
      <w:r w:rsidR="005F4B13" w:rsidRPr="00F64697">
        <w:rPr>
          <w:rStyle w:val="Refdenotaalpie"/>
          <w:sz w:val="24"/>
          <w:szCs w:val="24"/>
        </w:rPr>
        <w:footnoteReference w:id="20"/>
      </w:r>
      <w:r w:rsidR="005F4B13" w:rsidRPr="00F64697">
        <w:rPr>
          <w:sz w:val="24"/>
          <w:szCs w:val="24"/>
        </w:rPr>
        <w:t xml:space="preserve"> </w:t>
      </w:r>
      <w:r w:rsidR="00574379" w:rsidRPr="00F64697">
        <w:rPr>
          <w:sz w:val="24"/>
          <w:szCs w:val="24"/>
        </w:rPr>
        <w:t>acepta la petición del club P&amp;I. C</w:t>
      </w:r>
      <w:r w:rsidR="006F573D" w:rsidRPr="00F64697">
        <w:rPr>
          <w:sz w:val="24"/>
          <w:szCs w:val="24"/>
        </w:rPr>
        <w:t>oncede el permiso del art. 66 de la Ley de arbitraje inglesa</w:t>
      </w:r>
      <w:r w:rsidR="00673801">
        <w:rPr>
          <w:sz w:val="24"/>
          <w:szCs w:val="24"/>
        </w:rPr>
        <w:t xml:space="preserve"> </w:t>
      </w:r>
      <w:r>
        <w:rPr>
          <w:sz w:val="24"/>
          <w:szCs w:val="24"/>
        </w:rPr>
        <w:t xml:space="preserve">y </w:t>
      </w:r>
      <w:r w:rsidR="006F573D" w:rsidRPr="00F64697">
        <w:rPr>
          <w:sz w:val="24"/>
          <w:szCs w:val="24"/>
        </w:rPr>
        <w:t xml:space="preserve">los laudos </w:t>
      </w:r>
      <w:r>
        <w:rPr>
          <w:sz w:val="24"/>
          <w:szCs w:val="24"/>
        </w:rPr>
        <w:t>favorables al club P&amp;I</w:t>
      </w:r>
      <w:r w:rsidR="00574379" w:rsidRPr="00F64697">
        <w:rPr>
          <w:sz w:val="24"/>
          <w:szCs w:val="24"/>
        </w:rPr>
        <w:t xml:space="preserve"> </w:t>
      </w:r>
      <w:r w:rsidR="006F573D" w:rsidRPr="00F64697">
        <w:rPr>
          <w:sz w:val="24"/>
          <w:szCs w:val="24"/>
        </w:rPr>
        <w:t>s</w:t>
      </w:r>
      <w:r>
        <w:rPr>
          <w:sz w:val="24"/>
          <w:szCs w:val="24"/>
        </w:rPr>
        <w:t>on</w:t>
      </w:r>
      <w:r w:rsidR="006F573D" w:rsidRPr="00F64697">
        <w:rPr>
          <w:sz w:val="24"/>
          <w:szCs w:val="24"/>
        </w:rPr>
        <w:t xml:space="preserve"> reconocidos </w:t>
      </w:r>
      <w:r w:rsidR="00574379" w:rsidRPr="00F64697">
        <w:rPr>
          <w:sz w:val="24"/>
          <w:szCs w:val="24"/>
        </w:rPr>
        <w:t xml:space="preserve">conjuntamente en </w:t>
      </w:r>
      <w:r>
        <w:rPr>
          <w:sz w:val="24"/>
          <w:szCs w:val="24"/>
        </w:rPr>
        <w:t xml:space="preserve">su </w:t>
      </w:r>
      <w:r w:rsidR="006F573D" w:rsidRPr="00F64697">
        <w:rPr>
          <w:sz w:val="24"/>
          <w:szCs w:val="24"/>
        </w:rPr>
        <w:t>sentencia judicial</w:t>
      </w:r>
      <w:r w:rsidR="005F4B13" w:rsidRPr="00F64697">
        <w:rPr>
          <w:rStyle w:val="Refdenotaalpie"/>
          <w:sz w:val="24"/>
          <w:szCs w:val="24"/>
          <w:lang w:eastAsia="es-ES"/>
        </w:rPr>
        <w:footnoteReference w:id="21"/>
      </w:r>
      <w:r w:rsidR="005F4B13" w:rsidRPr="00F64697">
        <w:rPr>
          <w:sz w:val="24"/>
          <w:szCs w:val="24"/>
        </w:rPr>
        <w:t xml:space="preserve">. La motivación </w:t>
      </w:r>
      <w:r>
        <w:rPr>
          <w:sz w:val="24"/>
          <w:szCs w:val="24"/>
        </w:rPr>
        <w:t>judicial</w:t>
      </w:r>
      <w:r w:rsidR="00E60924" w:rsidRPr="00F64697">
        <w:rPr>
          <w:sz w:val="24"/>
          <w:szCs w:val="24"/>
        </w:rPr>
        <w:t xml:space="preserve"> </w:t>
      </w:r>
      <w:r w:rsidR="005F4B13" w:rsidRPr="00F64697">
        <w:rPr>
          <w:sz w:val="24"/>
          <w:szCs w:val="24"/>
        </w:rPr>
        <w:t xml:space="preserve">es la siguiente. </w:t>
      </w:r>
    </w:p>
    <w:p w14:paraId="3266D4F3" w14:textId="64691B1C" w:rsidR="005F4B13" w:rsidRPr="00F64697" w:rsidRDefault="00574379" w:rsidP="00574379">
      <w:pPr>
        <w:pStyle w:val="Textonotaalfinal"/>
        <w:numPr>
          <w:ilvl w:val="0"/>
          <w:numId w:val="44"/>
        </w:numPr>
        <w:spacing w:before="120" w:after="120"/>
        <w:jc w:val="both"/>
        <w:rPr>
          <w:rStyle w:val="DeltaViewInsertion"/>
          <w:rFonts w:ascii="Times New Roman" w:hAnsi="Times New Roman"/>
          <w:color w:val="auto"/>
          <w:sz w:val="24"/>
          <w:szCs w:val="24"/>
          <w:u w:val="none"/>
        </w:rPr>
      </w:pPr>
      <w:r w:rsidRPr="00F64697">
        <w:rPr>
          <w:rFonts w:ascii="Times New Roman" w:hAnsi="Times New Roman"/>
          <w:sz w:val="24"/>
          <w:szCs w:val="24"/>
        </w:rPr>
        <w:t>España y Francia</w:t>
      </w:r>
      <w:r w:rsidR="005F4B13" w:rsidRPr="00F64697">
        <w:rPr>
          <w:rStyle w:val="DeltaViewInsertion"/>
          <w:rFonts w:ascii="Times New Roman" w:hAnsi="Times New Roman"/>
          <w:color w:val="auto"/>
          <w:sz w:val="24"/>
          <w:szCs w:val="24"/>
          <w:u w:val="none"/>
        </w:rPr>
        <w:t xml:space="preserve"> han perdido la inmunidad estatal al haberse personado en el procedimiento inglés para oponerse a la ejecución forzosa de los laudos arbitrales. </w:t>
      </w:r>
    </w:p>
    <w:p w14:paraId="2E043C0E" w14:textId="70D02322" w:rsidR="005F4B13" w:rsidRPr="00F64697" w:rsidRDefault="00574379" w:rsidP="00574379">
      <w:pPr>
        <w:pStyle w:val="Textonotaalfinal"/>
        <w:numPr>
          <w:ilvl w:val="0"/>
          <w:numId w:val="44"/>
        </w:numPr>
        <w:spacing w:before="120" w:after="120"/>
        <w:jc w:val="both"/>
        <w:rPr>
          <w:rFonts w:ascii="Times New Roman" w:hAnsi="Times New Roman"/>
          <w:sz w:val="24"/>
          <w:szCs w:val="24"/>
        </w:rPr>
      </w:pPr>
      <w:r w:rsidRPr="00F64697">
        <w:rPr>
          <w:rStyle w:val="DeltaViewInsertion"/>
          <w:rFonts w:ascii="Times New Roman" w:hAnsi="Times New Roman"/>
          <w:color w:val="auto"/>
          <w:sz w:val="24"/>
          <w:szCs w:val="24"/>
          <w:u w:val="none"/>
        </w:rPr>
        <w:t>L</w:t>
      </w:r>
      <w:r w:rsidR="005F4B13" w:rsidRPr="00F64697">
        <w:rPr>
          <w:rStyle w:val="DeltaViewInsertion"/>
          <w:rFonts w:ascii="Times New Roman" w:hAnsi="Times New Roman"/>
          <w:color w:val="auto"/>
          <w:sz w:val="24"/>
          <w:szCs w:val="24"/>
          <w:u w:val="none"/>
        </w:rPr>
        <w:t>a naturaleza de la acción directa de los perjudicados es “contractual”</w:t>
      </w:r>
      <w:r w:rsidR="005F4B13" w:rsidRPr="00F64697">
        <w:rPr>
          <w:rStyle w:val="Refdenotaalpie"/>
          <w:rFonts w:ascii="Times New Roman" w:hAnsi="Times New Roman"/>
          <w:sz w:val="24"/>
          <w:szCs w:val="24"/>
        </w:rPr>
        <w:footnoteReference w:id="22"/>
      </w:r>
      <w:r w:rsidR="006F573D" w:rsidRPr="00F64697">
        <w:rPr>
          <w:rStyle w:val="DeltaViewInsertion"/>
          <w:rFonts w:ascii="Times New Roman" w:hAnsi="Times New Roman"/>
          <w:color w:val="auto"/>
          <w:sz w:val="24"/>
          <w:szCs w:val="24"/>
          <w:u w:val="none"/>
        </w:rPr>
        <w:t>, pues</w:t>
      </w:r>
      <w:r w:rsidR="005F4B13" w:rsidRPr="00F64697">
        <w:rPr>
          <w:rStyle w:val="DeltaViewInsertion"/>
          <w:rFonts w:ascii="Times New Roman" w:hAnsi="Times New Roman"/>
          <w:color w:val="auto"/>
          <w:sz w:val="24"/>
          <w:szCs w:val="24"/>
          <w:u w:val="none"/>
        </w:rPr>
        <w:t xml:space="preserve"> </w:t>
      </w:r>
      <w:r w:rsidR="005F4B13" w:rsidRPr="00F64697">
        <w:rPr>
          <w:rFonts w:ascii="Times New Roman" w:hAnsi="Times New Roman"/>
          <w:sz w:val="24"/>
          <w:szCs w:val="24"/>
        </w:rPr>
        <w:t>los reclamantes ejercen un derecho a hacer cumplir un contrato</w:t>
      </w:r>
      <w:r w:rsidR="006F573D" w:rsidRPr="00F64697">
        <w:rPr>
          <w:rFonts w:ascii="Times New Roman" w:hAnsi="Times New Roman"/>
          <w:sz w:val="24"/>
          <w:szCs w:val="24"/>
        </w:rPr>
        <w:t>. No es un</w:t>
      </w:r>
      <w:r w:rsidR="005F4B13" w:rsidRPr="00F64697">
        <w:rPr>
          <w:rFonts w:ascii="Times New Roman" w:hAnsi="Times New Roman"/>
          <w:sz w:val="24"/>
          <w:szCs w:val="24"/>
        </w:rPr>
        <w:t xml:space="preserve"> derecho independiente de reembolso. Cuando un tercero </w:t>
      </w:r>
      <w:r w:rsidR="006F573D" w:rsidRPr="00F64697">
        <w:rPr>
          <w:rFonts w:ascii="Times New Roman" w:hAnsi="Times New Roman"/>
          <w:sz w:val="24"/>
          <w:szCs w:val="24"/>
        </w:rPr>
        <w:t xml:space="preserve">al contrato de seguro </w:t>
      </w:r>
      <w:r w:rsidR="005F4B13" w:rsidRPr="00F64697">
        <w:rPr>
          <w:rFonts w:ascii="Times New Roman" w:hAnsi="Times New Roman"/>
          <w:sz w:val="24"/>
          <w:szCs w:val="24"/>
        </w:rPr>
        <w:t>formula una reclamación en base a</w:t>
      </w:r>
      <w:r w:rsidR="006F573D" w:rsidRPr="00F64697">
        <w:rPr>
          <w:rFonts w:ascii="Times New Roman" w:hAnsi="Times New Roman"/>
          <w:sz w:val="24"/>
          <w:szCs w:val="24"/>
        </w:rPr>
        <w:t>l mismo y</w:t>
      </w:r>
      <w:r w:rsidR="005F4B13" w:rsidRPr="00F64697">
        <w:rPr>
          <w:rFonts w:ascii="Times New Roman" w:hAnsi="Times New Roman"/>
          <w:sz w:val="24"/>
          <w:szCs w:val="24"/>
        </w:rPr>
        <w:t xml:space="preserve"> que contiene una cláusula de arbitraje, y tal reclamación es contradicha por el asegurador, el demandante deviene obligado a remitir la disputa a arbitraje de acuerdo con la cláusula compromisoria del contrato cuyo cumplimiento pretende. Aunque no es la parte originaria de la cláusula compromisoria, el reclamante deviene parte por novación o por transmisión legal de los derechos y obligaciones del acuerdo. No es una parte en todos los sentidos, pero sí queda obligado por el convenio arbitral a los efectos de la ley, concluye.</w:t>
      </w:r>
    </w:p>
    <w:p w14:paraId="7380AD64" w14:textId="4D5BDFAF" w:rsidR="005F4B13" w:rsidRPr="00F64697" w:rsidRDefault="00AD4990" w:rsidP="00574379">
      <w:pPr>
        <w:pStyle w:val="Textonotaalfinal"/>
        <w:numPr>
          <w:ilvl w:val="0"/>
          <w:numId w:val="44"/>
        </w:numPr>
        <w:spacing w:before="120" w:after="120"/>
        <w:jc w:val="both"/>
        <w:rPr>
          <w:rFonts w:ascii="Times New Roman" w:hAnsi="Times New Roman"/>
          <w:i/>
          <w:iCs/>
          <w:sz w:val="24"/>
          <w:szCs w:val="24"/>
        </w:rPr>
      </w:pPr>
      <w:r>
        <w:rPr>
          <w:rFonts w:ascii="Times New Roman" w:hAnsi="Times New Roman"/>
          <w:sz w:val="24"/>
          <w:szCs w:val="24"/>
        </w:rPr>
        <w:t>Las reglas de</w:t>
      </w:r>
      <w:r w:rsidR="005F4B13" w:rsidRPr="00F64697">
        <w:rPr>
          <w:rFonts w:ascii="Times New Roman" w:hAnsi="Times New Roman"/>
          <w:sz w:val="24"/>
          <w:szCs w:val="24"/>
        </w:rPr>
        <w:t xml:space="preserve"> litispendencia </w:t>
      </w:r>
      <w:r w:rsidR="006063B5" w:rsidRPr="00F64697">
        <w:rPr>
          <w:rFonts w:ascii="Times New Roman" w:hAnsi="Times New Roman"/>
          <w:sz w:val="24"/>
          <w:szCs w:val="24"/>
        </w:rPr>
        <w:t>del Reglamento (CE) 44/2001</w:t>
      </w:r>
      <w:r>
        <w:rPr>
          <w:rFonts w:ascii="Times New Roman" w:hAnsi="Times New Roman"/>
          <w:sz w:val="24"/>
          <w:szCs w:val="24"/>
        </w:rPr>
        <w:t>,</w:t>
      </w:r>
      <w:r w:rsidR="006063B5" w:rsidRPr="00F64697">
        <w:rPr>
          <w:rFonts w:ascii="Times New Roman" w:hAnsi="Times New Roman"/>
          <w:sz w:val="24"/>
          <w:szCs w:val="24"/>
        </w:rPr>
        <w:t xml:space="preserve"> </w:t>
      </w:r>
      <w:r w:rsidR="005F4B13" w:rsidRPr="00F64697">
        <w:rPr>
          <w:rFonts w:ascii="Times New Roman" w:hAnsi="Times New Roman"/>
          <w:sz w:val="24"/>
          <w:szCs w:val="24"/>
        </w:rPr>
        <w:t>a favor de la Audiencia Provincial de A Coruña, como primer tribunal que ha conocido de la reclamación de responsabilidad civil</w:t>
      </w:r>
      <w:r>
        <w:rPr>
          <w:rFonts w:ascii="Times New Roman" w:hAnsi="Times New Roman"/>
          <w:sz w:val="24"/>
          <w:szCs w:val="24"/>
        </w:rPr>
        <w:t xml:space="preserve">, </w:t>
      </w:r>
      <w:r w:rsidR="005F4B13" w:rsidRPr="00F64697">
        <w:rPr>
          <w:rFonts w:ascii="Times New Roman" w:hAnsi="Times New Roman"/>
          <w:sz w:val="24"/>
          <w:szCs w:val="24"/>
        </w:rPr>
        <w:t>no le imponen suspender el juicio</w:t>
      </w:r>
      <w:r>
        <w:rPr>
          <w:rFonts w:ascii="Times New Roman" w:hAnsi="Times New Roman"/>
          <w:sz w:val="24"/>
          <w:szCs w:val="24"/>
        </w:rPr>
        <w:t xml:space="preserve"> iniciado ni negar la </w:t>
      </w:r>
      <w:r w:rsidR="005F4B13" w:rsidRPr="00F64697">
        <w:rPr>
          <w:rFonts w:ascii="Times New Roman" w:hAnsi="Times New Roman"/>
          <w:sz w:val="24"/>
          <w:szCs w:val="24"/>
        </w:rPr>
        <w:t>ejecución forzosa de los laudos arbitrales</w:t>
      </w:r>
      <w:r>
        <w:rPr>
          <w:rFonts w:ascii="Times New Roman" w:hAnsi="Times New Roman"/>
          <w:sz w:val="24"/>
          <w:szCs w:val="24"/>
        </w:rPr>
        <w:t xml:space="preserve"> con arreglo al art. 66 de la Ley inglesa </w:t>
      </w:r>
      <w:r>
        <w:rPr>
          <w:rFonts w:ascii="Times New Roman" w:hAnsi="Times New Roman"/>
          <w:sz w:val="24"/>
          <w:szCs w:val="24"/>
        </w:rPr>
        <w:lastRenderedPageBreak/>
        <w:t>de arbitraje</w:t>
      </w:r>
      <w:r w:rsidR="005F4B13" w:rsidRPr="00F64697">
        <w:rPr>
          <w:rFonts w:ascii="Times New Roman" w:hAnsi="Times New Roman"/>
          <w:sz w:val="24"/>
          <w:szCs w:val="24"/>
        </w:rPr>
        <w:t xml:space="preserve">. </w:t>
      </w:r>
      <w:r>
        <w:rPr>
          <w:rFonts w:ascii="Times New Roman" w:hAnsi="Times New Roman"/>
          <w:sz w:val="24"/>
          <w:szCs w:val="24"/>
        </w:rPr>
        <w:t>L</w:t>
      </w:r>
      <w:r w:rsidR="005F4B13" w:rsidRPr="00F64697">
        <w:rPr>
          <w:rFonts w:ascii="Times New Roman" w:hAnsi="Times New Roman"/>
          <w:sz w:val="24"/>
          <w:szCs w:val="24"/>
        </w:rPr>
        <w:t xml:space="preserve">a ejecución </w:t>
      </w:r>
      <w:r>
        <w:rPr>
          <w:rFonts w:ascii="Times New Roman" w:hAnsi="Times New Roman"/>
          <w:sz w:val="24"/>
          <w:szCs w:val="24"/>
        </w:rPr>
        <w:t xml:space="preserve">judicial </w:t>
      </w:r>
      <w:r w:rsidR="005F4B13" w:rsidRPr="00F64697">
        <w:rPr>
          <w:rFonts w:ascii="Times New Roman" w:hAnsi="Times New Roman"/>
          <w:sz w:val="24"/>
          <w:szCs w:val="24"/>
        </w:rPr>
        <w:t>de un laudo arbitral no es un procedimiento judicial incluido en el ámbito de aplicación del Reglamento (CE) 44/2001</w:t>
      </w:r>
      <w:r>
        <w:rPr>
          <w:rFonts w:ascii="Times New Roman" w:hAnsi="Times New Roman"/>
          <w:sz w:val="24"/>
          <w:szCs w:val="24"/>
        </w:rPr>
        <w:t>. L</w:t>
      </w:r>
      <w:r w:rsidR="005F4B13" w:rsidRPr="00F64697">
        <w:rPr>
          <w:rFonts w:ascii="Times New Roman" w:hAnsi="Times New Roman"/>
          <w:sz w:val="24"/>
          <w:szCs w:val="24"/>
        </w:rPr>
        <w:t xml:space="preserve">a materia “arbitraje” está excluida en su art. 1.2.d de su ámbito de aplicación. </w:t>
      </w:r>
      <w:r>
        <w:rPr>
          <w:rFonts w:ascii="Times New Roman" w:hAnsi="Times New Roman"/>
          <w:sz w:val="24"/>
          <w:szCs w:val="24"/>
        </w:rPr>
        <w:t xml:space="preserve">Por ello, </w:t>
      </w:r>
      <w:r w:rsidR="005F4B13" w:rsidRPr="00F64697">
        <w:rPr>
          <w:rFonts w:ascii="Times New Roman" w:hAnsi="Times New Roman"/>
          <w:sz w:val="24"/>
          <w:szCs w:val="24"/>
        </w:rPr>
        <w:t>“</w:t>
      </w:r>
      <w:r w:rsidR="005F4B13" w:rsidRPr="00F64697">
        <w:rPr>
          <w:rFonts w:ascii="Times New Roman" w:hAnsi="Times New Roman"/>
          <w:i/>
          <w:iCs/>
          <w:sz w:val="24"/>
          <w:szCs w:val="24"/>
        </w:rPr>
        <w:t>la naturaleza no reglamentaria de los procedimientos del art. 66 le permite a la Corte ignorar la suspensión obligatoria impuesta por el Reglamento</w:t>
      </w:r>
      <w:r w:rsidR="005F4B13" w:rsidRPr="00F64697">
        <w:rPr>
          <w:rFonts w:ascii="Times New Roman" w:hAnsi="Times New Roman"/>
          <w:sz w:val="24"/>
          <w:szCs w:val="24"/>
        </w:rPr>
        <w:t>” (apartado 192).</w:t>
      </w:r>
      <w:r w:rsidR="005F4B13" w:rsidRPr="00F64697">
        <w:rPr>
          <w:rFonts w:ascii="Times New Roman" w:hAnsi="Times New Roman"/>
          <w:i/>
          <w:iCs/>
          <w:sz w:val="24"/>
          <w:szCs w:val="24"/>
        </w:rPr>
        <w:t xml:space="preserve"> </w:t>
      </w:r>
    </w:p>
    <w:p w14:paraId="226FCEC9" w14:textId="54C4FD4B" w:rsidR="005F4B13" w:rsidRPr="00F64697" w:rsidRDefault="00AD4990" w:rsidP="00AD4990">
      <w:pPr>
        <w:pStyle w:val="Prrafodelista"/>
        <w:numPr>
          <w:ilvl w:val="0"/>
          <w:numId w:val="44"/>
        </w:numPr>
        <w:spacing w:before="120" w:after="120" w:line="240" w:lineRule="auto"/>
        <w:jc w:val="both"/>
        <w:rPr>
          <w:rFonts w:cs="Times New Roman"/>
          <w:sz w:val="24"/>
          <w:szCs w:val="24"/>
        </w:rPr>
      </w:pPr>
      <w:r>
        <w:rPr>
          <w:rFonts w:cs="Times New Roman"/>
          <w:sz w:val="24"/>
          <w:szCs w:val="24"/>
        </w:rPr>
        <w:t>La ejecución forzosa de los laudos en el Reino Unido contra España y Francia obedece a un</w:t>
      </w:r>
      <w:r w:rsidR="005F4B13" w:rsidRPr="00F64697">
        <w:rPr>
          <w:rFonts w:cs="Times New Roman"/>
          <w:sz w:val="24"/>
          <w:szCs w:val="24"/>
        </w:rPr>
        <w:t xml:space="preserve"> </w:t>
      </w:r>
      <w:r w:rsidR="005F4B13" w:rsidRPr="00F64697">
        <w:rPr>
          <w:rFonts w:cs="Times New Roman"/>
          <w:i/>
          <w:iCs/>
          <w:sz w:val="24"/>
          <w:szCs w:val="24"/>
        </w:rPr>
        <w:t>criterio de utilidad</w:t>
      </w:r>
      <w:r w:rsidR="005F4B13" w:rsidRPr="00F64697">
        <w:rPr>
          <w:rFonts w:cs="Times New Roman"/>
          <w:sz w:val="24"/>
          <w:szCs w:val="24"/>
        </w:rPr>
        <w:t xml:space="preserve"> para el club P&amp;I</w:t>
      </w:r>
      <w:r>
        <w:rPr>
          <w:rFonts w:cs="Times New Roman"/>
          <w:sz w:val="24"/>
          <w:szCs w:val="24"/>
        </w:rPr>
        <w:t xml:space="preserve">: </w:t>
      </w:r>
      <w:r w:rsidR="005F4B13" w:rsidRPr="00F64697">
        <w:rPr>
          <w:rFonts w:cs="Times New Roman"/>
          <w:sz w:val="24"/>
          <w:szCs w:val="24"/>
        </w:rPr>
        <w:t xml:space="preserve">obstaculizar la futura sentencia del tribunal español que primero ha conocido del litigio de la responsabilidad civil derivada del siniestro del buque “Prestige”. </w:t>
      </w:r>
      <w:r>
        <w:rPr>
          <w:rFonts w:cs="Times New Roman"/>
          <w:sz w:val="24"/>
          <w:szCs w:val="24"/>
        </w:rPr>
        <w:t xml:space="preserve">Al considerar que la resolución judicial de ejecución de laudos es inconciliable con la futura resolución judicial española. Expresamente </w:t>
      </w:r>
      <w:r w:rsidR="005F4B13" w:rsidRPr="00F64697">
        <w:rPr>
          <w:rFonts w:cs="Times New Roman"/>
          <w:sz w:val="24"/>
          <w:szCs w:val="24"/>
        </w:rPr>
        <w:t>“</w:t>
      </w:r>
      <w:r w:rsidR="005F4B13" w:rsidRPr="00F64697">
        <w:rPr>
          <w:rFonts w:cs="Times New Roman"/>
          <w:i/>
          <w:iCs/>
          <w:sz w:val="24"/>
          <w:szCs w:val="24"/>
        </w:rPr>
        <w:t>afirmaría de haber dictado una sentencia reglamentaria para triunfar sobre la sentencia de la Corte ante la que se interpuso la primera reclamación</w:t>
      </w:r>
      <w:r w:rsidR="005F4B13" w:rsidRPr="00F64697">
        <w:rPr>
          <w:rFonts w:cs="Times New Roman"/>
          <w:sz w:val="24"/>
          <w:szCs w:val="24"/>
        </w:rPr>
        <w:t>” (apartado 192)</w:t>
      </w:r>
      <w:r>
        <w:rPr>
          <w:rFonts w:cs="Times New Roman"/>
          <w:sz w:val="24"/>
          <w:szCs w:val="24"/>
        </w:rPr>
        <w:t xml:space="preserve">; </w:t>
      </w:r>
      <w:r w:rsidR="005F4B13" w:rsidRPr="00F64697">
        <w:rPr>
          <w:rFonts w:cs="Times New Roman"/>
          <w:sz w:val="24"/>
          <w:szCs w:val="24"/>
        </w:rPr>
        <w:t>“</w:t>
      </w:r>
      <w:r w:rsidR="005F4B13" w:rsidRPr="00F64697">
        <w:rPr>
          <w:rFonts w:cs="Times New Roman"/>
          <w:i/>
          <w:iCs/>
          <w:sz w:val="24"/>
          <w:szCs w:val="24"/>
        </w:rPr>
        <w:t>existe una clara utilidad en dictar sentencia y el régimen del Reglamento no es razón buena ni suficiente para impedir que el Club busque materializar el pleno beneficio de sus laudos</w:t>
      </w:r>
      <w:r w:rsidR="005F4B13" w:rsidRPr="00F64697">
        <w:rPr>
          <w:rFonts w:cs="Times New Roman"/>
          <w:sz w:val="24"/>
          <w:szCs w:val="24"/>
        </w:rPr>
        <w:t xml:space="preserve">” (apartado 194). </w:t>
      </w:r>
    </w:p>
    <w:p w14:paraId="365CACD8" w14:textId="6890381B" w:rsidR="005F4B13" w:rsidRPr="00F64697" w:rsidRDefault="006F573D" w:rsidP="005F4B13">
      <w:pPr>
        <w:spacing w:before="120" w:after="120" w:line="240" w:lineRule="auto"/>
        <w:jc w:val="both"/>
        <w:rPr>
          <w:rFonts w:cs="Times New Roman"/>
          <w:sz w:val="24"/>
          <w:szCs w:val="24"/>
        </w:rPr>
      </w:pPr>
      <w:r w:rsidRPr="00F64697">
        <w:rPr>
          <w:rFonts w:cs="Times New Roman"/>
          <w:sz w:val="24"/>
          <w:szCs w:val="24"/>
        </w:rPr>
        <w:t>L</w:t>
      </w:r>
      <w:r w:rsidR="005F4B13" w:rsidRPr="00F64697">
        <w:rPr>
          <w:rFonts w:cs="Times New Roman"/>
          <w:sz w:val="24"/>
          <w:szCs w:val="24"/>
        </w:rPr>
        <w:t xml:space="preserve">os Estados español y francés plantearon recurso de apelación contra la sentencia de la </w:t>
      </w:r>
      <w:r w:rsidR="005F4B13" w:rsidRPr="00F64697">
        <w:rPr>
          <w:rFonts w:cs="Times New Roman"/>
          <w:i/>
          <w:iCs/>
          <w:sz w:val="24"/>
          <w:szCs w:val="24"/>
        </w:rPr>
        <w:t>High Court</w:t>
      </w:r>
      <w:r w:rsidR="005F4B13" w:rsidRPr="00F64697">
        <w:rPr>
          <w:rFonts w:cs="Times New Roman"/>
          <w:sz w:val="24"/>
          <w:szCs w:val="24"/>
        </w:rPr>
        <w:t xml:space="preserve"> de 22 de octubre de 2013. Sin embargo, el 1 de abril de 2015, la </w:t>
      </w:r>
      <w:r w:rsidR="005F4B13" w:rsidRPr="00F64697">
        <w:rPr>
          <w:rFonts w:cs="Times New Roman"/>
          <w:i/>
          <w:sz w:val="24"/>
          <w:szCs w:val="24"/>
        </w:rPr>
        <w:t>Court of Appeal</w:t>
      </w:r>
      <w:r w:rsidR="005F4B13" w:rsidRPr="00F64697">
        <w:rPr>
          <w:rFonts w:cs="Times New Roman"/>
          <w:sz w:val="24"/>
          <w:szCs w:val="24"/>
          <w:vertAlign w:val="superscript"/>
        </w:rPr>
        <w:footnoteReference w:id="23"/>
      </w:r>
      <w:r w:rsidR="005F4B13" w:rsidRPr="00F64697">
        <w:rPr>
          <w:rFonts w:cs="Times New Roman"/>
          <w:i/>
          <w:sz w:val="24"/>
          <w:szCs w:val="24"/>
        </w:rPr>
        <w:t xml:space="preserve"> </w:t>
      </w:r>
      <w:r w:rsidR="005F4B13" w:rsidRPr="00F64697">
        <w:rPr>
          <w:rFonts w:cs="Times New Roman"/>
          <w:sz w:val="24"/>
          <w:szCs w:val="24"/>
        </w:rPr>
        <w:t>confirma dicha resolución. Además, mantiene expresamente que los Estados español y francés ha</w:t>
      </w:r>
      <w:r w:rsidRPr="00F64697">
        <w:rPr>
          <w:rFonts w:cs="Times New Roman"/>
          <w:sz w:val="24"/>
          <w:szCs w:val="24"/>
        </w:rPr>
        <w:t>n</w:t>
      </w:r>
      <w:r w:rsidR="005F4B13" w:rsidRPr="00F64697">
        <w:rPr>
          <w:rFonts w:cs="Times New Roman"/>
          <w:sz w:val="24"/>
          <w:szCs w:val="24"/>
        </w:rPr>
        <w:t xml:space="preserve"> perdido la inmunidad estatal al someterse a los tribunales ingleses para oponerse a la ejecución forzosa de los laudos arbitrales dictado. </w:t>
      </w:r>
    </w:p>
    <w:p w14:paraId="288188A0" w14:textId="77777777" w:rsidR="00FC6064" w:rsidRPr="00F64697" w:rsidRDefault="00FC6064" w:rsidP="00E17EC6">
      <w:pPr>
        <w:spacing w:before="120" w:after="120" w:line="240" w:lineRule="auto"/>
        <w:jc w:val="both"/>
        <w:rPr>
          <w:rFonts w:cs="Times New Roman"/>
          <w:sz w:val="24"/>
          <w:szCs w:val="24"/>
        </w:rPr>
      </w:pPr>
    </w:p>
    <w:p w14:paraId="38617D91" w14:textId="28A1DA12" w:rsidR="003F16B6" w:rsidRPr="00F64697" w:rsidRDefault="00574379" w:rsidP="00FC096A">
      <w:pPr>
        <w:pStyle w:val="Prrafodelista"/>
        <w:numPr>
          <w:ilvl w:val="0"/>
          <w:numId w:val="42"/>
        </w:numPr>
        <w:spacing w:before="120" w:after="120" w:line="240" w:lineRule="auto"/>
        <w:jc w:val="both"/>
        <w:rPr>
          <w:rFonts w:cs="Times New Roman"/>
          <w:b/>
          <w:bCs/>
          <w:sz w:val="24"/>
          <w:szCs w:val="24"/>
        </w:rPr>
      </w:pPr>
      <w:r w:rsidRPr="00F64697">
        <w:rPr>
          <w:rFonts w:cs="Times New Roman"/>
          <w:b/>
          <w:bCs/>
          <w:sz w:val="24"/>
          <w:szCs w:val="24"/>
        </w:rPr>
        <w:t xml:space="preserve">Cuestión prejudicial ante </w:t>
      </w:r>
      <w:r w:rsidR="003F67FC" w:rsidRPr="00F64697">
        <w:rPr>
          <w:rFonts w:cs="Times New Roman"/>
          <w:b/>
          <w:bCs/>
          <w:sz w:val="24"/>
          <w:szCs w:val="24"/>
        </w:rPr>
        <w:t>el Tribunal de Justicia de la Unión Europea</w:t>
      </w:r>
      <w:r w:rsidR="00F64697">
        <w:rPr>
          <w:rFonts w:cs="Times New Roman"/>
          <w:b/>
          <w:bCs/>
          <w:sz w:val="24"/>
          <w:szCs w:val="24"/>
        </w:rPr>
        <w:t>: obligación de ejecutar la resolución española en el Reino Unido</w:t>
      </w:r>
    </w:p>
    <w:p w14:paraId="0DDEDBF4" w14:textId="21318BB3" w:rsidR="005206A4" w:rsidRPr="00F64697" w:rsidRDefault="000E5B86" w:rsidP="00E17EC6">
      <w:pPr>
        <w:spacing w:before="120" w:after="120" w:line="240" w:lineRule="auto"/>
        <w:jc w:val="both"/>
        <w:rPr>
          <w:rFonts w:cs="Times New Roman"/>
          <w:sz w:val="24"/>
          <w:szCs w:val="24"/>
        </w:rPr>
      </w:pPr>
      <w:r w:rsidRPr="00F64697">
        <w:rPr>
          <w:rFonts w:cs="Times New Roman"/>
          <w:sz w:val="24"/>
          <w:szCs w:val="24"/>
        </w:rPr>
        <w:t xml:space="preserve">A pesar de la firmeza de las </w:t>
      </w:r>
      <w:r w:rsidR="005206A4" w:rsidRPr="00F64697">
        <w:rPr>
          <w:rFonts w:cs="Times New Roman"/>
          <w:sz w:val="24"/>
          <w:szCs w:val="24"/>
        </w:rPr>
        <w:t>resoluciones españolas</w:t>
      </w:r>
      <w:r w:rsidRPr="00F64697">
        <w:rPr>
          <w:rFonts w:cs="Times New Roman"/>
          <w:sz w:val="24"/>
          <w:szCs w:val="24"/>
        </w:rPr>
        <w:t xml:space="preserve"> de condena, e</w:t>
      </w:r>
      <w:r w:rsidR="00004CF9" w:rsidRPr="00F64697">
        <w:rPr>
          <w:rFonts w:cs="Times New Roman"/>
          <w:sz w:val="24"/>
          <w:szCs w:val="24"/>
        </w:rPr>
        <w:t xml:space="preserve">l </w:t>
      </w:r>
      <w:r w:rsidR="003F16B6" w:rsidRPr="00F64697">
        <w:rPr>
          <w:rFonts w:cs="Times New Roman"/>
          <w:sz w:val="24"/>
          <w:szCs w:val="24"/>
        </w:rPr>
        <w:t>c</w:t>
      </w:r>
      <w:r w:rsidR="00004CF9" w:rsidRPr="00F64697">
        <w:rPr>
          <w:rFonts w:cs="Times New Roman"/>
          <w:sz w:val="24"/>
          <w:szCs w:val="24"/>
        </w:rPr>
        <w:t xml:space="preserve">lub </w:t>
      </w:r>
      <w:r w:rsidR="003F16B6" w:rsidRPr="00F64697">
        <w:rPr>
          <w:rFonts w:cs="Times New Roman"/>
          <w:sz w:val="24"/>
          <w:szCs w:val="24"/>
        </w:rPr>
        <w:t xml:space="preserve">P&amp;I </w:t>
      </w:r>
      <w:r w:rsidRPr="00F64697">
        <w:rPr>
          <w:rFonts w:cs="Times New Roman"/>
          <w:sz w:val="24"/>
          <w:szCs w:val="24"/>
        </w:rPr>
        <w:t xml:space="preserve">persiste en la rebeldía y </w:t>
      </w:r>
      <w:r w:rsidR="00004CF9" w:rsidRPr="00F64697">
        <w:rPr>
          <w:rFonts w:cs="Times New Roman"/>
          <w:sz w:val="24"/>
          <w:szCs w:val="24"/>
        </w:rPr>
        <w:t xml:space="preserve">no </w:t>
      </w:r>
      <w:r w:rsidR="00756CD5" w:rsidRPr="00F64697">
        <w:rPr>
          <w:rFonts w:cs="Times New Roman"/>
          <w:sz w:val="24"/>
          <w:szCs w:val="24"/>
        </w:rPr>
        <w:t>cumple</w:t>
      </w:r>
      <w:r w:rsidR="00004CF9" w:rsidRPr="00F64697">
        <w:rPr>
          <w:rFonts w:cs="Times New Roman"/>
          <w:sz w:val="24"/>
          <w:szCs w:val="24"/>
        </w:rPr>
        <w:t xml:space="preserve"> su obligación de pago </w:t>
      </w:r>
      <w:r w:rsidR="008B5EE7" w:rsidRPr="00F64697">
        <w:rPr>
          <w:rFonts w:cs="Times New Roman"/>
          <w:sz w:val="24"/>
          <w:szCs w:val="24"/>
        </w:rPr>
        <w:t>de 855 millones de euros</w:t>
      </w:r>
      <w:r w:rsidR="00EF565F" w:rsidRPr="00F64697">
        <w:rPr>
          <w:rFonts w:cs="Times New Roman"/>
          <w:sz w:val="24"/>
          <w:szCs w:val="24"/>
        </w:rPr>
        <w:t xml:space="preserve">, que le impone el </w:t>
      </w:r>
      <w:r w:rsidR="00F37CEC" w:rsidRPr="00F64697">
        <w:rPr>
          <w:rFonts w:cs="Times New Roman"/>
          <w:sz w:val="24"/>
          <w:szCs w:val="24"/>
        </w:rPr>
        <w:t xml:space="preserve">auto </w:t>
      </w:r>
      <w:r w:rsidR="008B5EE7" w:rsidRPr="00F64697">
        <w:rPr>
          <w:rFonts w:cs="Times New Roman"/>
          <w:sz w:val="24"/>
          <w:szCs w:val="24"/>
        </w:rPr>
        <w:t>de la Audiencia Provincial de A Coruña de 1 de marzo de 2019</w:t>
      </w:r>
      <w:r w:rsidR="00EF565F" w:rsidRPr="00F64697">
        <w:rPr>
          <w:rFonts w:cs="Times New Roman"/>
          <w:sz w:val="24"/>
          <w:szCs w:val="24"/>
        </w:rPr>
        <w:t xml:space="preserve">. </w:t>
      </w:r>
      <w:r w:rsidR="00AD4990">
        <w:rPr>
          <w:rFonts w:cs="Times New Roman"/>
          <w:sz w:val="24"/>
          <w:szCs w:val="24"/>
        </w:rPr>
        <w:t>En consecuencia, e</w:t>
      </w:r>
      <w:r w:rsidR="00EF565F" w:rsidRPr="00F64697">
        <w:rPr>
          <w:rFonts w:cs="Times New Roman"/>
          <w:sz w:val="24"/>
          <w:szCs w:val="24"/>
        </w:rPr>
        <w:t>l Estado español inicia la ejecución forzosa</w:t>
      </w:r>
      <w:r w:rsidR="00004CF9" w:rsidRPr="00F64697">
        <w:rPr>
          <w:rFonts w:cs="Times New Roman"/>
          <w:sz w:val="24"/>
          <w:szCs w:val="24"/>
        </w:rPr>
        <w:t xml:space="preserve"> </w:t>
      </w:r>
      <w:r w:rsidR="00823532" w:rsidRPr="00F64697">
        <w:rPr>
          <w:rFonts w:cs="Times New Roman"/>
          <w:sz w:val="24"/>
          <w:szCs w:val="24"/>
        </w:rPr>
        <w:t>en el Reino Unido, p</w:t>
      </w:r>
      <w:r w:rsidR="00004CF9" w:rsidRPr="00F64697">
        <w:rPr>
          <w:rFonts w:cs="Times New Roman"/>
          <w:sz w:val="24"/>
          <w:szCs w:val="24"/>
        </w:rPr>
        <w:t xml:space="preserve">ues la aseguradora tiene </w:t>
      </w:r>
      <w:r w:rsidRPr="00F64697">
        <w:rPr>
          <w:rFonts w:cs="Times New Roman"/>
          <w:sz w:val="24"/>
          <w:szCs w:val="24"/>
        </w:rPr>
        <w:t>all</w:t>
      </w:r>
      <w:r w:rsidR="00004CF9" w:rsidRPr="00F64697">
        <w:rPr>
          <w:rFonts w:cs="Times New Roman"/>
          <w:sz w:val="24"/>
          <w:szCs w:val="24"/>
        </w:rPr>
        <w:t xml:space="preserve">í su </w:t>
      </w:r>
      <w:r w:rsidR="00823532" w:rsidRPr="00F64697">
        <w:rPr>
          <w:rFonts w:cs="Times New Roman"/>
          <w:sz w:val="24"/>
          <w:szCs w:val="24"/>
        </w:rPr>
        <w:t>domicilio social.</w:t>
      </w:r>
      <w:r w:rsidR="00004CF9" w:rsidRPr="00F64697">
        <w:rPr>
          <w:rFonts w:cs="Times New Roman"/>
          <w:sz w:val="24"/>
          <w:szCs w:val="24"/>
        </w:rPr>
        <w:t xml:space="preserve"> El fundamento legal de la ejecución forzosa </w:t>
      </w:r>
      <w:r w:rsidR="005F278A" w:rsidRPr="00F64697">
        <w:rPr>
          <w:rFonts w:cs="Times New Roman"/>
          <w:sz w:val="24"/>
          <w:szCs w:val="24"/>
        </w:rPr>
        <w:t xml:space="preserve">de una sentencia de un Estado de la Unión Europea en otro </w:t>
      </w:r>
      <w:r w:rsidR="00004CF9" w:rsidRPr="00F64697">
        <w:rPr>
          <w:rFonts w:cs="Times New Roman"/>
          <w:sz w:val="24"/>
          <w:szCs w:val="24"/>
        </w:rPr>
        <w:t xml:space="preserve">es el </w:t>
      </w:r>
      <w:r w:rsidR="00A31BA7" w:rsidRPr="00F64697">
        <w:rPr>
          <w:rFonts w:cs="Times New Roman"/>
          <w:sz w:val="24"/>
          <w:szCs w:val="24"/>
        </w:rPr>
        <w:t xml:space="preserve">hoy </w:t>
      </w:r>
      <w:r w:rsidR="009116B5" w:rsidRPr="00F64697">
        <w:rPr>
          <w:rFonts w:cs="Times New Roman"/>
          <w:sz w:val="24"/>
          <w:szCs w:val="24"/>
        </w:rPr>
        <w:t>citado</w:t>
      </w:r>
      <w:r w:rsidR="00A31BA7" w:rsidRPr="00F64697">
        <w:rPr>
          <w:rFonts w:cs="Times New Roman"/>
          <w:sz w:val="24"/>
          <w:szCs w:val="24"/>
        </w:rPr>
        <w:t xml:space="preserve"> </w:t>
      </w:r>
      <w:r w:rsidR="00192A8B" w:rsidRPr="00F64697">
        <w:rPr>
          <w:rFonts w:cs="Times New Roman"/>
          <w:sz w:val="24"/>
          <w:szCs w:val="24"/>
        </w:rPr>
        <w:t xml:space="preserve">Reglamento (CE) 44/2001 </w:t>
      </w:r>
      <w:r w:rsidR="00004CF9" w:rsidRPr="00F64697">
        <w:rPr>
          <w:rFonts w:cs="Times New Roman"/>
          <w:sz w:val="24"/>
          <w:szCs w:val="24"/>
        </w:rPr>
        <w:t>(</w:t>
      </w:r>
      <w:r w:rsidR="00004CF9" w:rsidRPr="00F64697">
        <w:rPr>
          <w:rFonts w:cs="Times New Roman"/>
          <w:i/>
          <w:iCs/>
          <w:sz w:val="24"/>
          <w:szCs w:val="24"/>
        </w:rPr>
        <w:t>Bruselas I</w:t>
      </w:r>
      <w:r w:rsidR="00004CF9" w:rsidRPr="00F64697">
        <w:rPr>
          <w:rFonts w:cs="Times New Roman"/>
          <w:sz w:val="24"/>
          <w:szCs w:val="24"/>
        </w:rPr>
        <w:t>)</w:t>
      </w:r>
      <w:r w:rsidR="005206A4" w:rsidRPr="00F64697">
        <w:rPr>
          <w:rFonts w:cs="Times New Roman"/>
          <w:sz w:val="24"/>
          <w:szCs w:val="24"/>
        </w:rPr>
        <w:t xml:space="preserve">. </w:t>
      </w:r>
      <w:r w:rsidR="009116B5" w:rsidRPr="00F64697">
        <w:rPr>
          <w:rFonts w:cs="Times New Roman"/>
          <w:sz w:val="24"/>
          <w:szCs w:val="24"/>
        </w:rPr>
        <w:t>Hoy derogado</w:t>
      </w:r>
      <w:r w:rsidR="009116B5" w:rsidRPr="00F64697">
        <w:rPr>
          <w:rStyle w:val="Refdenotaalpie"/>
          <w:rFonts w:cs="Times New Roman"/>
          <w:sz w:val="24"/>
          <w:szCs w:val="24"/>
        </w:rPr>
        <w:footnoteReference w:id="24"/>
      </w:r>
      <w:r w:rsidR="009116B5" w:rsidRPr="00F64697">
        <w:rPr>
          <w:rFonts w:cs="Times New Roman"/>
          <w:sz w:val="24"/>
          <w:szCs w:val="24"/>
        </w:rPr>
        <w:t>, e</w:t>
      </w:r>
      <w:r w:rsidR="005206A4" w:rsidRPr="00F64697">
        <w:rPr>
          <w:rFonts w:cs="Times New Roman"/>
          <w:sz w:val="24"/>
          <w:szCs w:val="24"/>
        </w:rPr>
        <w:t>s</w:t>
      </w:r>
      <w:r w:rsidR="00004CF9" w:rsidRPr="00F64697">
        <w:rPr>
          <w:rFonts w:cs="Times New Roman"/>
          <w:sz w:val="24"/>
          <w:szCs w:val="24"/>
        </w:rPr>
        <w:t xml:space="preserve"> aplicable </w:t>
      </w:r>
      <w:r w:rsidRPr="00F64697">
        <w:rPr>
          <w:rFonts w:cs="Times New Roman"/>
          <w:sz w:val="24"/>
          <w:szCs w:val="24"/>
        </w:rPr>
        <w:t xml:space="preserve">por ser la norma vigente en el momento </w:t>
      </w:r>
      <w:r w:rsidR="00A31BA7" w:rsidRPr="00F64697">
        <w:rPr>
          <w:rFonts w:cs="Times New Roman"/>
          <w:sz w:val="24"/>
          <w:szCs w:val="24"/>
        </w:rPr>
        <w:t>de la interposición de las acciones judiciales (art. 66.1)</w:t>
      </w:r>
      <w:r w:rsidR="00004CF9" w:rsidRPr="00F64697">
        <w:rPr>
          <w:rStyle w:val="Refdenotaalpie"/>
          <w:rFonts w:cs="Times New Roman"/>
          <w:sz w:val="24"/>
          <w:szCs w:val="24"/>
        </w:rPr>
        <w:footnoteReference w:id="25"/>
      </w:r>
      <w:r w:rsidR="00004CF9" w:rsidRPr="00F64697">
        <w:rPr>
          <w:rFonts w:cs="Times New Roman"/>
          <w:sz w:val="24"/>
          <w:szCs w:val="24"/>
        </w:rPr>
        <w:t>.</w:t>
      </w:r>
      <w:r w:rsidR="00192A8B" w:rsidRPr="00F64697">
        <w:rPr>
          <w:rFonts w:cs="Times New Roman"/>
          <w:sz w:val="24"/>
          <w:szCs w:val="24"/>
        </w:rPr>
        <w:t xml:space="preserve"> </w:t>
      </w:r>
      <w:r w:rsidRPr="00F64697">
        <w:rPr>
          <w:rFonts w:cs="Times New Roman"/>
          <w:sz w:val="24"/>
          <w:szCs w:val="24"/>
        </w:rPr>
        <w:t>En c</w:t>
      </w:r>
      <w:r w:rsidR="00A31BA7" w:rsidRPr="00F64697">
        <w:rPr>
          <w:rFonts w:cs="Times New Roman"/>
          <w:sz w:val="24"/>
          <w:szCs w:val="24"/>
        </w:rPr>
        <w:t>oncreto, e</w:t>
      </w:r>
      <w:r w:rsidR="007A38A5" w:rsidRPr="00F64697">
        <w:rPr>
          <w:rFonts w:cs="Times New Roman"/>
          <w:sz w:val="24"/>
          <w:szCs w:val="24"/>
        </w:rPr>
        <w:t>l</w:t>
      </w:r>
      <w:r w:rsidR="00004CF9" w:rsidRPr="00F64697">
        <w:rPr>
          <w:rFonts w:cs="Times New Roman"/>
          <w:sz w:val="24"/>
          <w:szCs w:val="24"/>
        </w:rPr>
        <w:t xml:space="preserve"> art. 38 Reglamento (CE) 44/2001 dispone que </w:t>
      </w:r>
      <w:r w:rsidR="007A38A5" w:rsidRPr="00F64697">
        <w:rPr>
          <w:rFonts w:cs="Times New Roman"/>
          <w:sz w:val="24"/>
          <w:szCs w:val="24"/>
        </w:rPr>
        <w:t>“</w:t>
      </w:r>
      <w:r w:rsidR="00004CF9" w:rsidRPr="00F64697">
        <w:rPr>
          <w:rFonts w:cs="Times New Roman"/>
          <w:i/>
          <w:iCs/>
          <w:sz w:val="24"/>
          <w:szCs w:val="24"/>
        </w:rPr>
        <w:t>las resoluciones dictadas en un Estado miembro que allí fueren ejecutorias se ejecutarán en otro Estado miembro cuando, a instancia de cualquier parte interesada, se hubiere otorgado su ejecución en este último. No obstante, en el Reino Unido, esas resoluciones se ejecutarán en Inglaterra y el País de Gales, en Escocia o en Irlanda del Norte, previo registro con fines de ejecución, a instancia de la parte interesada, en una u otra de esas partes del Reino Unido, según el caso</w:t>
      </w:r>
      <w:r w:rsidR="007A38A5" w:rsidRPr="00F64697">
        <w:rPr>
          <w:rFonts w:cs="Times New Roman"/>
          <w:sz w:val="24"/>
          <w:szCs w:val="24"/>
        </w:rPr>
        <w:t>”</w:t>
      </w:r>
      <w:r w:rsidR="00004CF9" w:rsidRPr="00F64697">
        <w:rPr>
          <w:rFonts w:cs="Times New Roman"/>
          <w:sz w:val="24"/>
          <w:szCs w:val="24"/>
        </w:rPr>
        <w:t>.</w:t>
      </w:r>
      <w:r w:rsidR="00F37CEC" w:rsidRPr="00F64697">
        <w:rPr>
          <w:rFonts w:cs="Times New Roman"/>
          <w:sz w:val="24"/>
          <w:szCs w:val="24"/>
        </w:rPr>
        <w:t xml:space="preserve"> </w:t>
      </w:r>
    </w:p>
    <w:p w14:paraId="0C0FE8D4" w14:textId="3D13A920" w:rsidR="00911F70" w:rsidRPr="00F64697" w:rsidRDefault="005206A4" w:rsidP="003F23B0">
      <w:pPr>
        <w:spacing w:before="120" w:after="120" w:line="240" w:lineRule="auto"/>
        <w:jc w:val="both"/>
        <w:rPr>
          <w:rFonts w:cs="Times New Roman"/>
          <w:sz w:val="24"/>
          <w:szCs w:val="24"/>
        </w:rPr>
      </w:pPr>
      <w:r w:rsidRPr="00F64697">
        <w:rPr>
          <w:rFonts w:cs="Times New Roman"/>
          <w:sz w:val="24"/>
          <w:szCs w:val="24"/>
        </w:rPr>
        <w:lastRenderedPageBreak/>
        <w:t xml:space="preserve">El Estado español solicita la </w:t>
      </w:r>
      <w:r w:rsidR="00756CD5" w:rsidRPr="00F64697">
        <w:rPr>
          <w:rFonts w:cs="Times New Roman"/>
          <w:sz w:val="24"/>
          <w:szCs w:val="24"/>
        </w:rPr>
        <w:t>ejecución del auto de la Audiencia Provincial de A Coruña de 1 de marzo de 2019 ante l</w:t>
      </w:r>
      <w:r w:rsidR="00823532" w:rsidRPr="00F64697">
        <w:rPr>
          <w:rFonts w:cs="Times New Roman"/>
          <w:sz w:val="24"/>
          <w:szCs w:val="24"/>
        </w:rPr>
        <w:t xml:space="preserve">a </w:t>
      </w:r>
      <w:r w:rsidR="00823532" w:rsidRPr="00F64697">
        <w:rPr>
          <w:rFonts w:cs="Times New Roman"/>
          <w:i/>
          <w:sz w:val="24"/>
          <w:szCs w:val="24"/>
        </w:rPr>
        <w:t>High Court</w:t>
      </w:r>
      <w:r w:rsidRPr="00F64697">
        <w:rPr>
          <w:rFonts w:cs="Times New Roman"/>
          <w:sz w:val="24"/>
          <w:szCs w:val="24"/>
        </w:rPr>
        <w:t xml:space="preserve"> </w:t>
      </w:r>
      <w:r w:rsidR="009116B5" w:rsidRPr="00F64697">
        <w:rPr>
          <w:rFonts w:cs="Times New Roman"/>
          <w:sz w:val="24"/>
          <w:szCs w:val="24"/>
        </w:rPr>
        <w:t>competente</w:t>
      </w:r>
      <w:r w:rsidR="00682538" w:rsidRPr="00F64697">
        <w:rPr>
          <w:rFonts w:cs="Times New Roman"/>
          <w:sz w:val="24"/>
          <w:szCs w:val="24"/>
        </w:rPr>
        <w:t xml:space="preserve">. El </w:t>
      </w:r>
      <w:r w:rsidR="003F23B0">
        <w:rPr>
          <w:rFonts w:cs="Times New Roman"/>
          <w:sz w:val="24"/>
          <w:szCs w:val="24"/>
        </w:rPr>
        <w:t>J</w:t>
      </w:r>
      <w:r w:rsidR="00682538" w:rsidRPr="00F64697">
        <w:rPr>
          <w:rFonts w:cs="Times New Roman"/>
          <w:sz w:val="24"/>
          <w:szCs w:val="24"/>
        </w:rPr>
        <w:t>uez</w:t>
      </w:r>
      <w:r w:rsidR="002D7DC0" w:rsidRPr="00F64697">
        <w:rPr>
          <w:rFonts w:cs="Times New Roman"/>
          <w:sz w:val="24"/>
          <w:szCs w:val="24"/>
        </w:rPr>
        <w:t xml:space="preserve"> </w:t>
      </w:r>
      <w:r w:rsidR="00756CD5" w:rsidRPr="00F64697">
        <w:rPr>
          <w:rFonts w:cs="Times New Roman"/>
          <w:sz w:val="24"/>
          <w:szCs w:val="24"/>
        </w:rPr>
        <w:t>emite</w:t>
      </w:r>
      <w:r w:rsidR="00823532" w:rsidRPr="00F64697">
        <w:rPr>
          <w:rFonts w:cs="Times New Roman"/>
          <w:sz w:val="24"/>
          <w:szCs w:val="24"/>
        </w:rPr>
        <w:t xml:space="preserve"> una orden de registro</w:t>
      </w:r>
      <w:r w:rsidR="00823532" w:rsidRPr="00F64697">
        <w:rPr>
          <w:rStyle w:val="Refdenotaalpie"/>
          <w:rFonts w:cs="Times New Roman"/>
          <w:sz w:val="24"/>
          <w:szCs w:val="24"/>
        </w:rPr>
        <w:footnoteReference w:id="26"/>
      </w:r>
      <w:r w:rsidR="00823532" w:rsidRPr="00F64697">
        <w:rPr>
          <w:rFonts w:cs="Times New Roman"/>
          <w:sz w:val="24"/>
          <w:szCs w:val="24"/>
        </w:rPr>
        <w:t xml:space="preserve">. </w:t>
      </w:r>
      <w:r w:rsidR="009116B5" w:rsidRPr="00F64697">
        <w:rPr>
          <w:rFonts w:cs="Times New Roman"/>
          <w:sz w:val="24"/>
          <w:szCs w:val="24"/>
        </w:rPr>
        <w:t>El club P&amp;I</w:t>
      </w:r>
      <w:r w:rsidR="00911F70" w:rsidRPr="00F64697">
        <w:rPr>
          <w:rFonts w:cs="Times New Roman"/>
          <w:sz w:val="24"/>
          <w:szCs w:val="24"/>
        </w:rPr>
        <w:t xml:space="preserve"> se opone a </w:t>
      </w:r>
      <w:r w:rsidR="00485DB6" w:rsidRPr="00F64697">
        <w:rPr>
          <w:rFonts w:cs="Times New Roman"/>
          <w:sz w:val="24"/>
          <w:szCs w:val="24"/>
        </w:rPr>
        <w:t>su</w:t>
      </w:r>
      <w:r w:rsidR="00911F70" w:rsidRPr="00F64697">
        <w:rPr>
          <w:rFonts w:cs="Times New Roman"/>
          <w:sz w:val="24"/>
          <w:szCs w:val="24"/>
        </w:rPr>
        <w:t xml:space="preserve"> ejecución en el Reino Unido</w:t>
      </w:r>
      <w:r w:rsidR="003F23B0">
        <w:rPr>
          <w:rFonts w:cs="Times New Roman"/>
          <w:sz w:val="24"/>
          <w:szCs w:val="24"/>
        </w:rPr>
        <w:t xml:space="preserve">, </w:t>
      </w:r>
      <w:r w:rsidR="00911F70" w:rsidRPr="00F64697">
        <w:rPr>
          <w:rFonts w:cs="Times New Roman"/>
          <w:sz w:val="24"/>
          <w:szCs w:val="24"/>
        </w:rPr>
        <w:t xml:space="preserve">según el art. 34(3) Reglamento (CE) 44/2001, </w:t>
      </w:r>
      <w:r w:rsidR="003F23B0">
        <w:rPr>
          <w:rFonts w:cs="Times New Roman"/>
          <w:sz w:val="24"/>
          <w:szCs w:val="24"/>
        </w:rPr>
        <w:t>“</w:t>
      </w:r>
      <w:r w:rsidR="003F23B0" w:rsidRPr="003F23B0">
        <w:rPr>
          <w:rFonts w:cs="Times New Roman"/>
          <w:i/>
          <w:iCs/>
          <w:sz w:val="24"/>
          <w:szCs w:val="24"/>
        </w:rPr>
        <w:t>Las decisiones no se reconocerán: (…) 3) si la resolución fuere inconciliable con una resolución dictada entre las mismas partes en el Estado miembro requerido</w:t>
      </w:r>
      <w:r w:rsidR="003F23B0">
        <w:rPr>
          <w:rFonts w:cs="Times New Roman"/>
          <w:sz w:val="24"/>
          <w:szCs w:val="24"/>
        </w:rPr>
        <w:t xml:space="preserve">”. El auto de la Audiencia Provincial de A Coruña es inconciliable </w:t>
      </w:r>
      <w:r w:rsidR="00911F70" w:rsidRPr="00F64697">
        <w:rPr>
          <w:rFonts w:cs="Times New Roman"/>
          <w:sz w:val="24"/>
          <w:szCs w:val="24"/>
        </w:rPr>
        <w:t xml:space="preserve">con la </w:t>
      </w:r>
      <w:r w:rsidR="00143B65" w:rsidRPr="00F64697">
        <w:rPr>
          <w:rFonts w:cs="Times New Roman"/>
          <w:sz w:val="24"/>
          <w:szCs w:val="24"/>
        </w:rPr>
        <w:t xml:space="preserve">citada </w:t>
      </w:r>
      <w:r w:rsidR="00756CD5" w:rsidRPr="00F64697">
        <w:rPr>
          <w:rFonts w:cs="Times New Roman"/>
          <w:sz w:val="24"/>
          <w:szCs w:val="24"/>
        </w:rPr>
        <w:t>sentencia</w:t>
      </w:r>
      <w:r w:rsidR="00911F70" w:rsidRPr="00F64697">
        <w:rPr>
          <w:rFonts w:cs="Times New Roman"/>
          <w:sz w:val="24"/>
          <w:szCs w:val="24"/>
        </w:rPr>
        <w:t xml:space="preserve"> de la </w:t>
      </w:r>
      <w:r w:rsidR="00911F70" w:rsidRPr="00F64697">
        <w:rPr>
          <w:rFonts w:cs="Times New Roman"/>
          <w:i/>
          <w:iCs/>
          <w:sz w:val="24"/>
          <w:szCs w:val="24"/>
        </w:rPr>
        <w:t>High Court</w:t>
      </w:r>
      <w:r w:rsidR="00911F70" w:rsidRPr="00F64697">
        <w:rPr>
          <w:rFonts w:cs="Times New Roman"/>
          <w:sz w:val="24"/>
          <w:szCs w:val="24"/>
        </w:rPr>
        <w:t xml:space="preserve"> de 22 de octubre de 2013</w:t>
      </w:r>
      <w:r w:rsidR="003F23B0">
        <w:rPr>
          <w:rFonts w:cs="Times New Roman"/>
          <w:sz w:val="24"/>
          <w:szCs w:val="24"/>
        </w:rPr>
        <w:t>. También opone el art. 34(1) Reglamento (CE) 44/2001:</w:t>
      </w:r>
      <w:r w:rsidR="00673801">
        <w:rPr>
          <w:rFonts w:cs="Times New Roman"/>
          <w:sz w:val="24"/>
          <w:szCs w:val="24"/>
        </w:rPr>
        <w:t xml:space="preserve"> </w:t>
      </w:r>
      <w:r w:rsidR="003F23B0">
        <w:rPr>
          <w:rFonts w:cs="Times New Roman"/>
          <w:sz w:val="24"/>
          <w:szCs w:val="24"/>
        </w:rPr>
        <w:t>“</w:t>
      </w:r>
      <w:r w:rsidR="003F23B0" w:rsidRPr="003F23B0">
        <w:rPr>
          <w:rFonts w:cs="Times New Roman"/>
          <w:i/>
          <w:iCs/>
          <w:sz w:val="24"/>
          <w:szCs w:val="24"/>
        </w:rPr>
        <w:t>Las decisiones no se reconocerán: 1) si el reconocimiento fuere manifiestamente contrario al orden público del Estado miembro requerido</w:t>
      </w:r>
      <w:r w:rsidR="003F23B0">
        <w:rPr>
          <w:rFonts w:cs="Times New Roman"/>
          <w:sz w:val="24"/>
          <w:szCs w:val="24"/>
        </w:rPr>
        <w:t xml:space="preserve">”. En concreto, la ejecución del auto de la Audiencia Provincial de A Coruña en el Reino Unido </w:t>
      </w:r>
      <w:r w:rsidR="00911F70" w:rsidRPr="00F64697">
        <w:rPr>
          <w:rFonts w:cs="Times New Roman"/>
          <w:sz w:val="24"/>
          <w:szCs w:val="24"/>
        </w:rPr>
        <w:t>supon</w:t>
      </w:r>
      <w:r w:rsidR="00485DB6" w:rsidRPr="00F64697">
        <w:rPr>
          <w:rFonts w:cs="Times New Roman"/>
          <w:sz w:val="24"/>
          <w:szCs w:val="24"/>
        </w:rPr>
        <w:t>e</w:t>
      </w:r>
      <w:r w:rsidR="00911F70" w:rsidRPr="00F64697">
        <w:rPr>
          <w:rFonts w:cs="Times New Roman"/>
          <w:sz w:val="24"/>
          <w:szCs w:val="24"/>
        </w:rPr>
        <w:t xml:space="preserve"> una vulneración del orden público inglés, en particular de la regla de la </w:t>
      </w:r>
      <w:r w:rsidR="003F23B0">
        <w:rPr>
          <w:rFonts w:cs="Times New Roman"/>
          <w:sz w:val="24"/>
          <w:szCs w:val="24"/>
        </w:rPr>
        <w:t>cosa juzgada (</w:t>
      </w:r>
      <w:r w:rsidR="00911F70" w:rsidRPr="00F64697">
        <w:rPr>
          <w:rFonts w:cs="Times New Roman"/>
          <w:i/>
          <w:sz w:val="24"/>
          <w:szCs w:val="24"/>
        </w:rPr>
        <w:t>res judicata</w:t>
      </w:r>
      <w:r w:rsidR="003F23B0" w:rsidRPr="003F23B0">
        <w:rPr>
          <w:rFonts w:cs="Times New Roman"/>
          <w:iCs/>
          <w:sz w:val="24"/>
          <w:szCs w:val="24"/>
        </w:rPr>
        <w:t>)</w:t>
      </w:r>
      <w:r w:rsidR="00911F70" w:rsidRPr="00F64697">
        <w:rPr>
          <w:rStyle w:val="Refdenotaalpie"/>
          <w:rFonts w:cs="Times New Roman"/>
          <w:sz w:val="24"/>
          <w:szCs w:val="24"/>
        </w:rPr>
        <w:footnoteReference w:id="27"/>
      </w:r>
      <w:r w:rsidR="003F23B0">
        <w:rPr>
          <w:rFonts w:cs="Times New Roman"/>
          <w:iCs/>
          <w:sz w:val="24"/>
          <w:szCs w:val="24"/>
        </w:rPr>
        <w:t>.</w:t>
      </w:r>
    </w:p>
    <w:p w14:paraId="191AB18D" w14:textId="3337CD66" w:rsidR="00334F34" w:rsidRPr="00F64697" w:rsidRDefault="00682538" w:rsidP="00203F94">
      <w:pPr>
        <w:spacing w:before="120" w:after="120" w:line="240" w:lineRule="auto"/>
        <w:jc w:val="both"/>
        <w:rPr>
          <w:rFonts w:cs="Times New Roman"/>
          <w:sz w:val="24"/>
          <w:szCs w:val="24"/>
        </w:rPr>
      </w:pPr>
      <w:r w:rsidRPr="00F64697">
        <w:rPr>
          <w:rFonts w:cs="Times New Roman"/>
          <w:sz w:val="24"/>
          <w:szCs w:val="24"/>
        </w:rPr>
        <w:t>E</w:t>
      </w:r>
      <w:r w:rsidR="004A29CB" w:rsidRPr="00F64697">
        <w:rPr>
          <w:rFonts w:cs="Times New Roman"/>
          <w:sz w:val="24"/>
          <w:szCs w:val="24"/>
        </w:rPr>
        <w:t xml:space="preserve">l Estado Español </w:t>
      </w:r>
      <w:r w:rsidRPr="00F64697">
        <w:rPr>
          <w:rFonts w:cs="Times New Roman"/>
          <w:sz w:val="24"/>
          <w:szCs w:val="24"/>
        </w:rPr>
        <w:t xml:space="preserve">responde </w:t>
      </w:r>
      <w:r w:rsidR="003F23B0">
        <w:rPr>
          <w:rFonts w:cs="Times New Roman"/>
          <w:sz w:val="24"/>
          <w:szCs w:val="24"/>
        </w:rPr>
        <w:t xml:space="preserve">y pide </w:t>
      </w:r>
      <w:r w:rsidR="00143B65" w:rsidRPr="00F64697">
        <w:rPr>
          <w:rFonts w:cs="Times New Roman"/>
          <w:sz w:val="24"/>
          <w:szCs w:val="24"/>
        </w:rPr>
        <w:t>a</w:t>
      </w:r>
      <w:r w:rsidRPr="00F64697">
        <w:rPr>
          <w:rFonts w:cs="Times New Roman"/>
          <w:sz w:val="24"/>
          <w:szCs w:val="24"/>
        </w:rPr>
        <w:t xml:space="preserve"> l</w:t>
      </w:r>
      <w:r w:rsidR="00823532" w:rsidRPr="00F64697">
        <w:rPr>
          <w:rFonts w:cs="Times New Roman"/>
          <w:sz w:val="24"/>
          <w:szCs w:val="24"/>
        </w:rPr>
        <w:t xml:space="preserve">a </w:t>
      </w:r>
      <w:r w:rsidR="00823532" w:rsidRPr="00F64697">
        <w:rPr>
          <w:rFonts w:cs="Times New Roman"/>
          <w:i/>
          <w:sz w:val="24"/>
          <w:szCs w:val="24"/>
        </w:rPr>
        <w:t>High Court</w:t>
      </w:r>
      <w:r w:rsidR="00823532" w:rsidRPr="00F64697">
        <w:rPr>
          <w:rFonts w:cs="Times New Roman"/>
          <w:sz w:val="24"/>
          <w:szCs w:val="24"/>
        </w:rPr>
        <w:t xml:space="preserve"> </w:t>
      </w:r>
      <w:r w:rsidRPr="00F64697">
        <w:rPr>
          <w:rFonts w:cs="Times New Roman"/>
          <w:sz w:val="24"/>
          <w:szCs w:val="24"/>
        </w:rPr>
        <w:t>que</w:t>
      </w:r>
      <w:r w:rsidR="00203F94" w:rsidRPr="00F64697">
        <w:rPr>
          <w:rFonts w:cs="Times New Roman"/>
          <w:sz w:val="24"/>
          <w:szCs w:val="24"/>
        </w:rPr>
        <w:t xml:space="preserve"> presente</w:t>
      </w:r>
      <w:r w:rsidR="00823532" w:rsidRPr="00F64697">
        <w:rPr>
          <w:rFonts w:cs="Times New Roman"/>
          <w:sz w:val="24"/>
          <w:szCs w:val="24"/>
        </w:rPr>
        <w:t xml:space="preserve"> una cuestión pre</w:t>
      </w:r>
      <w:r w:rsidR="00143B65" w:rsidRPr="00F64697">
        <w:rPr>
          <w:rFonts w:cs="Times New Roman"/>
          <w:sz w:val="24"/>
          <w:szCs w:val="24"/>
        </w:rPr>
        <w:t>judicial</w:t>
      </w:r>
      <w:r w:rsidR="00823532" w:rsidRPr="00F64697">
        <w:rPr>
          <w:rFonts w:cs="Times New Roman"/>
          <w:sz w:val="24"/>
          <w:szCs w:val="24"/>
        </w:rPr>
        <w:t xml:space="preserve"> ante el T</w:t>
      </w:r>
      <w:r w:rsidR="002306EE" w:rsidRPr="00F64697">
        <w:rPr>
          <w:rFonts w:cs="Times New Roman"/>
          <w:sz w:val="24"/>
          <w:szCs w:val="24"/>
        </w:rPr>
        <w:t>ribunal de Justicia de la Unión Europea</w:t>
      </w:r>
      <w:r w:rsidR="003F23B0">
        <w:rPr>
          <w:rFonts w:cs="Times New Roman"/>
          <w:sz w:val="24"/>
          <w:szCs w:val="24"/>
        </w:rPr>
        <w:t xml:space="preserve"> para que, como máximo intérprete, determine cómo ha de interpretarse el Reglamento (CE) 44/2001. </w:t>
      </w:r>
      <w:r w:rsidRPr="00F64697">
        <w:rPr>
          <w:rFonts w:cs="Times New Roman"/>
          <w:sz w:val="24"/>
          <w:szCs w:val="24"/>
        </w:rPr>
        <w:t xml:space="preserve">El </w:t>
      </w:r>
      <w:r w:rsidR="003F23B0">
        <w:rPr>
          <w:rFonts w:cs="Times New Roman"/>
          <w:sz w:val="24"/>
          <w:szCs w:val="24"/>
        </w:rPr>
        <w:t>J</w:t>
      </w:r>
      <w:r w:rsidRPr="00F64697">
        <w:rPr>
          <w:rFonts w:cs="Times New Roman"/>
          <w:sz w:val="24"/>
          <w:szCs w:val="24"/>
        </w:rPr>
        <w:t xml:space="preserve">uez, tras deliberar con ambas partes, </w:t>
      </w:r>
      <w:r w:rsidR="003F23B0">
        <w:rPr>
          <w:rFonts w:cs="Times New Roman"/>
          <w:sz w:val="24"/>
          <w:szCs w:val="24"/>
        </w:rPr>
        <w:t xml:space="preserve">accede y </w:t>
      </w:r>
      <w:r w:rsidR="00823532" w:rsidRPr="00F64697">
        <w:rPr>
          <w:rFonts w:cs="Times New Roman"/>
          <w:sz w:val="24"/>
          <w:szCs w:val="24"/>
        </w:rPr>
        <w:t>plante</w:t>
      </w:r>
      <w:r w:rsidR="00B661B4" w:rsidRPr="00F64697">
        <w:rPr>
          <w:rFonts w:cs="Times New Roman"/>
          <w:sz w:val="24"/>
          <w:szCs w:val="24"/>
        </w:rPr>
        <w:t>a</w:t>
      </w:r>
      <w:r w:rsidR="007E45D7" w:rsidRPr="00F64697">
        <w:rPr>
          <w:rFonts w:cs="Times New Roman"/>
          <w:sz w:val="24"/>
          <w:szCs w:val="24"/>
        </w:rPr>
        <w:t xml:space="preserve"> </w:t>
      </w:r>
      <w:r w:rsidR="00823532" w:rsidRPr="00F64697">
        <w:rPr>
          <w:rFonts w:cs="Times New Roman"/>
          <w:sz w:val="24"/>
          <w:szCs w:val="24"/>
        </w:rPr>
        <w:t xml:space="preserve">el 20 de diciembre de 2020 </w:t>
      </w:r>
      <w:r w:rsidR="00EE7625" w:rsidRPr="00F64697">
        <w:rPr>
          <w:rFonts w:cs="Times New Roman"/>
          <w:sz w:val="24"/>
          <w:szCs w:val="24"/>
        </w:rPr>
        <w:t xml:space="preserve">una cuestión prejudicial con arreglo al art. 267 del Tratado de Funcionamiento de la Unión Europea. </w:t>
      </w:r>
      <w:r w:rsidR="00823532" w:rsidRPr="00F64697">
        <w:rPr>
          <w:rFonts w:cs="Times New Roman"/>
          <w:sz w:val="24"/>
          <w:szCs w:val="24"/>
        </w:rPr>
        <w:t xml:space="preserve">Es </w:t>
      </w:r>
      <w:r w:rsidR="00B661B4" w:rsidRPr="00F64697">
        <w:rPr>
          <w:rFonts w:cs="Times New Roman"/>
          <w:sz w:val="24"/>
          <w:szCs w:val="24"/>
        </w:rPr>
        <w:t>necesario</w:t>
      </w:r>
      <w:r w:rsidR="00823532" w:rsidRPr="00F64697">
        <w:rPr>
          <w:rFonts w:cs="Times New Roman"/>
          <w:sz w:val="24"/>
          <w:szCs w:val="24"/>
        </w:rPr>
        <w:t xml:space="preserve"> remarcar la fecha de</w:t>
      </w:r>
      <w:r w:rsidR="00EE7625" w:rsidRPr="00F64697">
        <w:rPr>
          <w:rFonts w:cs="Times New Roman"/>
          <w:sz w:val="24"/>
          <w:szCs w:val="24"/>
        </w:rPr>
        <w:t>l planteamiento de</w:t>
      </w:r>
      <w:r w:rsidR="00823532" w:rsidRPr="00F64697">
        <w:rPr>
          <w:rFonts w:cs="Times New Roman"/>
          <w:sz w:val="24"/>
          <w:szCs w:val="24"/>
        </w:rPr>
        <w:t xml:space="preserve"> la cuestión prejudicial: </w:t>
      </w:r>
      <w:r w:rsidR="00823532" w:rsidRPr="00F64697">
        <w:rPr>
          <w:rFonts w:cs="Times New Roman"/>
          <w:i/>
          <w:iCs/>
          <w:sz w:val="24"/>
          <w:szCs w:val="24"/>
        </w:rPr>
        <w:t>20 de diciembre de 202</w:t>
      </w:r>
      <w:r w:rsidR="00EE7625" w:rsidRPr="00F64697">
        <w:rPr>
          <w:rFonts w:cs="Times New Roman"/>
          <w:i/>
          <w:iCs/>
          <w:sz w:val="24"/>
          <w:szCs w:val="24"/>
        </w:rPr>
        <w:t>0</w:t>
      </w:r>
      <w:r w:rsidR="00823532" w:rsidRPr="00F64697">
        <w:rPr>
          <w:rFonts w:cs="Times New Roman"/>
          <w:sz w:val="24"/>
          <w:szCs w:val="24"/>
        </w:rPr>
        <w:t>, once días antes de la consumación del Brexit</w:t>
      </w:r>
      <w:r w:rsidR="00EE7625" w:rsidRPr="00F64697">
        <w:rPr>
          <w:rFonts w:cs="Times New Roman"/>
          <w:sz w:val="24"/>
          <w:szCs w:val="24"/>
        </w:rPr>
        <w:t xml:space="preserve"> o retirada del Reino Unido de la Unión Europea</w:t>
      </w:r>
      <w:r w:rsidR="00823532" w:rsidRPr="00F64697">
        <w:rPr>
          <w:rFonts w:cs="Times New Roman"/>
          <w:sz w:val="24"/>
          <w:szCs w:val="24"/>
        </w:rPr>
        <w:t>. De acuerdo con el art. 86 del acuerdo de retirada del Reino Unido de la Unión Europea, del Brexit, de 19 de octubre de 2019, el T</w:t>
      </w:r>
      <w:r w:rsidR="002306EE" w:rsidRPr="00F64697">
        <w:rPr>
          <w:rFonts w:cs="Times New Roman"/>
          <w:sz w:val="24"/>
          <w:szCs w:val="24"/>
        </w:rPr>
        <w:t>ribunal de Justicia de la Unión Europea</w:t>
      </w:r>
      <w:r w:rsidR="00823532" w:rsidRPr="00F64697">
        <w:rPr>
          <w:rFonts w:cs="Times New Roman"/>
          <w:sz w:val="24"/>
          <w:szCs w:val="24"/>
        </w:rPr>
        <w:t xml:space="preserve"> mantendría transitoriamente su jurisdicción para “</w:t>
      </w:r>
      <w:r w:rsidR="00823532" w:rsidRPr="00F64697">
        <w:rPr>
          <w:rFonts w:cs="Times New Roman"/>
          <w:i/>
          <w:iCs/>
          <w:sz w:val="24"/>
          <w:szCs w:val="24"/>
        </w:rPr>
        <w:t>asuntos planteados hasta el 1 de enero de 2021</w:t>
      </w:r>
      <w:r w:rsidR="00823532" w:rsidRPr="00F64697">
        <w:rPr>
          <w:rFonts w:cs="Times New Roman"/>
          <w:sz w:val="24"/>
          <w:szCs w:val="24"/>
        </w:rPr>
        <w:t xml:space="preserve">”. </w:t>
      </w:r>
      <w:r w:rsidR="00835E6B" w:rsidRPr="00F64697">
        <w:rPr>
          <w:rFonts w:cs="Times New Roman"/>
          <w:sz w:val="24"/>
          <w:szCs w:val="24"/>
        </w:rPr>
        <w:t xml:space="preserve">Por consiguiente, la cuestión prejudicial fue formulada en plazo y, a pesar del Brexit, el Reino Unido está vinculado por la decisión del Tribunal de Justicia de la Unión Europea. </w:t>
      </w:r>
    </w:p>
    <w:p w14:paraId="60A0B88B" w14:textId="7ECF8137" w:rsidR="00682538" w:rsidRPr="00F64697" w:rsidRDefault="00682538" w:rsidP="00203F94">
      <w:pPr>
        <w:spacing w:before="120" w:after="120" w:line="240" w:lineRule="auto"/>
        <w:jc w:val="both"/>
        <w:rPr>
          <w:rFonts w:cs="Times New Roman"/>
          <w:sz w:val="24"/>
          <w:szCs w:val="24"/>
        </w:rPr>
      </w:pPr>
      <w:r w:rsidRPr="00F64697">
        <w:rPr>
          <w:rFonts w:cs="Times New Roman"/>
          <w:sz w:val="24"/>
          <w:szCs w:val="24"/>
        </w:rPr>
        <w:t xml:space="preserve">En esencia, el </w:t>
      </w:r>
      <w:r w:rsidR="003F23B0">
        <w:rPr>
          <w:rFonts w:cs="Times New Roman"/>
          <w:sz w:val="24"/>
          <w:szCs w:val="24"/>
        </w:rPr>
        <w:t>J</w:t>
      </w:r>
      <w:r w:rsidRPr="00F64697">
        <w:rPr>
          <w:rFonts w:cs="Times New Roman"/>
          <w:sz w:val="24"/>
          <w:szCs w:val="24"/>
        </w:rPr>
        <w:t>uez pregunta al Tribunal de Justicia de la Unión Europea si la resolución judicial de ejecución forzosa de un laudo, al amparo del art. 66 de la Ley de arbitraje inglesa es una “resolución” a los efectos del art. 34</w:t>
      </w:r>
      <w:r w:rsidR="005C4B61" w:rsidRPr="00F64697">
        <w:rPr>
          <w:rFonts w:cs="Times New Roman"/>
          <w:sz w:val="24"/>
          <w:szCs w:val="24"/>
        </w:rPr>
        <w:t>.3</w:t>
      </w:r>
      <w:r w:rsidRPr="00F64697">
        <w:rPr>
          <w:rFonts w:cs="Times New Roman"/>
          <w:sz w:val="24"/>
          <w:szCs w:val="24"/>
        </w:rPr>
        <w:t xml:space="preserve"> Reglamento (CE) 44/2001</w:t>
      </w:r>
      <w:r w:rsidR="003F23B0">
        <w:rPr>
          <w:rFonts w:cs="Times New Roman"/>
          <w:sz w:val="24"/>
          <w:szCs w:val="24"/>
        </w:rPr>
        <w:t xml:space="preserve"> y que pueda impedir la ejecución de la resolución de otro Estado de la Unión en el Estado requerido para tal ejecución</w:t>
      </w:r>
      <w:r w:rsidR="005C4B61" w:rsidRPr="00F64697">
        <w:rPr>
          <w:rFonts w:cs="Times New Roman"/>
          <w:sz w:val="24"/>
          <w:szCs w:val="24"/>
        </w:rPr>
        <w:t xml:space="preserve"> (primera y segunda preguntas)</w:t>
      </w:r>
      <w:r w:rsidRPr="00F64697">
        <w:rPr>
          <w:rFonts w:cs="Times New Roman"/>
          <w:sz w:val="24"/>
          <w:szCs w:val="24"/>
        </w:rPr>
        <w:t>.</w:t>
      </w:r>
      <w:r w:rsidR="005C4B61" w:rsidRPr="00F64697">
        <w:rPr>
          <w:rFonts w:cs="Times New Roman"/>
          <w:sz w:val="24"/>
          <w:szCs w:val="24"/>
        </w:rPr>
        <w:t xml:space="preserve"> Y si cabe oponer el orden público del Estado requerido para el reconocimiento y ejecución de una sentencia de otro país de la Unión Europea</w:t>
      </w:r>
      <w:r w:rsidR="00E60924" w:rsidRPr="00F64697">
        <w:rPr>
          <w:rFonts w:cs="Times New Roman"/>
          <w:sz w:val="24"/>
          <w:szCs w:val="24"/>
        </w:rPr>
        <w:t>, con arreglo al art. 34.1 Reglam</w:t>
      </w:r>
      <w:r w:rsidR="00CB7610" w:rsidRPr="00F64697">
        <w:rPr>
          <w:rFonts w:cs="Times New Roman"/>
          <w:sz w:val="24"/>
          <w:szCs w:val="24"/>
        </w:rPr>
        <w:t>e</w:t>
      </w:r>
      <w:r w:rsidR="00E60924" w:rsidRPr="00F64697">
        <w:rPr>
          <w:rFonts w:cs="Times New Roman"/>
          <w:sz w:val="24"/>
          <w:szCs w:val="24"/>
        </w:rPr>
        <w:t>n</w:t>
      </w:r>
      <w:r w:rsidR="00CB7610" w:rsidRPr="00F64697">
        <w:rPr>
          <w:rFonts w:cs="Times New Roman"/>
          <w:sz w:val="24"/>
          <w:szCs w:val="24"/>
        </w:rPr>
        <w:t>t</w:t>
      </w:r>
      <w:r w:rsidR="00E60924" w:rsidRPr="00F64697">
        <w:rPr>
          <w:rFonts w:cs="Times New Roman"/>
          <w:sz w:val="24"/>
          <w:szCs w:val="24"/>
        </w:rPr>
        <w:t>o (CE) 44/2001</w:t>
      </w:r>
      <w:r w:rsidR="00143B65" w:rsidRPr="00F64697">
        <w:rPr>
          <w:rFonts w:cs="Times New Roman"/>
          <w:sz w:val="24"/>
          <w:szCs w:val="24"/>
        </w:rPr>
        <w:t xml:space="preserve">, en base a razones de </w:t>
      </w:r>
      <w:r w:rsidR="00143B65" w:rsidRPr="00F64697">
        <w:rPr>
          <w:rFonts w:cs="Times New Roman"/>
          <w:i/>
          <w:iCs/>
          <w:sz w:val="24"/>
          <w:szCs w:val="24"/>
        </w:rPr>
        <w:t>res judicata</w:t>
      </w:r>
      <w:r w:rsidR="00143B65" w:rsidRPr="00F64697">
        <w:rPr>
          <w:rFonts w:cs="Times New Roman"/>
          <w:sz w:val="24"/>
          <w:szCs w:val="24"/>
        </w:rPr>
        <w:t xml:space="preserve"> y/o inconciliabilidad de resoluciones (tercera pregunta).</w:t>
      </w:r>
      <w:r w:rsidR="002D7DC0" w:rsidRPr="00F64697">
        <w:rPr>
          <w:rFonts w:cs="Times New Roman"/>
          <w:sz w:val="24"/>
          <w:szCs w:val="24"/>
        </w:rPr>
        <w:t xml:space="preserve"> </w:t>
      </w:r>
    </w:p>
    <w:p w14:paraId="4FA34896" w14:textId="3B8FEBF2" w:rsidR="003F16B6" w:rsidRPr="00F64697" w:rsidRDefault="003F16B6" w:rsidP="003F16B6">
      <w:pPr>
        <w:spacing w:before="120" w:after="120" w:line="240" w:lineRule="auto"/>
        <w:jc w:val="both"/>
        <w:rPr>
          <w:rFonts w:cs="Times New Roman"/>
          <w:sz w:val="24"/>
          <w:szCs w:val="24"/>
        </w:rPr>
      </w:pPr>
      <w:r w:rsidRPr="00F64697">
        <w:rPr>
          <w:rFonts w:cs="Times New Roman"/>
          <w:sz w:val="24"/>
          <w:szCs w:val="24"/>
        </w:rPr>
        <w:t xml:space="preserve">El 5 de mayo de 2022, el Abogado General presenta sus Conclusiones a la Petición de decisión prejudicial planteada por la </w:t>
      </w:r>
      <w:r w:rsidRPr="00F64697">
        <w:rPr>
          <w:rFonts w:cs="Times New Roman"/>
          <w:i/>
          <w:sz w:val="24"/>
          <w:szCs w:val="24"/>
        </w:rPr>
        <w:t>High Court</w:t>
      </w:r>
      <w:r w:rsidRPr="00F64697">
        <w:rPr>
          <w:rStyle w:val="Refdenotaalpie"/>
          <w:rFonts w:cs="Times New Roman"/>
          <w:iCs/>
          <w:sz w:val="24"/>
          <w:szCs w:val="24"/>
        </w:rPr>
        <w:footnoteReference w:id="28"/>
      </w:r>
      <w:r w:rsidRPr="00F64697">
        <w:rPr>
          <w:rFonts w:cs="Times New Roman"/>
          <w:iCs/>
          <w:sz w:val="24"/>
          <w:szCs w:val="24"/>
        </w:rPr>
        <w:t xml:space="preserve">. </w:t>
      </w:r>
      <w:r w:rsidRPr="00F64697">
        <w:rPr>
          <w:rFonts w:cs="Times New Roman"/>
          <w:sz w:val="24"/>
          <w:szCs w:val="24"/>
        </w:rPr>
        <w:t xml:space="preserve">Propone considerar que una resolución judicial dictada en los términos de un laudo arbitral con arreglo al art. 66 Ley inglesa de arbitraje de 1996 </w:t>
      </w:r>
      <w:r w:rsidRPr="00F64697">
        <w:rPr>
          <w:rFonts w:cs="Times New Roman"/>
          <w:i/>
          <w:iCs/>
          <w:sz w:val="24"/>
          <w:szCs w:val="24"/>
        </w:rPr>
        <w:t>SÍ</w:t>
      </w:r>
      <w:r w:rsidRPr="00F64697">
        <w:rPr>
          <w:rFonts w:cs="Times New Roman"/>
          <w:sz w:val="24"/>
          <w:szCs w:val="24"/>
        </w:rPr>
        <w:t xml:space="preserve"> puede constituir una “resolución” pertinente del Estado miembro requerido, a los efectos del artículo 34.3 Reglamento (CE) 44/2001, pese a no estar comprendida en el ámbito de aplicación de dicho Reglamento conforme a su art. 1.2.d). No es óbice para considerarla una resolución a los efectos del Reglamento (CE) 44/2001 que la sentencia sea de ejecución de un laudo y el arbitraje esté excluido de</w:t>
      </w:r>
      <w:r w:rsidR="00143B65" w:rsidRPr="00F64697">
        <w:rPr>
          <w:rFonts w:cs="Times New Roman"/>
          <w:sz w:val="24"/>
          <w:szCs w:val="24"/>
        </w:rPr>
        <w:t xml:space="preserve"> su ámbito de aplicación</w:t>
      </w:r>
      <w:r w:rsidRPr="00F64697">
        <w:rPr>
          <w:rFonts w:cs="Times New Roman"/>
          <w:sz w:val="24"/>
          <w:szCs w:val="24"/>
        </w:rPr>
        <w:t xml:space="preserve">. </w:t>
      </w:r>
    </w:p>
    <w:p w14:paraId="7E5006C0" w14:textId="7EC132EA" w:rsidR="00E60924" w:rsidRPr="00F64697" w:rsidRDefault="00143B65" w:rsidP="003F16B6">
      <w:pPr>
        <w:spacing w:before="120" w:after="120" w:line="240" w:lineRule="auto"/>
        <w:jc w:val="both"/>
        <w:rPr>
          <w:rFonts w:eastAsia="Times New Roman" w:cs="Times New Roman"/>
          <w:color w:val="000000"/>
          <w:sz w:val="24"/>
          <w:szCs w:val="24"/>
          <w:lang w:eastAsia="es-ES"/>
        </w:rPr>
      </w:pPr>
      <w:r w:rsidRPr="00F64697">
        <w:rPr>
          <w:rFonts w:eastAsia="Times New Roman" w:cs="Times New Roman"/>
          <w:color w:val="000000"/>
          <w:sz w:val="24"/>
          <w:szCs w:val="24"/>
          <w:lang w:eastAsia="es-ES"/>
        </w:rPr>
        <w:lastRenderedPageBreak/>
        <w:t>La sentencia de 20 de junio de 2022 de</w:t>
      </w:r>
      <w:r w:rsidR="003F16B6" w:rsidRPr="00F64697">
        <w:rPr>
          <w:rFonts w:eastAsia="Times New Roman" w:cs="Times New Roman"/>
          <w:color w:val="000000"/>
          <w:sz w:val="24"/>
          <w:szCs w:val="24"/>
          <w:lang w:eastAsia="es-ES"/>
        </w:rPr>
        <w:t xml:space="preserve">l </w:t>
      </w:r>
      <w:bookmarkStart w:id="5" w:name="_Hlk138160659"/>
      <w:r w:rsidR="003F16B6" w:rsidRPr="00F64697">
        <w:rPr>
          <w:rFonts w:eastAsia="Times New Roman" w:cs="Times New Roman"/>
          <w:color w:val="000000"/>
          <w:sz w:val="24"/>
          <w:szCs w:val="24"/>
          <w:lang w:eastAsia="es-ES"/>
        </w:rPr>
        <w:t>Tribunal de Justicia de la Unión Europea</w:t>
      </w:r>
      <w:bookmarkEnd w:id="5"/>
      <w:r w:rsidR="003F16B6" w:rsidRPr="00F64697">
        <w:rPr>
          <w:rFonts w:eastAsia="Times New Roman" w:cs="Times New Roman"/>
          <w:color w:val="000000"/>
          <w:sz w:val="24"/>
          <w:szCs w:val="24"/>
          <w:lang w:eastAsia="es-ES"/>
        </w:rPr>
        <w:t xml:space="preserve"> </w:t>
      </w:r>
      <w:r w:rsidR="00E60924" w:rsidRPr="00F64697">
        <w:rPr>
          <w:rFonts w:eastAsia="Times New Roman" w:cs="Times New Roman"/>
          <w:color w:val="000000"/>
          <w:sz w:val="24"/>
          <w:szCs w:val="24"/>
          <w:lang w:eastAsia="es-ES"/>
        </w:rPr>
        <w:t>no comparte el parecer del Abogado General</w:t>
      </w:r>
      <w:r w:rsidR="003F16B6" w:rsidRPr="00F64697">
        <w:rPr>
          <w:rStyle w:val="Refdenotaalpie"/>
          <w:rFonts w:eastAsia="Times New Roman" w:cs="Times New Roman"/>
          <w:color w:val="000000"/>
          <w:sz w:val="24"/>
          <w:szCs w:val="24"/>
          <w:lang w:eastAsia="es-ES"/>
        </w:rPr>
        <w:footnoteReference w:id="29"/>
      </w:r>
      <w:r w:rsidRPr="00F64697">
        <w:rPr>
          <w:rFonts w:eastAsia="Times New Roman" w:cs="Times New Roman"/>
          <w:color w:val="000000"/>
          <w:sz w:val="24"/>
          <w:szCs w:val="24"/>
          <w:lang w:eastAsia="es-ES"/>
        </w:rPr>
        <w:t>. A</w:t>
      </w:r>
      <w:r w:rsidR="003F16B6" w:rsidRPr="00F64697">
        <w:rPr>
          <w:rFonts w:eastAsia="Times New Roman" w:cs="Times New Roman"/>
          <w:color w:val="000000"/>
          <w:sz w:val="24"/>
          <w:szCs w:val="24"/>
          <w:lang w:eastAsia="es-ES"/>
        </w:rPr>
        <w:t xml:space="preserve">cepta que una sentencia dictada en un Estado miembro de ejecución de un laudo arbitral </w:t>
      </w:r>
      <w:r w:rsidR="003F16B6" w:rsidRPr="00F64697">
        <w:rPr>
          <w:rFonts w:eastAsia="Times New Roman" w:cs="Times New Roman"/>
          <w:i/>
          <w:iCs/>
          <w:color w:val="000000"/>
          <w:sz w:val="24"/>
          <w:szCs w:val="24"/>
          <w:lang w:eastAsia="es-ES"/>
        </w:rPr>
        <w:t>SÍ</w:t>
      </w:r>
      <w:r w:rsidR="003F16B6" w:rsidRPr="00F64697">
        <w:rPr>
          <w:rFonts w:eastAsia="Times New Roman" w:cs="Times New Roman"/>
          <w:color w:val="000000"/>
          <w:sz w:val="24"/>
          <w:szCs w:val="24"/>
          <w:lang w:eastAsia="es-ES"/>
        </w:rPr>
        <w:t xml:space="preserve"> puede ser una resolución a los efectos del Reglamento (CE) 44/2001 por la definición amplia del concepto de “resolución” que se da en su art. 32 del Reglamento (CE) 44/2001 (apartados 48 y 49). La exclusión de una materia del ámbito de aplicación del Reglamento (CE) 44/2001 no impide que una resolución relativa a tal materia pueda estar comprendida en el art. 34.3 Reglamento (CE) 44/2001. Además, la resolución judicial de ejecución de un laudo puede impedir el reconocimiento de una resolución dictada en otro Estado miembro que sea inconciliable con ella (apartados 51 a 53).</w:t>
      </w:r>
      <w:r w:rsidR="005F278A" w:rsidRPr="00F64697">
        <w:rPr>
          <w:rFonts w:eastAsia="Times New Roman" w:cs="Times New Roman"/>
          <w:color w:val="000000"/>
          <w:sz w:val="24"/>
          <w:szCs w:val="24"/>
          <w:lang w:eastAsia="es-ES"/>
        </w:rPr>
        <w:t xml:space="preserve"> </w:t>
      </w:r>
    </w:p>
    <w:p w14:paraId="12D55D9F" w14:textId="39DE04E0" w:rsidR="00143B65" w:rsidRPr="00F64697" w:rsidRDefault="003F16B6" w:rsidP="00CB7610">
      <w:pPr>
        <w:spacing w:before="120" w:after="120" w:line="240" w:lineRule="auto"/>
        <w:jc w:val="both"/>
        <w:rPr>
          <w:rFonts w:eastAsia="Times New Roman" w:cs="Times New Roman"/>
          <w:color w:val="000000"/>
          <w:sz w:val="24"/>
          <w:szCs w:val="24"/>
          <w:lang w:eastAsia="es-ES"/>
        </w:rPr>
      </w:pPr>
      <w:r w:rsidRPr="00F64697">
        <w:rPr>
          <w:rFonts w:eastAsia="Times New Roman" w:cs="Times New Roman"/>
          <w:color w:val="000000"/>
          <w:sz w:val="24"/>
          <w:szCs w:val="24"/>
          <w:lang w:eastAsia="es-ES"/>
        </w:rPr>
        <w:t xml:space="preserve">No obstante, </w:t>
      </w:r>
      <w:r w:rsidR="00E60924" w:rsidRPr="00F64697">
        <w:rPr>
          <w:rFonts w:eastAsia="Times New Roman" w:cs="Times New Roman"/>
          <w:color w:val="000000"/>
          <w:sz w:val="24"/>
          <w:szCs w:val="24"/>
          <w:lang w:eastAsia="es-ES"/>
        </w:rPr>
        <w:t xml:space="preserve">los apartados 54 a 73 </w:t>
      </w:r>
      <w:r w:rsidR="00143B65" w:rsidRPr="00F64697">
        <w:rPr>
          <w:rFonts w:eastAsia="Times New Roman" w:cs="Times New Roman"/>
          <w:color w:val="000000"/>
          <w:sz w:val="24"/>
          <w:szCs w:val="24"/>
          <w:lang w:eastAsia="es-ES"/>
        </w:rPr>
        <w:t xml:space="preserve">de la sentencia del Tribunal de Justicia de la Unión Europea </w:t>
      </w:r>
      <w:r w:rsidR="00E60924" w:rsidRPr="00F64697">
        <w:rPr>
          <w:rFonts w:eastAsia="Times New Roman" w:cs="Times New Roman"/>
          <w:color w:val="000000"/>
          <w:sz w:val="24"/>
          <w:szCs w:val="24"/>
          <w:lang w:eastAsia="es-ES"/>
        </w:rPr>
        <w:t xml:space="preserve">constituyen una desautorización plena </w:t>
      </w:r>
      <w:r w:rsidR="003F23B0">
        <w:rPr>
          <w:rFonts w:eastAsia="Times New Roman" w:cs="Times New Roman"/>
          <w:color w:val="000000"/>
          <w:sz w:val="24"/>
          <w:szCs w:val="24"/>
          <w:lang w:eastAsia="es-ES"/>
        </w:rPr>
        <w:t xml:space="preserve">de la sentencia de la </w:t>
      </w:r>
      <w:r w:rsidR="003F23B0" w:rsidRPr="00C508F6">
        <w:rPr>
          <w:rFonts w:eastAsia="Times New Roman" w:cs="Times New Roman"/>
          <w:i/>
          <w:iCs/>
          <w:color w:val="000000"/>
          <w:sz w:val="24"/>
          <w:szCs w:val="24"/>
          <w:lang w:eastAsia="es-ES"/>
        </w:rPr>
        <w:t>High Court</w:t>
      </w:r>
      <w:r w:rsidR="003F23B0">
        <w:rPr>
          <w:rFonts w:eastAsia="Times New Roman" w:cs="Times New Roman"/>
          <w:color w:val="000000"/>
          <w:sz w:val="24"/>
          <w:szCs w:val="24"/>
          <w:lang w:eastAsia="es-ES"/>
        </w:rPr>
        <w:t xml:space="preserve"> de 22 de octubre de 2013, con los siguientes argumentos</w:t>
      </w:r>
      <w:r w:rsidR="00E60924" w:rsidRPr="00F64697">
        <w:rPr>
          <w:rFonts w:eastAsia="Times New Roman" w:cs="Times New Roman"/>
          <w:color w:val="000000"/>
          <w:sz w:val="24"/>
          <w:szCs w:val="24"/>
          <w:lang w:eastAsia="es-ES"/>
        </w:rPr>
        <w:t xml:space="preserve">: </w:t>
      </w:r>
    </w:p>
    <w:p w14:paraId="6AFF2AFB" w14:textId="11DCCFAD" w:rsidR="00297879" w:rsidRDefault="003F23B0" w:rsidP="0048109B">
      <w:pPr>
        <w:pStyle w:val="Prrafodelista"/>
        <w:numPr>
          <w:ilvl w:val="0"/>
          <w:numId w:val="45"/>
        </w:numPr>
        <w:spacing w:before="120" w:after="120" w:line="240" w:lineRule="auto"/>
        <w:jc w:val="both"/>
        <w:rPr>
          <w:rFonts w:cs="Times New Roman"/>
          <w:sz w:val="24"/>
          <w:szCs w:val="24"/>
        </w:rPr>
      </w:pPr>
      <w:r>
        <w:rPr>
          <w:rFonts w:eastAsia="Times New Roman" w:cs="Times New Roman"/>
          <w:color w:val="000000"/>
          <w:sz w:val="24"/>
          <w:szCs w:val="24"/>
          <w:lang w:eastAsia="es-ES"/>
        </w:rPr>
        <w:t xml:space="preserve">Una sentencia de </w:t>
      </w:r>
      <w:r w:rsidR="00297879">
        <w:rPr>
          <w:rFonts w:eastAsia="Times New Roman" w:cs="Times New Roman"/>
          <w:color w:val="000000"/>
          <w:sz w:val="24"/>
          <w:szCs w:val="24"/>
          <w:lang w:eastAsia="es-ES"/>
        </w:rPr>
        <w:t xml:space="preserve">ejecución de un laudo puede ser una resolución a los efectos del Reglamento (CE) 44/2001, pero </w:t>
      </w:r>
      <w:r w:rsidR="00E60924" w:rsidRPr="00F64697">
        <w:rPr>
          <w:rFonts w:eastAsia="Times New Roman" w:cs="Times New Roman"/>
          <w:color w:val="000000"/>
          <w:sz w:val="24"/>
          <w:szCs w:val="24"/>
          <w:lang w:eastAsia="es-ES"/>
        </w:rPr>
        <w:t>“</w:t>
      </w:r>
      <w:r w:rsidR="00143B65" w:rsidRPr="00F64697">
        <w:rPr>
          <w:i/>
          <w:iCs/>
          <w:color w:val="333333"/>
          <w:sz w:val="24"/>
          <w:szCs w:val="24"/>
          <w:shd w:val="clear" w:color="auto" w:fill="FFFFFF"/>
        </w:rPr>
        <w:t>C</w:t>
      </w:r>
      <w:r w:rsidR="00E60924" w:rsidRPr="00F64697">
        <w:rPr>
          <w:i/>
          <w:iCs/>
          <w:color w:val="333333"/>
          <w:sz w:val="24"/>
          <w:szCs w:val="24"/>
          <w:shd w:val="clear" w:color="auto" w:fill="FFFFFF"/>
        </w:rPr>
        <w:t>osa distinta sucede cuando el laudo arbitral en cuyos términos se ha dictado esa sentencia se emitió en unas circunstancias en las que no habría sido posible dictar, con observancia de las disposiciones y de los objetivos fundamentales de este Reglamento, una resolución judicial comprendida en su ámbito de aplicación</w:t>
      </w:r>
      <w:r w:rsidR="00E60924" w:rsidRPr="00F64697">
        <w:rPr>
          <w:color w:val="333333"/>
          <w:sz w:val="24"/>
          <w:szCs w:val="24"/>
          <w:shd w:val="clear" w:color="auto" w:fill="FFFFFF"/>
        </w:rPr>
        <w:t xml:space="preserve">” (apartado 54). </w:t>
      </w:r>
    </w:p>
    <w:p w14:paraId="3BF26A5E" w14:textId="267607D8" w:rsidR="003F16B6" w:rsidRPr="00F64697" w:rsidRDefault="00297879" w:rsidP="0048109B">
      <w:pPr>
        <w:pStyle w:val="Prrafodelista"/>
        <w:numPr>
          <w:ilvl w:val="0"/>
          <w:numId w:val="45"/>
        </w:numPr>
        <w:spacing w:before="120" w:after="120" w:line="240" w:lineRule="auto"/>
        <w:jc w:val="both"/>
        <w:rPr>
          <w:rFonts w:cs="Times New Roman"/>
          <w:sz w:val="24"/>
          <w:szCs w:val="24"/>
        </w:rPr>
      </w:pPr>
      <w:r>
        <w:rPr>
          <w:rFonts w:cs="Times New Roman"/>
          <w:sz w:val="24"/>
          <w:szCs w:val="24"/>
        </w:rPr>
        <w:t xml:space="preserve">Advierte de la </w:t>
      </w:r>
      <w:r w:rsidR="00CB7610" w:rsidRPr="00F64697">
        <w:rPr>
          <w:rFonts w:cs="Times New Roman"/>
          <w:sz w:val="24"/>
          <w:szCs w:val="24"/>
        </w:rPr>
        <w:t xml:space="preserve">vulneración </w:t>
      </w:r>
      <w:r w:rsidR="003F16B6" w:rsidRPr="00F64697">
        <w:rPr>
          <w:rFonts w:cs="Times New Roman"/>
          <w:sz w:val="24"/>
          <w:szCs w:val="24"/>
        </w:rPr>
        <w:t>de los principios de “</w:t>
      </w:r>
      <w:r w:rsidR="003F16B6" w:rsidRPr="00F64697">
        <w:rPr>
          <w:rFonts w:cs="Times New Roman"/>
          <w:i/>
          <w:iCs/>
          <w:sz w:val="24"/>
          <w:szCs w:val="24"/>
        </w:rPr>
        <w:t>libre circulación de las resoluciones judiciales</w:t>
      </w:r>
      <w:r w:rsidR="003F16B6" w:rsidRPr="00F64697">
        <w:rPr>
          <w:rFonts w:cs="Times New Roman"/>
          <w:sz w:val="24"/>
          <w:szCs w:val="24"/>
        </w:rPr>
        <w:t xml:space="preserve">”, de </w:t>
      </w:r>
      <w:r>
        <w:rPr>
          <w:rFonts w:cs="Times New Roman"/>
          <w:sz w:val="24"/>
          <w:szCs w:val="24"/>
        </w:rPr>
        <w:t xml:space="preserve">la </w:t>
      </w:r>
      <w:r w:rsidR="003F16B6" w:rsidRPr="00F64697">
        <w:rPr>
          <w:rFonts w:cs="Times New Roman"/>
          <w:sz w:val="24"/>
          <w:szCs w:val="24"/>
        </w:rPr>
        <w:t>“</w:t>
      </w:r>
      <w:r w:rsidR="003F16B6" w:rsidRPr="00F64697">
        <w:rPr>
          <w:rFonts w:cs="Times New Roman"/>
          <w:i/>
          <w:iCs/>
          <w:sz w:val="24"/>
          <w:szCs w:val="24"/>
        </w:rPr>
        <w:t>previsibilidad de los órganos jurisdiccionales competentes</w:t>
      </w:r>
      <w:r w:rsidR="003F16B6" w:rsidRPr="00F64697">
        <w:rPr>
          <w:rFonts w:cs="Times New Roman"/>
          <w:sz w:val="24"/>
          <w:szCs w:val="24"/>
        </w:rPr>
        <w:t xml:space="preserve">”, de </w:t>
      </w:r>
      <w:r>
        <w:rPr>
          <w:rFonts w:cs="Times New Roman"/>
          <w:sz w:val="24"/>
          <w:szCs w:val="24"/>
        </w:rPr>
        <w:t xml:space="preserve">la </w:t>
      </w:r>
      <w:r w:rsidR="003F16B6" w:rsidRPr="00F64697">
        <w:rPr>
          <w:rFonts w:cs="Times New Roman"/>
          <w:sz w:val="24"/>
          <w:szCs w:val="24"/>
        </w:rPr>
        <w:t>“</w:t>
      </w:r>
      <w:r w:rsidR="003F16B6" w:rsidRPr="00F64697">
        <w:rPr>
          <w:rFonts w:cs="Times New Roman"/>
          <w:i/>
          <w:iCs/>
          <w:sz w:val="24"/>
          <w:szCs w:val="24"/>
        </w:rPr>
        <w:t>seguridad jurídica para los justiciables</w:t>
      </w:r>
      <w:r w:rsidR="003F16B6" w:rsidRPr="00F64697">
        <w:rPr>
          <w:rFonts w:cs="Times New Roman"/>
          <w:sz w:val="24"/>
          <w:szCs w:val="24"/>
        </w:rPr>
        <w:t>”, de “</w:t>
      </w:r>
      <w:r w:rsidR="003F16B6" w:rsidRPr="00F64697">
        <w:rPr>
          <w:rFonts w:cs="Times New Roman"/>
          <w:i/>
          <w:iCs/>
          <w:sz w:val="24"/>
          <w:szCs w:val="24"/>
        </w:rPr>
        <w:t>buena administración de justicia</w:t>
      </w:r>
      <w:r w:rsidR="003F16B6" w:rsidRPr="00F64697">
        <w:rPr>
          <w:rFonts w:cs="Times New Roman"/>
          <w:sz w:val="24"/>
          <w:szCs w:val="24"/>
        </w:rPr>
        <w:t xml:space="preserve">”, de </w:t>
      </w:r>
      <w:r>
        <w:rPr>
          <w:rFonts w:cs="Times New Roman"/>
          <w:sz w:val="24"/>
          <w:szCs w:val="24"/>
        </w:rPr>
        <w:t xml:space="preserve">la </w:t>
      </w:r>
      <w:r w:rsidR="003F16B6" w:rsidRPr="00F64697">
        <w:rPr>
          <w:rFonts w:cs="Times New Roman"/>
          <w:sz w:val="24"/>
          <w:szCs w:val="24"/>
        </w:rPr>
        <w:t>“</w:t>
      </w:r>
      <w:r w:rsidR="003F16B6" w:rsidRPr="00F64697">
        <w:rPr>
          <w:rFonts w:cs="Times New Roman"/>
          <w:i/>
          <w:iCs/>
          <w:sz w:val="24"/>
          <w:szCs w:val="24"/>
        </w:rPr>
        <w:t>reducción al máximo del riesgo de procedimientos paralelos</w:t>
      </w:r>
      <w:r w:rsidR="003F16B6" w:rsidRPr="00F64697">
        <w:rPr>
          <w:rFonts w:cs="Times New Roman"/>
          <w:sz w:val="24"/>
          <w:szCs w:val="24"/>
        </w:rPr>
        <w:t xml:space="preserve">” y de </w:t>
      </w:r>
      <w:r>
        <w:rPr>
          <w:rFonts w:cs="Times New Roman"/>
          <w:sz w:val="24"/>
          <w:szCs w:val="24"/>
        </w:rPr>
        <w:t xml:space="preserve">la </w:t>
      </w:r>
      <w:r w:rsidR="003F16B6" w:rsidRPr="00F64697">
        <w:rPr>
          <w:rFonts w:cs="Times New Roman"/>
          <w:sz w:val="24"/>
          <w:szCs w:val="24"/>
        </w:rPr>
        <w:t>“</w:t>
      </w:r>
      <w:r w:rsidR="003F16B6" w:rsidRPr="00F64697">
        <w:rPr>
          <w:rFonts w:cs="Times New Roman"/>
          <w:i/>
          <w:iCs/>
          <w:sz w:val="24"/>
          <w:szCs w:val="24"/>
        </w:rPr>
        <w:t>confianza recíproca en la justicia</w:t>
      </w:r>
      <w:r w:rsidR="003F16B6" w:rsidRPr="00F64697">
        <w:rPr>
          <w:rFonts w:cs="Times New Roman"/>
          <w:sz w:val="24"/>
          <w:szCs w:val="24"/>
        </w:rPr>
        <w:t>” (apartado 56). También trae a colación el “</w:t>
      </w:r>
      <w:r w:rsidR="003F16B6" w:rsidRPr="00F64697">
        <w:rPr>
          <w:rFonts w:cs="Times New Roman"/>
          <w:i/>
          <w:iCs/>
          <w:sz w:val="24"/>
          <w:szCs w:val="24"/>
        </w:rPr>
        <w:t>derecho a la tutela judicial efectiva</w:t>
      </w:r>
      <w:r w:rsidR="003F16B6" w:rsidRPr="00F64697">
        <w:rPr>
          <w:rFonts w:cs="Times New Roman"/>
          <w:sz w:val="24"/>
          <w:szCs w:val="24"/>
        </w:rPr>
        <w:t>” reconocido en el artículo 47 de la Carta de los Derechos Fundamentales de la Unión Europea (apartado 58).</w:t>
      </w:r>
    </w:p>
    <w:p w14:paraId="5A9F224D" w14:textId="1012F4E7" w:rsidR="003F16B6" w:rsidRPr="00297879" w:rsidRDefault="00297879" w:rsidP="00574930">
      <w:pPr>
        <w:pStyle w:val="Prrafodelista"/>
        <w:numPr>
          <w:ilvl w:val="0"/>
          <w:numId w:val="45"/>
        </w:numPr>
        <w:spacing w:before="120" w:after="120" w:line="240" w:lineRule="auto"/>
        <w:jc w:val="both"/>
        <w:rPr>
          <w:rFonts w:eastAsia="Times New Roman" w:cs="Times New Roman"/>
          <w:color w:val="000000"/>
          <w:sz w:val="24"/>
          <w:szCs w:val="24"/>
          <w:lang w:eastAsia="es-ES"/>
        </w:rPr>
      </w:pPr>
      <w:r w:rsidRPr="00297879">
        <w:rPr>
          <w:rFonts w:eastAsia="Times New Roman" w:cs="Times New Roman"/>
          <w:color w:val="000000"/>
          <w:sz w:val="24"/>
          <w:szCs w:val="24"/>
          <w:lang w:eastAsia="es-ES"/>
        </w:rPr>
        <w:t>L</w:t>
      </w:r>
      <w:r w:rsidR="00CB7610" w:rsidRPr="00297879">
        <w:rPr>
          <w:rFonts w:eastAsia="Times New Roman" w:cs="Times New Roman"/>
          <w:color w:val="000000"/>
          <w:sz w:val="24"/>
          <w:szCs w:val="24"/>
          <w:lang w:eastAsia="es-ES"/>
        </w:rPr>
        <w:t xml:space="preserve">a ejecución forzosa de un laudo </w:t>
      </w:r>
      <w:r w:rsidR="003F16B6" w:rsidRPr="00297879">
        <w:rPr>
          <w:rFonts w:eastAsia="Times New Roman" w:cs="Times New Roman"/>
          <w:color w:val="000000"/>
          <w:sz w:val="24"/>
          <w:szCs w:val="24"/>
          <w:lang w:eastAsia="es-ES"/>
        </w:rPr>
        <w:t>no habría podido ser objeto de una resolución judicial comprendida en el ámbito de aplicación del Reglamento (CE) 44/2001 “</w:t>
      </w:r>
      <w:r w:rsidR="003F16B6" w:rsidRPr="00297879">
        <w:rPr>
          <w:rFonts w:eastAsia="Times New Roman" w:cs="Times New Roman"/>
          <w:i/>
          <w:iCs/>
          <w:color w:val="000000"/>
          <w:sz w:val="24"/>
          <w:szCs w:val="24"/>
          <w:lang w:eastAsia="es-ES"/>
        </w:rPr>
        <w:t>sin infringir dos reglas fundamentales de este Reglamento concernientes, por un lado, al efecto relativo de la cláusula compromisoria insertada en un contrato de seguro y, por otro, a la litispendencia</w:t>
      </w:r>
      <w:r w:rsidR="003F16B6" w:rsidRPr="00297879">
        <w:rPr>
          <w:rFonts w:eastAsia="Times New Roman" w:cs="Times New Roman"/>
          <w:color w:val="000000"/>
          <w:sz w:val="24"/>
          <w:szCs w:val="24"/>
          <w:lang w:eastAsia="es-ES"/>
        </w:rPr>
        <w:t>” (apartado 59).</w:t>
      </w:r>
      <w:bookmarkStart w:id="6" w:name="point60"/>
      <w:r w:rsidRPr="00297879">
        <w:rPr>
          <w:rFonts w:eastAsia="Times New Roman" w:cs="Times New Roman"/>
          <w:color w:val="000000"/>
          <w:sz w:val="24"/>
          <w:szCs w:val="24"/>
          <w:lang w:eastAsia="es-ES"/>
        </w:rPr>
        <w:t xml:space="preserve"> </w:t>
      </w:r>
      <w:r w:rsidR="003F16B6" w:rsidRPr="00297879">
        <w:rPr>
          <w:rFonts w:eastAsia="Times New Roman" w:cs="Times New Roman"/>
          <w:color w:val="000000"/>
          <w:sz w:val="24"/>
          <w:szCs w:val="24"/>
          <w:lang w:eastAsia="es-ES"/>
        </w:rPr>
        <w:t>Con relación a la litispendencia, el Tribunal de Justicia de la Unión Europea afirma que, cuando se entabla el procedimiento arbitral en el Reino Unido, a saber, el 16 de enero de 2012, “</w:t>
      </w:r>
      <w:r w:rsidR="003F16B6" w:rsidRPr="00297879">
        <w:rPr>
          <w:rFonts w:eastAsia="Times New Roman" w:cs="Times New Roman"/>
          <w:i/>
          <w:iCs/>
          <w:color w:val="000000"/>
          <w:sz w:val="24"/>
          <w:szCs w:val="24"/>
          <w:lang w:eastAsia="es-ES"/>
        </w:rPr>
        <w:t>ya se encontraba pendiente ante los tribunales españoles un procedimiento entre, en particular, el Estado español y el London P&amp;I Club”</w:t>
      </w:r>
      <w:r w:rsidR="003F16B6" w:rsidRPr="00297879">
        <w:rPr>
          <w:rFonts w:eastAsia="Times New Roman" w:cs="Times New Roman"/>
          <w:color w:val="000000"/>
          <w:sz w:val="24"/>
          <w:szCs w:val="24"/>
          <w:lang w:eastAsia="es-ES"/>
        </w:rPr>
        <w:t xml:space="preserve"> (apartado 64). Pues bien, habida cuenta de que el art. 27.1 Reglamento (CE) 44/2001 se refiere a las “</w:t>
      </w:r>
      <w:r w:rsidR="003F16B6" w:rsidRPr="00297879">
        <w:rPr>
          <w:rFonts w:eastAsia="Times New Roman" w:cs="Times New Roman"/>
          <w:i/>
          <w:iCs/>
          <w:color w:val="000000"/>
          <w:sz w:val="24"/>
          <w:szCs w:val="24"/>
          <w:lang w:eastAsia="es-ES"/>
        </w:rPr>
        <w:t>demandas […] entre las mismas partes</w:t>
      </w:r>
      <w:r w:rsidR="003F16B6" w:rsidRPr="00297879">
        <w:rPr>
          <w:rFonts w:eastAsia="Times New Roman" w:cs="Times New Roman"/>
          <w:color w:val="000000"/>
          <w:sz w:val="24"/>
          <w:szCs w:val="24"/>
          <w:lang w:eastAsia="es-ES"/>
        </w:rPr>
        <w:t xml:space="preserve">”, sin exigir una participación efectiva en los procedimientos de que se trate, procede considerar que las mismas partes estaban implicadas en los procedimientos mencionados (apartado 66). Ambos tenían el mismo objeto y la misma causa (apartado 67). </w:t>
      </w:r>
    </w:p>
    <w:p w14:paraId="14BCAF9B" w14:textId="788F5DCB" w:rsidR="003F16B6" w:rsidRPr="00F64697" w:rsidRDefault="003F16B6" w:rsidP="00143B65">
      <w:pPr>
        <w:pStyle w:val="Prrafodelista"/>
        <w:numPr>
          <w:ilvl w:val="0"/>
          <w:numId w:val="45"/>
        </w:numPr>
        <w:spacing w:before="120" w:after="120" w:line="240" w:lineRule="auto"/>
        <w:jc w:val="both"/>
        <w:rPr>
          <w:rFonts w:eastAsia="Times New Roman" w:cs="Times New Roman"/>
          <w:color w:val="000000"/>
          <w:sz w:val="24"/>
          <w:szCs w:val="24"/>
          <w:lang w:eastAsia="es-ES"/>
        </w:rPr>
      </w:pPr>
      <w:r w:rsidRPr="00F64697">
        <w:rPr>
          <w:rFonts w:eastAsia="Times New Roman" w:cs="Times New Roman"/>
          <w:color w:val="000000"/>
          <w:sz w:val="24"/>
          <w:szCs w:val="24"/>
          <w:lang w:eastAsia="es-ES"/>
        </w:rPr>
        <w:t xml:space="preserve">Por lo que respecta al </w:t>
      </w:r>
      <w:bookmarkEnd w:id="6"/>
      <w:r w:rsidRPr="00F64697">
        <w:rPr>
          <w:rFonts w:eastAsia="Times New Roman" w:cs="Times New Roman"/>
          <w:color w:val="000000"/>
          <w:sz w:val="24"/>
          <w:szCs w:val="24"/>
          <w:lang w:eastAsia="es-ES"/>
        </w:rPr>
        <w:t xml:space="preserve">efecto relativo de la cláusula compromisoria insertada en un contrato de seguro, el Tribunal de Justicia de la Unión Europea afirma que un acuerdo atributivo de competencia celebrado entre un asegurador y un tomador del seguro no puede vincular a la persona perjudicada por el daño asegurado. Allí </w:t>
      </w:r>
      <w:r w:rsidRPr="00F64697">
        <w:rPr>
          <w:rFonts w:eastAsia="Times New Roman" w:cs="Times New Roman"/>
          <w:color w:val="000000"/>
          <w:sz w:val="24"/>
          <w:szCs w:val="24"/>
          <w:lang w:eastAsia="es-ES"/>
        </w:rPr>
        <w:lastRenderedPageBreak/>
        <w:t xml:space="preserve">donde el Derecho nacional lo permita, el perjudicado puede entablar </w:t>
      </w:r>
      <w:r w:rsidRPr="00F64697">
        <w:rPr>
          <w:rFonts w:eastAsia="Times New Roman" w:cs="Times New Roman"/>
          <w:i/>
          <w:iCs/>
          <w:color w:val="000000"/>
          <w:sz w:val="24"/>
          <w:szCs w:val="24"/>
          <w:lang w:eastAsia="es-ES"/>
        </w:rPr>
        <w:t>una acción directa por responsabilidad delictual o cuasi delictual contra el asegurador ante el tribunal del lugar en que se produjo el hecho dañoso o ante el tribunal del lugar de su domicilio</w:t>
      </w:r>
      <w:r w:rsidRPr="00F64697">
        <w:rPr>
          <w:rFonts w:eastAsia="Times New Roman" w:cs="Times New Roman"/>
          <w:color w:val="000000"/>
          <w:sz w:val="24"/>
          <w:szCs w:val="24"/>
          <w:lang w:eastAsia="es-ES"/>
        </w:rPr>
        <w:t xml:space="preserve"> (apartado 60)</w:t>
      </w:r>
      <w:r w:rsidRPr="00F64697">
        <w:rPr>
          <w:vertAlign w:val="superscript"/>
          <w:lang w:eastAsia="es-ES"/>
        </w:rPr>
        <w:footnoteReference w:id="30"/>
      </w:r>
      <w:r w:rsidRPr="00F64697">
        <w:rPr>
          <w:rFonts w:eastAsia="Times New Roman" w:cs="Times New Roman"/>
          <w:color w:val="000000"/>
          <w:sz w:val="24"/>
          <w:szCs w:val="24"/>
          <w:lang w:eastAsia="es-ES"/>
        </w:rPr>
        <w:t>. El Tribunal de Justicia de la Unión Europea añade que, so pena de vulnerar este derecho del perjudicado,</w:t>
      </w:r>
      <w:r w:rsidRPr="00F64697">
        <w:rPr>
          <w:rFonts w:eastAsia="Times New Roman" w:cs="Times New Roman"/>
          <w:i/>
          <w:iCs/>
          <w:color w:val="000000"/>
          <w:sz w:val="24"/>
          <w:szCs w:val="24"/>
          <w:lang w:eastAsia="es-ES"/>
        </w:rPr>
        <w:t xml:space="preserve"> un tribunal distinto de aquel que ya conoce de la acción directa no debe declararse competente sobre la base de tal cláusula compromisoria</w:t>
      </w:r>
      <w:r w:rsidRPr="00F64697">
        <w:rPr>
          <w:rFonts w:eastAsia="Times New Roman" w:cs="Times New Roman"/>
          <w:color w:val="000000"/>
          <w:sz w:val="24"/>
          <w:szCs w:val="24"/>
          <w:lang w:eastAsia="es-ES"/>
        </w:rPr>
        <w:t xml:space="preserve">, a fin de garantizar el objetivo perseguido por el Reglamento 44/2001: proteger a los perjudicados por un daño frente al asegurador de que se trate (apartado 61). </w:t>
      </w:r>
    </w:p>
    <w:p w14:paraId="25A9880E" w14:textId="0EF61F9B" w:rsidR="003F16B6" w:rsidRPr="00F64697" w:rsidRDefault="003F16B6" w:rsidP="00143B65">
      <w:pPr>
        <w:pStyle w:val="Prrafodelista"/>
        <w:numPr>
          <w:ilvl w:val="0"/>
          <w:numId w:val="45"/>
        </w:numPr>
        <w:spacing w:before="120" w:after="120" w:line="240" w:lineRule="auto"/>
        <w:jc w:val="both"/>
        <w:rPr>
          <w:rFonts w:eastAsia="Times New Roman" w:cs="Times New Roman"/>
          <w:color w:val="000000"/>
          <w:sz w:val="24"/>
          <w:szCs w:val="24"/>
          <w:lang w:eastAsia="es-ES"/>
        </w:rPr>
      </w:pPr>
      <w:r w:rsidRPr="00F64697">
        <w:rPr>
          <w:rFonts w:eastAsia="Times New Roman" w:cs="Times New Roman"/>
          <w:color w:val="000000"/>
          <w:sz w:val="24"/>
          <w:szCs w:val="24"/>
          <w:lang w:eastAsia="es-ES"/>
        </w:rPr>
        <w:t xml:space="preserve">Finalmente, </w:t>
      </w:r>
      <w:r w:rsidR="005F278A" w:rsidRPr="00F64697">
        <w:rPr>
          <w:rFonts w:eastAsia="Times New Roman" w:cs="Times New Roman"/>
          <w:color w:val="000000"/>
          <w:sz w:val="24"/>
          <w:szCs w:val="24"/>
          <w:lang w:eastAsia="es-ES"/>
        </w:rPr>
        <w:t xml:space="preserve">el Tribunal de Justicia de la Unión Europea </w:t>
      </w:r>
      <w:r w:rsidRPr="00F64697">
        <w:rPr>
          <w:rFonts w:eastAsia="Times New Roman" w:cs="Times New Roman"/>
          <w:color w:val="000000"/>
          <w:sz w:val="24"/>
          <w:szCs w:val="24"/>
          <w:lang w:eastAsia="es-ES"/>
        </w:rPr>
        <w:t xml:space="preserve">concluye que admitir que </w:t>
      </w:r>
      <w:r w:rsidR="00297879">
        <w:rPr>
          <w:rFonts w:eastAsia="Times New Roman" w:cs="Times New Roman"/>
          <w:color w:val="000000"/>
          <w:sz w:val="24"/>
          <w:szCs w:val="24"/>
          <w:lang w:eastAsia="es-ES"/>
        </w:rPr>
        <w:t>esta</w:t>
      </w:r>
      <w:r w:rsidRPr="00F64697">
        <w:rPr>
          <w:rFonts w:eastAsia="Times New Roman" w:cs="Times New Roman"/>
          <w:color w:val="000000"/>
          <w:sz w:val="24"/>
          <w:szCs w:val="24"/>
          <w:lang w:eastAsia="es-ES"/>
        </w:rPr>
        <w:t xml:space="preserve"> sentencia pueda impedir el reconocimiento de una resolución recaída en otro Estado miembro a raíz de una acción directa de responsabilidad que ha ejercitado el perjudicado</w:t>
      </w:r>
      <w:r w:rsidR="00297879">
        <w:rPr>
          <w:rFonts w:eastAsia="Times New Roman" w:cs="Times New Roman"/>
          <w:color w:val="000000"/>
          <w:sz w:val="24"/>
          <w:szCs w:val="24"/>
          <w:lang w:eastAsia="es-ES"/>
        </w:rPr>
        <w:t>,</w:t>
      </w:r>
      <w:r w:rsidRPr="00F64697">
        <w:rPr>
          <w:rFonts w:eastAsia="Times New Roman" w:cs="Times New Roman"/>
          <w:color w:val="000000"/>
          <w:sz w:val="24"/>
          <w:szCs w:val="24"/>
          <w:lang w:eastAsia="es-ES"/>
        </w:rPr>
        <w:t xml:space="preserve"> privaría a </w:t>
      </w:r>
      <w:r w:rsidR="00297879">
        <w:rPr>
          <w:rFonts w:eastAsia="Times New Roman" w:cs="Times New Roman"/>
          <w:color w:val="000000"/>
          <w:sz w:val="24"/>
          <w:szCs w:val="24"/>
          <w:lang w:eastAsia="es-ES"/>
        </w:rPr>
        <w:t>é</w:t>
      </w:r>
      <w:r w:rsidRPr="00F64697">
        <w:rPr>
          <w:rFonts w:eastAsia="Times New Roman" w:cs="Times New Roman"/>
          <w:color w:val="000000"/>
          <w:sz w:val="24"/>
          <w:szCs w:val="24"/>
          <w:lang w:eastAsia="es-ES"/>
        </w:rPr>
        <w:t>ste de la reparación efectiva del daño sufrido (apartado 63).</w:t>
      </w:r>
    </w:p>
    <w:p w14:paraId="0D50FF81" w14:textId="77777777" w:rsidR="003F67FC" w:rsidRPr="00F64697" w:rsidRDefault="003F67FC" w:rsidP="003F16B6">
      <w:pPr>
        <w:spacing w:before="120" w:after="120" w:line="240" w:lineRule="auto"/>
        <w:jc w:val="both"/>
        <w:rPr>
          <w:rFonts w:eastAsia="Times New Roman" w:cs="Times New Roman"/>
          <w:color w:val="000000"/>
          <w:sz w:val="24"/>
          <w:szCs w:val="24"/>
          <w:lang w:eastAsia="es-ES"/>
        </w:rPr>
      </w:pPr>
    </w:p>
    <w:p w14:paraId="73E7EE54" w14:textId="0FC14034" w:rsidR="00CB6B70" w:rsidRPr="00F64697" w:rsidRDefault="00F64697" w:rsidP="00CB6B70">
      <w:pPr>
        <w:pStyle w:val="Prrafodelista"/>
        <w:numPr>
          <w:ilvl w:val="0"/>
          <w:numId w:val="42"/>
        </w:numPr>
        <w:spacing w:before="120" w:after="120" w:line="240" w:lineRule="auto"/>
        <w:jc w:val="both"/>
        <w:rPr>
          <w:rFonts w:cs="Times New Roman"/>
          <w:b/>
          <w:bCs/>
          <w:sz w:val="24"/>
          <w:szCs w:val="24"/>
        </w:rPr>
      </w:pPr>
      <w:r>
        <w:rPr>
          <w:rFonts w:cs="Times New Roman"/>
          <w:b/>
          <w:bCs/>
          <w:sz w:val="24"/>
          <w:szCs w:val="24"/>
        </w:rPr>
        <w:t>Negativa de la justicia británica a ejecutar en el Reino Unido la condena de 855 millones de euros contra el asegurador</w:t>
      </w:r>
      <w:r w:rsidR="002A5D45">
        <w:rPr>
          <w:rFonts w:cs="Times New Roman"/>
          <w:b/>
          <w:bCs/>
          <w:sz w:val="24"/>
          <w:szCs w:val="24"/>
        </w:rPr>
        <w:t xml:space="preserve">. </w:t>
      </w:r>
      <w:r w:rsidR="00F3324E" w:rsidRPr="00F3324E">
        <w:rPr>
          <w:rFonts w:cs="Times New Roman"/>
          <w:b/>
          <w:bCs/>
          <w:sz w:val="24"/>
          <w:szCs w:val="24"/>
        </w:rPr>
        <w:t>Reclamación de responsabilidad civil del Estado español y francés por vulnerar el convenio arbitral</w:t>
      </w:r>
    </w:p>
    <w:p w14:paraId="26BFCE6A" w14:textId="36D3BC34" w:rsidR="00001E9C" w:rsidRPr="00F64697" w:rsidRDefault="005D1F2D" w:rsidP="00CB7610">
      <w:pPr>
        <w:spacing w:before="120" w:after="120" w:line="240" w:lineRule="auto"/>
        <w:jc w:val="both"/>
        <w:rPr>
          <w:rFonts w:eastAsia="Times New Roman" w:cs="Times New Roman"/>
          <w:color w:val="000000"/>
          <w:sz w:val="24"/>
          <w:szCs w:val="24"/>
          <w:lang w:eastAsia="es-ES"/>
        </w:rPr>
      </w:pPr>
      <w:r w:rsidRPr="00F64697">
        <w:rPr>
          <w:rFonts w:cs="Times New Roman"/>
          <w:sz w:val="24"/>
          <w:szCs w:val="24"/>
        </w:rPr>
        <w:t xml:space="preserve">La </w:t>
      </w:r>
      <w:r w:rsidR="00CB7610" w:rsidRPr="00F64697">
        <w:rPr>
          <w:rFonts w:cs="Times New Roman"/>
          <w:sz w:val="24"/>
          <w:szCs w:val="24"/>
        </w:rPr>
        <w:t xml:space="preserve">presentación de la citada cuestión prejudicial por la </w:t>
      </w:r>
      <w:r w:rsidR="00CB7610" w:rsidRPr="00F64697">
        <w:rPr>
          <w:rFonts w:cs="Times New Roman"/>
          <w:i/>
          <w:iCs/>
          <w:sz w:val="24"/>
          <w:szCs w:val="24"/>
        </w:rPr>
        <w:t>High Court</w:t>
      </w:r>
      <w:r w:rsidR="0076491C" w:rsidRPr="00F64697">
        <w:rPr>
          <w:rFonts w:cs="Times New Roman"/>
          <w:sz w:val="24"/>
          <w:szCs w:val="24"/>
        </w:rPr>
        <w:t xml:space="preserve"> encargada de dar ejecución forzosa en el Reino Unido al auto de la Audiencia Provincial de A Coruña</w:t>
      </w:r>
      <w:r w:rsidR="00CB7610" w:rsidRPr="00F64697">
        <w:rPr>
          <w:rFonts w:cs="Times New Roman"/>
          <w:sz w:val="24"/>
          <w:szCs w:val="24"/>
        </w:rPr>
        <w:t xml:space="preserve">, constituyó, en nuestra opinión, un obstáculo en la </w:t>
      </w:r>
      <w:r w:rsidR="0076491C" w:rsidRPr="00F64697">
        <w:rPr>
          <w:rFonts w:cs="Times New Roman"/>
          <w:sz w:val="24"/>
          <w:szCs w:val="24"/>
        </w:rPr>
        <w:t>estrategia procesal de defensa del club P&amp;I. Precisamente en el momento transicional del cese del Reino Unido como miembro de la Unión Europe</w:t>
      </w:r>
      <w:r w:rsidR="00001E9C" w:rsidRPr="00F64697">
        <w:rPr>
          <w:rFonts w:cs="Times New Roman"/>
          <w:sz w:val="24"/>
          <w:szCs w:val="24"/>
        </w:rPr>
        <w:t xml:space="preserve">a, la </w:t>
      </w:r>
      <w:r w:rsidR="00001E9C" w:rsidRPr="00F64697">
        <w:rPr>
          <w:rFonts w:cs="Times New Roman"/>
          <w:i/>
          <w:iCs/>
          <w:sz w:val="24"/>
          <w:szCs w:val="24"/>
        </w:rPr>
        <w:t>High Court</w:t>
      </w:r>
      <w:r w:rsidR="00001E9C" w:rsidRPr="00F64697">
        <w:rPr>
          <w:rFonts w:cs="Times New Roman"/>
          <w:sz w:val="24"/>
          <w:szCs w:val="24"/>
        </w:rPr>
        <w:t xml:space="preserve"> presenta una cuestión prejudicial que afecta a la línea de flotación del proteccionismo del arbitraje londinense. Así lo entendió e</w:t>
      </w:r>
      <w:r w:rsidR="00CB7610" w:rsidRPr="00F64697">
        <w:rPr>
          <w:rFonts w:cs="Times New Roman"/>
          <w:sz w:val="24"/>
          <w:szCs w:val="24"/>
        </w:rPr>
        <w:t>l club P&amp;I</w:t>
      </w:r>
      <w:r w:rsidR="00001E9C" w:rsidRPr="00F64697">
        <w:rPr>
          <w:rFonts w:cs="Times New Roman"/>
          <w:sz w:val="24"/>
          <w:szCs w:val="24"/>
        </w:rPr>
        <w:t>, que</w:t>
      </w:r>
      <w:r w:rsidR="00CB7610" w:rsidRPr="00F64697">
        <w:rPr>
          <w:rFonts w:cs="Times New Roman"/>
          <w:sz w:val="24"/>
          <w:szCs w:val="24"/>
        </w:rPr>
        <w:t xml:space="preserve"> </w:t>
      </w:r>
      <w:r w:rsidR="0076491C" w:rsidRPr="00F64697">
        <w:rPr>
          <w:rFonts w:cs="Times New Roman"/>
          <w:sz w:val="24"/>
          <w:szCs w:val="24"/>
        </w:rPr>
        <w:t>p</w:t>
      </w:r>
      <w:r w:rsidR="00CB7610" w:rsidRPr="00F64697">
        <w:rPr>
          <w:rFonts w:cs="Times New Roman"/>
          <w:sz w:val="24"/>
          <w:szCs w:val="24"/>
        </w:rPr>
        <w:t xml:space="preserve">resentó </w:t>
      </w:r>
      <w:r w:rsidR="003F67FC" w:rsidRPr="00F64697">
        <w:rPr>
          <w:rFonts w:eastAsia="Times New Roman" w:cs="Times New Roman"/>
          <w:color w:val="000000"/>
          <w:sz w:val="24"/>
          <w:szCs w:val="24"/>
          <w:lang w:eastAsia="es-ES"/>
        </w:rPr>
        <w:t>recurso de apelación</w:t>
      </w:r>
      <w:r w:rsidRPr="00F64697">
        <w:rPr>
          <w:rFonts w:eastAsia="Times New Roman" w:cs="Times New Roman"/>
          <w:color w:val="000000"/>
          <w:sz w:val="24"/>
          <w:szCs w:val="24"/>
          <w:lang w:eastAsia="es-ES"/>
        </w:rPr>
        <w:t xml:space="preserve"> </w:t>
      </w:r>
      <w:r w:rsidR="0076491C" w:rsidRPr="00F64697">
        <w:rPr>
          <w:rFonts w:eastAsia="Times New Roman" w:cs="Times New Roman"/>
          <w:color w:val="000000"/>
          <w:sz w:val="24"/>
          <w:szCs w:val="24"/>
          <w:lang w:eastAsia="es-ES"/>
        </w:rPr>
        <w:t>contra la propia presentación de la cuestión prejudicial</w:t>
      </w:r>
      <w:r w:rsidR="00001E9C" w:rsidRPr="00F64697">
        <w:rPr>
          <w:rFonts w:eastAsia="Times New Roman" w:cs="Times New Roman"/>
          <w:color w:val="000000"/>
          <w:sz w:val="24"/>
          <w:szCs w:val="24"/>
          <w:lang w:eastAsia="es-ES"/>
        </w:rPr>
        <w:t xml:space="preserve">. </w:t>
      </w:r>
    </w:p>
    <w:p w14:paraId="5046947A" w14:textId="39E524C1" w:rsidR="003F67FC" w:rsidRPr="00F64697" w:rsidRDefault="00CB7610" w:rsidP="00CB7610">
      <w:pPr>
        <w:spacing w:before="120" w:after="120" w:line="240" w:lineRule="auto"/>
        <w:jc w:val="both"/>
        <w:rPr>
          <w:rFonts w:cs="Times New Roman"/>
          <w:sz w:val="24"/>
          <w:szCs w:val="24"/>
        </w:rPr>
      </w:pPr>
      <w:r w:rsidRPr="00F64697">
        <w:rPr>
          <w:rFonts w:eastAsia="Times New Roman" w:cs="Times New Roman"/>
          <w:color w:val="000000"/>
          <w:sz w:val="24"/>
          <w:szCs w:val="24"/>
          <w:lang w:eastAsia="es-ES"/>
        </w:rPr>
        <w:t>L</w:t>
      </w:r>
      <w:r w:rsidR="003F67FC" w:rsidRPr="00F64697">
        <w:rPr>
          <w:rFonts w:eastAsia="Times New Roman" w:cs="Times New Roman"/>
          <w:color w:val="000000"/>
          <w:sz w:val="24"/>
          <w:szCs w:val="24"/>
          <w:lang w:eastAsia="es-ES"/>
        </w:rPr>
        <w:t xml:space="preserve">a sentencia de 1 de marzo de 2022 de la </w:t>
      </w:r>
      <w:r w:rsidR="003F67FC" w:rsidRPr="00F64697">
        <w:rPr>
          <w:rFonts w:eastAsia="Times New Roman" w:cs="Times New Roman"/>
          <w:i/>
          <w:iCs/>
          <w:color w:val="000000"/>
          <w:sz w:val="24"/>
          <w:szCs w:val="24"/>
          <w:lang w:eastAsia="es-ES"/>
        </w:rPr>
        <w:t>Court of Appeal</w:t>
      </w:r>
      <w:r w:rsidR="003F67FC" w:rsidRPr="00F64697">
        <w:rPr>
          <w:rFonts w:eastAsia="Times New Roman" w:cs="Times New Roman"/>
          <w:color w:val="000000"/>
          <w:sz w:val="24"/>
          <w:szCs w:val="24"/>
          <w:lang w:eastAsia="es-ES"/>
        </w:rPr>
        <w:t xml:space="preserve"> acepta la petición del club P&amp;I y obliga a la </w:t>
      </w:r>
      <w:r w:rsidR="003F67FC" w:rsidRPr="00F64697">
        <w:rPr>
          <w:rFonts w:eastAsia="Times New Roman" w:cs="Times New Roman"/>
          <w:i/>
          <w:iCs/>
          <w:color w:val="000000"/>
          <w:sz w:val="24"/>
          <w:szCs w:val="24"/>
          <w:lang w:eastAsia="es-ES"/>
        </w:rPr>
        <w:t>High Court</w:t>
      </w:r>
      <w:r w:rsidR="003F67FC" w:rsidRPr="00F64697">
        <w:rPr>
          <w:rFonts w:eastAsia="Times New Roman" w:cs="Times New Roman"/>
          <w:color w:val="000000"/>
          <w:sz w:val="24"/>
          <w:szCs w:val="24"/>
          <w:lang w:eastAsia="es-ES"/>
        </w:rPr>
        <w:t xml:space="preserve"> a retirar la cuestión prejudicial</w:t>
      </w:r>
      <w:r w:rsidR="003F67FC" w:rsidRPr="00F64697">
        <w:rPr>
          <w:rStyle w:val="Refdenotaalpie"/>
          <w:rFonts w:eastAsia="Times New Roman" w:cs="Times New Roman"/>
          <w:color w:val="000000"/>
          <w:sz w:val="24"/>
          <w:szCs w:val="24"/>
          <w:lang w:eastAsia="es-ES"/>
        </w:rPr>
        <w:footnoteReference w:id="31"/>
      </w:r>
      <w:r w:rsidR="003F67FC" w:rsidRPr="00F64697">
        <w:rPr>
          <w:rFonts w:eastAsia="Times New Roman" w:cs="Times New Roman"/>
          <w:color w:val="000000"/>
          <w:sz w:val="24"/>
          <w:szCs w:val="24"/>
          <w:lang w:eastAsia="es-ES"/>
        </w:rPr>
        <w:t>.</w:t>
      </w:r>
      <w:r w:rsidR="003F67FC" w:rsidRPr="00F64697">
        <w:rPr>
          <w:rFonts w:cs="Times New Roman"/>
          <w:sz w:val="24"/>
          <w:szCs w:val="24"/>
        </w:rPr>
        <w:t xml:space="preserve"> </w:t>
      </w:r>
      <w:r w:rsidR="003F67FC" w:rsidRPr="00F64697">
        <w:rPr>
          <w:rFonts w:eastAsia="Times New Roman" w:cs="Times New Roman"/>
          <w:color w:val="000000"/>
          <w:sz w:val="24"/>
          <w:szCs w:val="24"/>
          <w:lang w:eastAsia="es-ES"/>
        </w:rPr>
        <w:t xml:space="preserve">Justifica que la decisión de plantear una cuestión prejudicial al Tribunal de Justicia de la Unión Europea no es una cuestión puramente discrecional, ya que primero el juez debe satisfacerse una prueba legal de su “necesidad”. Se trata de una condición suspensiva, que surge antes del ejercicio de la discreción para formular o no la cuestión prejudicial. Además, puede ser revisado por la </w:t>
      </w:r>
      <w:r w:rsidR="003F67FC" w:rsidRPr="00F64697">
        <w:rPr>
          <w:rFonts w:eastAsia="Times New Roman" w:cs="Times New Roman"/>
          <w:i/>
          <w:iCs/>
          <w:color w:val="000000"/>
          <w:sz w:val="24"/>
          <w:szCs w:val="24"/>
          <w:lang w:eastAsia="es-ES"/>
        </w:rPr>
        <w:t>Court of Appeal</w:t>
      </w:r>
      <w:r w:rsidR="003F67FC" w:rsidRPr="00F64697">
        <w:rPr>
          <w:rFonts w:eastAsia="Times New Roman" w:cs="Times New Roman"/>
          <w:color w:val="000000"/>
          <w:sz w:val="24"/>
          <w:szCs w:val="24"/>
          <w:lang w:eastAsia="es-ES"/>
        </w:rPr>
        <w:t xml:space="preserve">. La discrecionalidad del juez de hacer una remisión sólo surge una vez satisfecha la prueba de necesidad. Considera que la </w:t>
      </w:r>
      <w:r w:rsidR="003F67FC" w:rsidRPr="00F64697">
        <w:rPr>
          <w:rFonts w:eastAsia="Times New Roman" w:cs="Times New Roman"/>
          <w:i/>
          <w:iCs/>
          <w:color w:val="000000"/>
          <w:sz w:val="24"/>
          <w:szCs w:val="24"/>
          <w:lang w:eastAsia="es-ES"/>
        </w:rPr>
        <w:t>High Court</w:t>
      </w:r>
      <w:r w:rsidR="003F67FC" w:rsidRPr="00F64697">
        <w:rPr>
          <w:rFonts w:eastAsia="Times New Roman" w:cs="Times New Roman"/>
          <w:color w:val="000000"/>
          <w:sz w:val="24"/>
          <w:szCs w:val="24"/>
          <w:lang w:eastAsia="es-ES"/>
        </w:rPr>
        <w:t xml:space="preserve"> aplicó la prueba equivocada al considerar la cuestión de la necesidad.</w:t>
      </w:r>
    </w:p>
    <w:p w14:paraId="1DF5327E" w14:textId="281E0B5D" w:rsidR="003F4AFD" w:rsidRPr="00F64697" w:rsidRDefault="003F67FC" w:rsidP="00E17EC6">
      <w:pPr>
        <w:spacing w:before="120" w:after="120" w:line="240" w:lineRule="auto"/>
        <w:jc w:val="both"/>
        <w:rPr>
          <w:rFonts w:eastAsia="Times New Roman" w:cs="Times New Roman"/>
          <w:color w:val="000000"/>
          <w:sz w:val="24"/>
          <w:szCs w:val="24"/>
          <w:lang w:eastAsia="es-ES"/>
        </w:rPr>
      </w:pPr>
      <w:r w:rsidRPr="00F64697">
        <w:rPr>
          <w:rFonts w:eastAsia="Times New Roman" w:cs="Times New Roman"/>
          <w:color w:val="000000"/>
          <w:sz w:val="24"/>
          <w:szCs w:val="24"/>
          <w:lang w:eastAsia="es-ES"/>
        </w:rPr>
        <w:t xml:space="preserve">El Estado Español solicita permiso para plantear un recurso de casación ante la </w:t>
      </w:r>
      <w:r w:rsidRPr="00F64697">
        <w:rPr>
          <w:rFonts w:eastAsia="Times New Roman" w:cs="Times New Roman"/>
          <w:i/>
          <w:iCs/>
          <w:color w:val="000000"/>
          <w:sz w:val="24"/>
          <w:szCs w:val="24"/>
          <w:lang w:eastAsia="es-ES"/>
        </w:rPr>
        <w:t>Supreme Court</w:t>
      </w:r>
      <w:r w:rsidRPr="00F64697">
        <w:rPr>
          <w:rFonts w:eastAsia="Times New Roman" w:cs="Times New Roman"/>
          <w:color w:val="000000"/>
          <w:sz w:val="24"/>
          <w:szCs w:val="24"/>
          <w:lang w:eastAsia="es-ES"/>
        </w:rPr>
        <w:t xml:space="preserve">. La finalidad es defender que la </w:t>
      </w:r>
      <w:r w:rsidRPr="00F64697">
        <w:rPr>
          <w:rFonts w:eastAsia="Times New Roman" w:cs="Times New Roman"/>
          <w:i/>
          <w:iCs/>
          <w:color w:val="000000"/>
          <w:sz w:val="24"/>
          <w:szCs w:val="24"/>
          <w:lang w:eastAsia="es-ES"/>
        </w:rPr>
        <w:t>Court of Appeal</w:t>
      </w:r>
      <w:r w:rsidRPr="00F64697">
        <w:rPr>
          <w:rFonts w:eastAsia="Times New Roman" w:cs="Times New Roman"/>
          <w:color w:val="000000"/>
          <w:sz w:val="24"/>
          <w:szCs w:val="24"/>
          <w:lang w:eastAsia="es-ES"/>
        </w:rPr>
        <w:t xml:space="preserve"> ha errado al imponer la renuncia a la cuestión prejudicial. </w:t>
      </w:r>
      <w:r w:rsidR="00001E9C" w:rsidRPr="00F64697">
        <w:rPr>
          <w:rFonts w:eastAsia="Times New Roman" w:cs="Times New Roman"/>
          <w:color w:val="000000"/>
          <w:sz w:val="24"/>
          <w:szCs w:val="24"/>
          <w:lang w:eastAsia="es-ES"/>
        </w:rPr>
        <w:t>Sin embargo, e</w:t>
      </w:r>
      <w:r w:rsidR="00934B6C" w:rsidRPr="00F64697">
        <w:rPr>
          <w:rFonts w:eastAsia="Times New Roman" w:cs="Times New Roman"/>
          <w:color w:val="000000"/>
          <w:sz w:val="24"/>
          <w:szCs w:val="24"/>
          <w:lang w:eastAsia="es-ES"/>
        </w:rPr>
        <w:t xml:space="preserve">l 28 de octubre de 2022, la </w:t>
      </w:r>
      <w:r w:rsidR="00934B6C" w:rsidRPr="00F64697">
        <w:rPr>
          <w:rFonts w:eastAsia="Times New Roman" w:cs="Times New Roman"/>
          <w:i/>
          <w:iCs/>
          <w:color w:val="000000"/>
          <w:sz w:val="24"/>
          <w:szCs w:val="24"/>
          <w:lang w:eastAsia="es-ES"/>
        </w:rPr>
        <w:t>Supreme Court</w:t>
      </w:r>
      <w:r w:rsidR="00934B6C" w:rsidRPr="00F64697">
        <w:rPr>
          <w:rFonts w:eastAsia="Times New Roman" w:cs="Times New Roman"/>
          <w:color w:val="000000"/>
          <w:sz w:val="24"/>
          <w:szCs w:val="24"/>
          <w:lang w:eastAsia="es-ES"/>
        </w:rPr>
        <w:t xml:space="preserve"> comunicó que se rechazaba el permiso </w:t>
      </w:r>
      <w:r w:rsidR="00D45770" w:rsidRPr="00F64697">
        <w:rPr>
          <w:rFonts w:eastAsia="Times New Roman" w:cs="Times New Roman"/>
          <w:color w:val="000000"/>
          <w:sz w:val="24"/>
          <w:szCs w:val="24"/>
          <w:lang w:eastAsia="es-ES"/>
        </w:rPr>
        <w:t xml:space="preserve">al Estado Español </w:t>
      </w:r>
      <w:r w:rsidR="00934B6C" w:rsidRPr="00F64697">
        <w:rPr>
          <w:rFonts w:eastAsia="Times New Roman" w:cs="Times New Roman"/>
          <w:color w:val="000000"/>
          <w:sz w:val="24"/>
          <w:szCs w:val="24"/>
          <w:lang w:eastAsia="es-ES"/>
        </w:rPr>
        <w:t>para plantear recurso de casación, porque “</w:t>
      </w:r>
      <w:r w:rsidR="00934B6C" w:rsidRPr="00F64697">
        <w:rPr>
          <w:rFonts w:eastAsia="Times New Roman" w:cs="Times New Roman"/>
          <w:i/>
          <w:iCs/>
          <w:color w:val="000000"/>
          <w:sz w:val="24"/>
          <w:szCs w:val="24"/>
          <w:lang w:eastAsia="es-ES"/>
        </w:rPr>
        <w:t>la solicitud no plantea una cuestión de derecho que sea discutible</w:t>
      </w:r>
      <w:r w:rsidR="00934B6C" w:rsidRPr="00F64697">
        <w:rPr>
          <w:rFonts w:eastAsia="Times New Roman" w:cs="Times New Roman"/>
          <w:color w:val="000000"/>
          <w:sz w:val="24"/>
          <w:szCs w:val="24"/>
          <w:lang w:eastAsia="es-ES"/>
        </w:rPr>
        <w:t>”</w:t>
      </w:r>
      <w:r w:rsidR="00AB2051" w:rsidRPr="00F64697">
        <w:rPr>
          <w:rStyle w:val="Refdenotaalpie"/>
          <w:rFonts w:eastAsia="Times New Roman" w:cs="Times New Roman"/>
          <w:color w:val="000000"/>
          <w:sz w:val="24"/>
          <w:szCs w:val="24"/>
          <w:lang w:eastAsia="es-ES"/>
        </w:rPr>
        <w:footnoteReference w:id="32"/>
      </w:r>
      <w:r w:rsidR="00AB2051" w:rsidRPr="00F64697">
        <w:rPr>
          <w:rFonts w:eastAsia="Times New Roman" w:cs="Times New Roman"/>
          <w:color w:val="000000"/>
          <w:sz w:val="24"/>
          <w:szCs w:val="24"/>
          <w:lang w:eastAsia="es-ES"/>
        </w:rPr>
        <w:t>.</w:t>
      </w:r>
      <w:r w:rsidR="00001E9C" w:rsidRPr="00F64697">
        <w:rPr>
          <w:rFonts w:eastAsia="Times New Roman" w:cs="Times New Roman"/>
          <w:color w:val="000000"/>
          <w:sz w:val="24"/>
          <w:szCs w:val="24"/>
          <w:lang w:eastAsia="es-ES"/>
        </w:rPr>
        <w:t xml:space="preserve"> No entra en el fondo del asunto, simplemente se inadmite el recurso de casación. </w:t>
      </w:r>
    </w:p>
    <w:p w14:paraId="42AAA785" w14:textId="799D1FE6" w:rsidR="000B14F9" w:rsidRPr="00F64697" w:rsidRDefault="00001E9C" w:rsidP="000B14F9">
      <w:pPr>
        <w:spacing w:before="120" w:after="120" w:line="240" w:lineRule="auto"/>
        <w:jc w:val="both"/>
        <w:rPr>
          <w:rFonts w:cs="Times New Roman"/>
          <w:sz w:val="24"/>
          <w:szCs w:val="24"/>
        </w:rPr>
      </w:pPr>
      <w:r w:rsidRPr="00F64697">
        <w:rPr>
          <w:rFonts w:cs="Times New Roman"/>
          <w:sz w:val="24"/>
          <w:szCs w:val="24"/>
        </w:rPr>
        <w:lastRenderedPageBreak/>
        <w:t xml:space="preserve">Una vez devuelto el asunto a la </w:t>
      </w:r>
      <w:r w:rsidR="00D45770" w:rsidRPr="00F64697">
        <w:rPr>
          <w:rFonts w:cs="Times New Roman"/>
          <w:i/>
          <w:iCs/>
          <w:sz w:val="24"/>
          <w:szCs w:val="24"/>
        </w:rPr>
        <w:t>High Court</w:t>
      </w:r>
      <w:r w:rsidRPr="00F64697">
        <w:rPr>
          <w:rFonts w:cs="Times New Roman"/>
          <w:sz w:val="24"/>
          <w:szCs w:val="24"/>
        </w:rPr>
        <w:t>, mediante sentencia</w:t>
      </w:r>
      <w:r w:rsidR="00D45770" w:rsidRPr="00F64697">
        <w:rPr>
          <w:rFonts w:cs="Times New Roman"/>
          <w:sz w:val="24"/>
          <w:szCs w:val="24"/>
        </w:rPr>
        <w:t xml:space="preserve"> de 6 de octubre de 2023, </w:t>
      </w:r>
      <w:r w:rsidR="007865D2" w:rsidRPr="00F64697">
        <w:rPr>
          <w:rFonts w:cs="Times New Roman"/>
          <w:sz w:val="24"/>
          <w:szCs w:val="24"/>
        </w:rPr>
        <w:t>e</w:t>
      </w:r>
      <w:r w:rsidRPr="00F64697">
        <w:rPr>
          <w:rFonts w:cs="Times New Roman"/>
          <w:sz w:val="24"/>
          <w:szCs w:val="24"/>
        </w:rPr>
        <w:t xml:space="preserve">l </w:t>
      </w:r>
      <w:r w:rsidR="00F200CC">
        <w:rPr>
          <w:rFonts w:cs="Times New Roman"/>
          <w:sz w:val="24"/>
          <w:szCs w:val="24"/>
        </w:rPr>
        <w:t>J</w:t>
      </w:r>
      <w:r w:rsidRPr="00F64697">
        <w:rPr>
          <w:rFonts w:cs="Times New Roman"/>
          <w:sz w:val="24"/>
          <w:szCs w:val="24"/>
        </w:rPr>
        <w:t xml:space="preserve">uez, el mismo </w:t>
      </w:r>
      <w:r w:rsidR="007865D2" w:rsidRPr="00F64697">
        <w:rPr>
          <w:rFonts w:cs="Times New Roman"/>
          <w:sz w:val="24"/>
          <w:szCs w:val="24"/>
        </w:rPr>
        <w:t xml:space="preserve">encargado de registrar la ejecución forzosa del auto español en el Reino Unido y que planteó en su momento la cuestión prejudicial ante el Tribunal de Justicia de la Unión Europea. </w:t>
      </w:r>
      <w:r w:rsidR="00F200CC">
        <w:rPr>
          <w:rFonts w:cs="Times New Roman"/>
          <w:sz w:val="24"/>
          <w:szCs w:val="24"/>
        </w:rPr>
        <w:t>A</w:t>
      </w:r>
      <w:r w:rsidR="00F05770" w:rsidRPr="00F64697">
        <w:rPr>
          <w:rFonts w:cs="Times New Roman"/>
          <w:sz w:val="24"/>
          <w:szCs w:val="24"/>
        </w:rPr>
        <w:t>dmite el recurso del Club P&amp;I contra la ejecución forzosa</w:t>
      </w:r>
      <w:r w:rsidR="00E432A2" w:rsidRPr="00F64697">
        <w:rPr>
          <w:rFonts w:cs="Times New Roman"/>
          <w:sz w:val="24"/>
          <w:szCs w:val="24"/>
        </w:rPr>
        <w:t xml:space="preserve"> del auto de la Audiencia Provincial de A Coruña de 1 de marzo de 2019</w:t>
      </w:r>
      <w:r w:rsidR="00F05770" w:rsidRPr="00F64697">
        <w:rPr>
          <w:rFonts w:cs="Times New Roman"/>
          <w:sz w:val="24"/>
          <w:szCs w:val="24"/>
        </w:rPr>
        <w:t xml:space="preserve"> basándose en que</w:t>
      </w:r>
      <w:r w:rsidR="00C86EF5" w:rsidRPr="00F64697">
        <w:rPr>
          <w:rFonts w:cs="Times New Roman"/>
          <w:sz w:val="24"/>
          <w:szCs w:val="24"/>
        </w:rPr>
        <w:t>:</w:t>
      </w:r>
    </w:p>
    <w:p w14:paraId="1B1DF9FD" w14:textId="1BDDC3C0" w:rsidR="00BC01CF" w:rsidRPr="00F64697" w:rsidRDefault="00233642" w:rsidP="004A4F30">
      <w:pPr>
        <w:pStyle w:val="Prrafodelista"/>
        <w:numPr>
          <w:ilvl w:val="0"/>
          <w:numId w:val="46"/>
        </w:numPr>
        <w:spacing w:before="120" w:after="120" w:line="240" w:lineRule="auto"/>
        <w:jc w:val="both"/>
        <w:rPr>
          <w:rFonts w:cs="Times New Roman"/>
          <w:sz w:val="24"/>
          <w:szCs w:val="24"/>
        </w:rPr>
      </w:pPr>
      <w:r w:rsidRPr="00F64697">
        <w:rPr>
          <w:rFonts w:cs="Times New Roman"/>
          <w:sz w:val="24"/>
          <w:szCs w:val="24"/>
        </w:rPr>
        <w:t xml:space="preserve">No se considera vinculado por la </w:t>
      </w:r>
      <w:r w:rsidR="00F200CC">
        <w:rPr>
          <w:rFonts w:cs="Times New Roman"/>
          <w:sz w:val="24"/>
          <w:szCs w:val="24"/>
        </w:rPr>
        <w:t xml:space="preserve">sentencia </w:t>
      </w:r>
      <w:r w:rsidRPr="00F64697">
        <w:rPr>
          <w:rFonts w:cs="Times New Roman"/>
          <w:sz w:val="24"/>
          <w:szCs w:val="24"/>
        </w:rPr>
        <w:t xml:space="preserve">del Tribunal de Justicia de la Unión Europea </w:t>
      </w:r>
      <w:r w:rsidR="00F200CC">
        <w:rPr>
          <w:rFonts w:cs="Times New Roman"/>
          <w:sz w:val="24"/>
          <w:szCs w:val="24"/>
        </w:rPr>
        <w:t xml:space="preserve">a la cuestión </w:t>
      </w:r>
      <w:r w:rsidR="00F200CC" w:rsidRPr="00712129">
        <w:rPr>
          <w:rFonts w:cs="Times New Roman"/>
          <w:sz w:val="24"/>
          <w:szCs w:val="24"/>
        </w:rPr>
        <w:t xml:space="preserve">prejudicial que el propio Juez había planteado </w:t>
      </w:r>
      <w:r w:rsidRPr="00712129">
        <w:rPr>
          <w:rFonts w:cs="Times New Roman"/>
          <w:sz w:val="24"/>
          <w:szCs w:val="24"/>
        </w:rPr>
        <w:t>(apartado 89)</w:t>
      </w:r>
      <w:r w:rsidR="00F200CC" w:rsidRPr="00712129">
        <w:rPr>
          <w:rFonts w:cs="Times New Roman"/>
          <w:sz w:val="24"/>
          <w:szCs w:val="24"/>
        </w:rPr>
        <w:t xml:space="preserve">. Considera que en sus apartados 54 a 73 se ha pronunciado </w:t>
      </w:r>
      <w:r w:rsidRPr="00712129">
        <w:rPr>
          <w:rFonts w:cs="Times New Roman"/>
          <w:sz w:val="24"/>
          <w:szCs w:val="24"/>
        </w:rPr>
        <w:t xml:space="preserve">sobre temas que no habían sido objeto de la cuestión prejudicial (apartados 205, 209, 214, 224). </w:t>
      </w:r>
      <w:r w:rsidR="00F200CC" w:rsidRPr="00712129">
        <w:rPr>
          <w:rFonts w:cs="Times New Roman"/>
          <w:sz w:val="24"/>
          <w:szCs w:val="24"/>
        </w:rPr>
        <w:t xml:space="preserve">Indica que no preguntó sobre </w:t>
      </w:r>
      <w:r w:rsidRPr="00712129">
        <w:rPr>
          <w:rFonts w:cs="Times New Roman"/>
          <w:sz w:val="24"/>
          <w:szCs w:val="24"/>
        </w:rPr>
        <w:t>el</w:t>
      </w:r>
      <w:r w:rsidRPr="00F64697">
        <w:rPr>
          <w:rFonts w:cs="Times New Roman"/>
          <w:sz w:val="24"/>
          <w:szCs w:val="24"/>
        </w:rPr>
        <w:t xml:space="preserve"> carácter inconciliable de las resoluciones inglesa y española. </w:t>
      </w:r>
      <w:r w:rsidR="00B818BD" w:rsidRPr="00F64697">
        <w:rPr>
          <w:rFonts w:cs="Times New Roman"/>
          <w:sz w:val="24"/>
          <w:szCs w:val="24"/>
        </w:rPr>
        <w:t>Señala que rechazó la invitación del Estado Español a incluir en la cuestión prejudicial el tema de</w:t>
      </w:r>
      <w:r w:rsidRPr="00F64697">
        <w:rPr>
          <w:rFonts w:cs="Times New Roman"/>
          <w:sz w:val="24"/>
          <w:szCs w:val="24"/>
        </w:rPr>
        <w:t xml:space="preserve">l carácter inconciliable de ambas </w:t>
      </w:r>
      <w:r w:rsidR="00B818BD" w:rsidRPr="00F64697">
        <w:rPr>
          <w:rFonts w:cs="Times New Roman"/>
          <w:sz w:val="24"/>
          <w:szCs w:val="24"/>
        </w:rPr>
        <w:t xml:space="preserve">resoluciones (apartado 36). </w:t>
      </w:r>
      <w:r w:rsidR="00F200CC">
        <w:rPr>
          <w:rFonts w:cs="Times New Roman"/>
          <w:sz w:val="24"/>
          <w:szCs w:val="24"/>
        </w:rPr>
        <w:t>Además, el J</w:t>
      </w:r>
      <w:r w:rsidRPr="00F64697">
        <w:rPr>
          <w:rFonts w:cs="Times New Roman"/>
          <w:sz w:val="24"/>
          <w:szCs w:val="24"/>
        </w:rPr>
        <w:t>uez se siente respaldado en este sentido por el</w:t>
      </w:r>
      <w:r w:rsidR="002D7DC0" w:rsidRPr="00F64697">
        <w:rPr>
          <w:rFonts w:cs="Times New Roman"/>
          <w:sz w:val="24"/>
          <w:szCs w:val="24"/>
        </w:rPr>
        <w:t xml:space="preserve"> </w:t>
      </w:r>
      <w:r w:rsidR="00B818BD" w:rsidRPr="00F64697">
        <w:rPr>
          <w:rFonts w:cs="Times New Roman"/>
          <w:sz w:val="24"/>
          <w:szCs w:val="24"/>
        </w:rPr>
        <w:t>Abogado General</w:t>
      </w:r>
      <w:r w:rsidRPr="00F64697">
        <w:rPr>
          <w:rFonts w:cs="Times New Roman"/>
          <w:sz w:val="24"/>
          <w:szCs w:val="24"/>
        </w:rPr>
        <w:t xml:space="preserve">, que </w:t>
      </w:r>
      <w:r w:rsidR="00B818BD" w:rsidRPr="00F64697">
        <w:rPr>
          <w:rFonts w:cs="Times New Roman"/>
          <w:sz w:val="24"/>
          <w:szCs w:val="24"/>
        </w:rPr>
        <w:t xml:space="preserve">señaló que el tema de la inconciliabilidad de las resoluciones inglesa y española no se incluyó en la cuestión prejudicial (apartado 103). </w:t>
      </w:r>
    </w:p>
    <w:p w14:paraId="4B87D273" w14:textId="77777777" w:rsidR="007A37E4" w:rsidRDefault="00005167" w:rsidP="00F200CC">
      <w:pPr>
        <w:pStyle w:val="Prrafodelista"/>
        <w:numPr>
          <w:ilvl w:val="0"/>
          <w:numId w:val="46"/>
        </w:numPr>
        <w:spacing w:before="120" w:after="120" w:line="240" w:lineRule="auto"/>
        <w:jc w:val="both"/>
        <w:rPr>
          <w:rFonts w:cs="Times New Roman"/>
          <w:sz w:val="24"/>
          <w:szCs w:val="24"/>
        </w:rPr>
      </w:pPr>
      <w:r w:rsidRPr="00F64697">
        <w:rPr>
          <w:rFonts w:cs="Times New Roman"/>
          <w:sz w:val="24"/>
          <w:szCs w:val="24"/>
        </w:rPr>
        <w:t>C</w:t>
      </w:r>
      <w:r w:rsidR="00233642" w:rsidRPr="00F64697">
        <w:rPr>
          <w:rFonts w:cs="Times New Roman"/>
          <w:sz w:val="24"/>
          <w:szCs w:val="24"/>
        </w:rPr>
        <w:t>onsidera que</w:t>
      </w:r>
      <w:r w:rsidRPr="00F64697">
        <w:rPr>
          <w:rFonts w:cs="Times New Roman"/>
          <w:sz w:val="24"/>
          <w:szCs w:val="24"/>
        </w:rPr>
        <w:t xml:space="preserve">, de acuerdo con el </w:t>
      </w:r>
      <w:r w:rsidR="00F200CC">
        <w:rPr>
          <w:rFonts w:cs="Times New Roman"/>
          <w:sz w:val="24"/>
          <w:szCs w:val="24"/>
        </w:rPr>
        <w:t xml:space="preserve">art. 34.3 </w:t>
      </w:r>
      <w:r w:rsidRPr="00F64697">
        <w:rPr>
          <w:rFonts w:cs="Times New Roman"/>
          <w:sz w:val="24"/>
          <w:szCs w:val="24"/>
        </w:rPr>
        <w:t>Reglamento (CE) 44/2001,</w:t>
      </w:r>
      <w:r w:rsidR="00233642" w:rsidRPr="00F64697">
        <w:rPr>
          <w:rFonts w:cs="Times New Roman"/>
          <w:sz w:val="24"/>
          <w:szCs w:val="24"/>
        </w:rPr>
        <w:t xml:space="preserve"> </w:t>
      </w:r>
      <w:r w:rsidR="00F200CC">
        <w:rPr>
          <w:rFonts w:cs="Times New Roman"/>
          <w:sz w:val="24"/>
          <w:szCs w:val="24"/>
        </w:rPr>
        <w:t>el</w:t>
      </w:r>
      <w:r w:rsidR="00F200CC" w:rsidRPr="00F64697">
        <w:rPr>
          <w:rFonts w:cs="Times New Roman"/>
          <w:sz w:val="24"/>
          <w:szCs w:val="24"/>
        </w:rPr>
        <w:t xml:space="preserve"> auto de la Audiencia Provincial de A Coruña de 1 de marzo de 2019 </w:t>
      </w:r>
      <w:r w:rsidR="00F05770" w:rsidRPr="00F64697">
        <w:rPr>
          <w:rFonts w:cs="Times New Roman"/>
          <w:sz w:val="24"/>
          <w:szCs w:val="24"/>
        </w:rPr>
        <w:t xml:space="preserve">es inconciliable con la </w:t>
      </w:r>
      <w:r w:rsidR="007A37E4" w:rsidRPr="00F64697">
        <w:rPr>
          <w:rFonts w:cs="Times New Roman"/>
          <w:sz w:val="24"/>
          <w:szCs w:val="24"/>
        </w:rPr>
        <w:t xml:space="preserve">sentencia inglesa de 22 de octubre de 2013 </w:t>
      </w:r>
      <w:r w:rsidR="00F05770" w:rsidRPr="00F64697">
        <w:rPr>
          <w:rFonts w:cs="Times New Roman"/>
          <w:sz w:val="24"/>
          <w:szCs w:val="24"/>
        </w:rPr>
        <w:t>dictada al amparo del art. 66 de la Ley de arbitraje inglés</w:t>
      </w:r>
      <w:r w:rsidR="00B818BD" w:rsidRPr="00F64697">
        <w:rPr>
          <w:rFonts w:cs="Times New Roman"/>
          <w:sz w:val="24"/>
          <w:szCs w:val="24"/>
        </w:rPr>
        <w:t xml:space="preserve"> (apartado 102)</w:t>
      </w:r>
      <w:r w:rsidR="00C86EF5" w:rsidRPr="00F64697">
        <w:rPr>
          <w:rFonts w:cs="Times New Roman"/>
          <w:sz w:val="24"/>
          <w:szCs w:val="24"/>
        </w:rPr>
        <w:t xml:space="preserve">. </w:t>
      </w:r>
    </w:p>
    <w:p w14:paraId="75532398" w14:textId="25AB66B5" w:rsidR="00B818BD" w:rsidRPr="00F200CC" w:rsidRDefault="00233642" w:rsidP="007A37E4">
      <w:pPr>
        <w:pStyle w:val="Prrafodelista"/>
        <w:spacing w:before="120" w:after="120" w:line="240" w:lineRule="auto"/>
        <w:jc w:val="both"/>
        <w:rPr>
          <w:rFonts w:cs="Times New Roman"/>
          <w:sz w:val="24"/>
          <w:szCs w:val="24"/>
        </w:rPr>
      </w:pPr>
      <w:r w:rsidRPr="00F64697">
        <w:rPr>
          <w:rFonts w:cs="Times New Roman"/>
          <w:sz w:val="24"/>
          <w:szCs w:val="24"/>
        </w:rPr>
        <w:t>L</w:t>
      </w:r>
      <w:r w:rsidR="00C86EF5" w:rsidRPr="00F64697">
        <w:rPr>
          <w:rFonts w:cs="Times New Roman"/>
          <w:sz w:val="24"/>
          <w:szCs w:val="24"/>
        </w:rPr>
        <w:t>a</w:t>
      </w:r>
      <w:r w:rsidR="00F200CC">
        <w:rPr>
          <w:rFonts w:cs="Times New Roman"/>
          <w:sz w:val="24"/>
          <w:szCs w:val="24"/>
        </w:rPr>
        <w:t xml:space="preserve"> </w:t>
      </w:r>
      <w:r w:rsidR="00E432A2" w:rsidRPr="00F200CC">
        <w:rPr>
          <w:rFonts w:cs="Times New Roman"/>
          <w:sz w:val="24"/>
          <w:szCs w:val="24"/>
        </w:rPr>
        <w:t xml:space="preserve">resolución </w:t>
      </w:r>
      <w:r w:rsidR="00C86EF5" w:rsidRPr="00F200CC">
        <w:rPr>
          <w:rFonts w:cs="Times New Roman"/>
          <w:sz w:val="24"/>
          <w:szCs w:val="24"/>
        </w:rPr>
        <w:t xml:space="preserve">inglesa </w:t>
      </w:r>
      <w:r w:rsidR="000B14F9" w:rsidRPr="00F200CC">
        <w:rPr>
          <w:rFonts w:cs="Times New Roman"/>
          <w:sz w:val="24"/>
          <w:szCs w:val="24"/>
        </w:rPr>
        <w:t xml:space="preserve">aplica </w:t>
      </w:r>
      <w:r w:rsidR="00E432A2" w:rsidRPr="00F200CC">
        <w:rPr>
          <w:rFonts w:cs="Times New Roman"/>
          <w:sz w:val="24"/>
          <w:szCs w:val="24"/>
        </w:rPr>
        <w:t xml:space="preserve">la regla de pago previo a la demanda de ambos países contra el asegurador. A cualquier reclamación por encima de los límites de indemnización previstos en el Convenio de Responsabilidad Civil de 1992 </w:t>
      </w:r>
      <w:r w:rsidR="007A37E4">
        <w:rPr>
          <w:rFonts w:cs="Times New Roman"/>
          <w:sz w:val="24"/>
          <w:szCs w:val="24"/>
        </w:rPr>
        <w:t>(“</w:t>
      </w:r>
      <w:r w:rsidR="007A37E4" w:rsidRPr="007A37E4">
        <w:rPr>
          <w:rFonts w:cs="Times New Roman"/>
          <w:i/>
          <w:iCs/>
          <w:sz w:val="24"/>
          <w:szCs w:val="24"/>
        </w:rPr>
        <w:t>non CLC-claims</w:t>
      </w:r>
      <w:r w:rsidR="007A37E4">
        <w:rPr>
          <w:rFonts w:cs="Times New Roman"/>
          <w:sz w:val="24"/>
          <w:szCs w:val="24"/>
        </w:rPr>
        <w:t xml:space="preserve">”) </w:t>
      </w:r>
      <w:r w:rsidR="00E432A2" w:rsidRPr="00F200CC">
        <w:rPr>
          <w:rFonts w:cs="Times New Roman"/>
          <w:sz w:val="24"/>
          <w:szCs w:val="24"/>
        </w:rPr>
        <w:t xml:space="preserve">es de aplicación la regla del pago previo. </w:t>
      </w:r>
      <w:r w:rsidR="007A37E4">
        <w:rPr>
          <w:rFonts w:cs="Times New Roman"/>
          <w:sz w:val="24"/>
          <w:szCs w:val="24"/>
        </w:rPr>
        <w:t xml:space="preserve">En este caso, la sociedad propietaria del buque y asegurada no ha hecho pago alguno a los perjudicados, por lo que tampoco hay obligación alguna de pago directo a cargo del </w:t>
      </w:r>
      <w:r w:rsidR="00C86EF5" w:rsidRPr="00F200CC">
        <w:rPr>
          <w:rFonts w:cs="Times New Roman"/>
          <w:sz w:val="24"/>
          <w:szCs w:val="24"/>
        </w:rPr>
        <w:t xml:space="preserve">asegurador </w:t>
      </w:r>
      <w:r w:rsidR="007A37E4">
        <w:rPr>
          <w:rFonts w:cs="Times New Roman"/>
          <w:sz w:val="24"/>
          <w:szCs w:val="24"/>
        </w:rPr>
        <w:t>Esto contrasta con la resolución española que obliga al asegurador al pago de 855 millones de euros. E</w:t>
      </w:r>
      <w:r w:rsidRPr="00F200CC">
        <w:rPr>
          <w:rFonts w:cs="Times New Roman"/>
          <w:sz w:val="24"/>
          <w:szCs w:val="24"/>
        </w:rPr>
        <w:t xml:space="preserve">l </w:t>
      </w:r>
      <w:r w:rsidR="007A37E4">
        <w:rPr>
          <w:rFonts w:cs="Times New Roman"/>
          <w:sz w:val="24"/>
          <w:szCs w:val="24"/>
        </w:rPr>
        <w:t>J</w:t>
      </w:r>
      <w:r w:rsidRPr="00F200CC">
        <w:rPr>
          <w:rFonts w:cs="Times New Roman"/>
          <w:sz w:val="24"/>
          <w:szCs w:val="24"/>
        </w:rPr>
        <w:t xml:space="preserve">uez </w:t>
      </w:r>
      <w:r w:rsidR="007A37E4">
        <w:rPr>
          <w:rFonts w:cs="Times New Roman"/>
          <w:sz w:val="24"/>
          <w:szCs w:val="24"/>
        </w:rPr>
        <w:t xml:space="preserve">concluye </w:t>
      </w:r>
      <w:r w:rsidRPr="00F200CC">
        <w:rPr>
          <w:rFonts w:cs="Times New Roman"/>
          <w:sz w:val="24"/>
          <w:szCs w:val="24"/>
        </w:rPr>
        <w:t>que e</w:t>
      </w:r>
      <w:r w:rsidR="00C86EF5" w:rsidRPr="00F200CC">
        <w:rPr>
          <w:rFonts w:cs="Times New Roman"/>
          <w:sz w:val="24"/>
          <w:szCs w:val="24"/>
        </w:rPr>
        <w:t xml:space="preserve">stas dos </w:t>
      </w:r>
      <w:r w:rsidR="000B14F9" w:rsidRPr="00F200CC">
        <w:rPr>
          <w:rFonts w:cs="Times New Roman"/>
          <w:sz w:val="24"/>
          <w:szCs w:val="24"/>
        </w:rPr>
        <w:t>resoluciones</w:t>
      </w:r>
      <w:r w:rsidR="00C86EF5" w:rsidRPr="00F200CC">
        <w:rPr>
          <w:rFonts w:cs="Times New Roman"/>
          <w:sz w:val="24"/>
          <w:szCs w:val="24"/>
        </w:rPr>
        <w:t xml:space="preserve"> no pueden coexistir en el ordenamiento inglés y son inconciliables (apartados 96 y 97).</w:t>
      </w:r>
    </w:p>
    <w:p w14:paraId="26B1AF9B" w14:textId="794E8563" w:rsidR="007865D2" w:rsidRPr="00F64697" w:rsidRDefault="00FB1714" w:rsidP="004A4F30">
      <w:pPr>
        <w:pStyle w:val="Prrafodelista"/>
        <w:numPr>
          <w:ilvl w:val="0"/>
          <w:numId w:val="46"/>
        </w:numPr>
        <w:spacing w:before="120" w:after="120" w:line="240" w:lineRule="auto"/>
        <w:jc w:val="both"/>
        <w:rPr>
          <w:rFonts w:cs="Times New Roman"/>
          <w:sz w:val="24"/>
          <w:szCs w:val="24"/>
        </w:rPr>
      </w:pPr>
      <w:r w:rsidRPr="00F64697">
        <w:rPr>
          <w:rFonts w:cs="Times New Roman"/>
          <w:sz w:val="24"/>
          <w:szCs w:val="24"/>
        </w:rPr>
        <w:t>La ejecución de la resolución española</w:t>
      </w:r>
      <w:r w:rsidR="00233642" w:rsidRPr="00F64697">
        <w:rPr>
          <w:rFonts w:cs="Times New Roman"/>
          <w:sz w:val="24"/>
          <w:szCs w:val="24"/>
        </w:rPr>
        <w:t xml:space="preserve"> </w:t>
      </w:r>
      <w:r w:rsidR="00F05770" w:rsidRPr="00F64697">
        <w:rPr>
          <w:rFonts w:cs="Times New Roman"/>
          <w:sz w:val="24"/>
          <w:szCs w:val="24"/>
        </w:rPr>
        <w:t xml:space="preserve">sería </w:t>
      </w:r>
      <w:r w:rsidR="00C508F6" w:rsidRPr="00F64697">
        <w:rPr>
          <w:rFonts w:cs="Times New Roman"/>
          <w:sz w:val="24"/>
          <w:szCs w:val="24"/>
        </w:rPr>
        <w:t>contraria</w:t>
      </w:r>
      <w:r w:rsidR="00F05770" w:rsidRPr="00F64697">
        <w:rPr>
          <w:rFonts w:cs="Times New Roman"/>
          <w:sz w:val="24"/>
          <w:szCs w:val="24"/>
        </w:rPr>
        <w:t xml:space="preserve"> a los principios del orden público inglés sobre la cosa juzgada </w:t>
      </w:r>
      <w:r w:rsidRPr="00F64697">
        <w:rPr>
          <w:rFonts w:cs="Times New Roman"/>
          <w:sz w:val="24"/>
          <w:szCs w:val="24"/>
        </w:rPr>
        <w:t xml:space="preserve">creada por los </w:t>
      </w:r>
      <w:r w:rsidR="00F05770" w:rsidRPr="00F64697">
        <w:rPr>
          <w:rFonts w:cs="Times New Roman"/>
          <w:sz w:val="24"/>
          <w:szCs w:val="24"/>
        </w:rPr>
        <w:t>laudo</w:t>
      </w:r>
      <w:r w:rsidRPr="00F64697">
        <w:rPr>
          <w:rFonts w:cs="Times New Roman"/>
          <w:sz w:val="24"/>
          <w:szCs w:val="24"/>
        </w:rPr>
        <w:t>s</w:t>
      </w:r>
      <w:r w:rsidR="00F05770" w:rsidRPr="00F64697">
        <w:rPr>
          <w:rFonts w:cs="Times New Roman"/>
          <w:sz w:val="24"/>
          <w:szCs w:val="24"/>
        </w:rPr>
        <w:t xml:space="preserve"> arbitral</w:t>
      </w:r>
      <w:r w:rsidRPr="00F64697">
        <w:rPr>
          <w:rFonts w:cs="Times New Roman"/>
          <w:sz w:val="24"/>
          <w:szCs w:val="24"/>
        </w:rPr>
        <w:t>es</w:t>
      </w:r>
      <w:r w:rsidR="00F05770" w:rsidRPr="00F64697">
        <w:rPr>
          <w:rFonts w:cs="Times New Roman"/>
          <w:sz w:val="24"/>
          <w:szCs w:val="24"/>
        </w:rPr>
        <w:t>.</w:t>
      </w:r>
      <w:r w:rsidRPr="00F64697">
        <w:rPr>
          <w:rFonts w:cs="Times New Roman"/>
          <w:sz w:val="24"/>
          <w:szCs w:val="24"/>
        </w:rPr>
        <w:t xml:space="preserve"> </w:t>
      </w:r>
    </w:p>
    <w:p w14:paraId="4E4E76B7" w14:textId="576D4D5D" w:rsidR="002A5D45" w:rsidRPr="002A5D45" w:rsidRDefault="002A5D45" w:rsidP="00B7696D">
      <w:pPr>
        <w:spacing w:before="120" w:after="120" w:line="240" w:lineRule="auto"/>
        <w:jc w:val="both"/>
        <w:rPr>
          <w:rFonts w:cs="Times New Roman"/>
          <w:sz w:val="24"/>
          <w:szCs w:val="24"/>
        </w:rPr>
      </w:pPr>
      <w:r w:rsidRPr="002A5D45">
        <w:rPr>
          <w:rFonts w:cs="Times New Roman"/>
          <w:sz w:val="24"/>
          <w:szCs w:val="24"/>
        </w:rPr>
        <w:t>Además, l</w:t>
      </w:r>
      <w:r w:rsidR="008417BF" w:rsidRPr="002A5D45">
        <w:rPr>
          <w:rFonts w:cs="Times New Roman"/>
          <w:sz w:val="24"/>
          <w:szCs w:val="24"/>
        </w:rPr>
        <w:t xml:space="preserve">a </w:t>
      </w:r>
      <w:r w:rsidR="00FE1B75">
        <w:rPr>
          <w:rFonts w:cs="Times New Roman"/>
          <w:sz w:val="24"/>
          <w:szCs w:val="24"/>
        </w:rPr>
        <w:t xml:space="preserve">sentencia de la </w:t>
      </w:r>
      <w:r w:rsidR="008417BF" w:rsidRPr="002A5D45">
        <w:rPr>
          <w:rFonts w:cs="Times New Roman"/>
          <w:i/>
          <w:iCs/>
          <w:sz w:val="24"/>
          <w:szCs w:val="24"/>
        </w:rPr>
        <w:t>High Court</w:t>
      </w:r>
      <w:r w:rsidR="008417BF" w:rsidRPr="002A5D45">
        <w:rPr>
          <w:rFonts w:cs="Times New Roman"/>
          <w:sz w:val="24"/>
          <w:szCs w:val="24"/>
        </w:rPr>
        <w:t xml:space="preserve"> </w:t>
      </w:r>
      <w:r w:rsidRPr="002A5D45">
        <w:rPr>
          <w:rFonts w:cs="Times New Roman"/>
          <w:sz w:val="24"/>
          <w:szCs w:val="24"/>
        </w:rPr>
        <w:t>contiene</w:t>
      </w:r>
      <w:r>
        <w:rPr>
          <w:rFonts w:cs="Times New Roman"/>
          <w:sz w:val="24"/>
          <w:szCs w:val="24"/>
        </w:rPr>
        <w:t xml:space="preserve"> </w:t>
      </w:r>
      <w:r w:rsidR="00FE1B75">
        <w:rPr>
          <w:rFonts w:cs="Times New Roman"/>
          <w:sz w:val="24"/>
          <w:szCs w:val="24"/>
        </w:rPr>
        <w:t xml:space="preserve">información y </w:t>
      </w:r>
      <w:r>
        <w:rPr>
          <w:rFonts w:cs="Times New Roman"/>
          <w:sz w:val="24"/>
          <w:szCs w:val="24"/>
        </w:rPr>
        <w:t xml:space="preserve">pronunciamientos sobre otra estrategia de defensa abierta por el club P&amp;I una vez dictado el auto de la Audiencia Provincial de A Coruña de 1 de marzo de 2019. En previsión de que se intentase la ejecución forzosa contra bienes del club en el Reino Unido, España u otro lugar, inició dos procesos arbitrales contra España y Francia en base a la cláusula de arbitraje del seguro P&amp;I y a la pérdida de inmunidad estatal. </w:t>
      </w:r>
      <w:r w:rsidRPr="002A5D45">
        <w:rPr>
          <w:rFonts w:cs="Times New Roman"/>
          <w:sz w:val="24"/>
          <w:szCs w:val="24"/>
        </w:rPr>
        <w:t xml:space="preserve">En resumen, en </w:t>
      </w:r>
      <w:r w:rsidR="00B7696D">
        <w:rPr>
          <w:rFonts w:cs="Times New Roman"/>
          <w:sz w:val="24"/>
          <w:szCs w:val="24"/>
        </w:rPr>
        <w:t>d</w:t>
      </w:r>
      <w:r>
        <w:rPr>
          <w:rFonts w:cs="Times New Roman"/>
          <w:sz w:val="24"/>
          <w:szCs w:val="24"/>
        </w:rPr>
        <w:t>os</w:t>
      </w:r>
      <w:r w:rsidRPr="002A5D45">
        <w:rPr>
          <w:rFonts w:cs="Times New Roman"/>
          <w:sz w:val="24"/>
          <w:szCs w:val="24"/>
        </w:rPr>
        <w:t xml:space="preserve"> arbitraje</w:t>
      </w:r>
      <w:r>
        <w:rPr>
          <w:rFonts w:cs="Times New Roman"/>
          <w:sz w:val="24"/>
          <w:szCs w:val="24"/>
        </w:rPr>
        <w:t>s</w:t>
      </w:r>
      <w:r w:rsidR="00B7696D">
        <w:rPr>
          <w:rFonts w:cs="Times New Roman"/>
          <w:sz w:val="24"/>
          <w:szCs w:val="24"/>
        </w:rPr>
        <w:t xml:space="preserve"> distintos</w:t>
      </w:r>
      <w:r w:rsidRPr="002A5D45">
        <w:rPr>
          <w:rFonts w:cs="Times New Roman"/>
          <w:sz w:val="24"/>
          <w:szCs w:val="24"/>
        </w:rPr>
        <w:t xml:space="preserve">, el </w:t>
      </w:r>
      <w:r>
        <w:rPr>
          <w:rFonts w:cs="Times New Roman"/>
          <w:sz w:val="24"/>
          <w:szCs w:val="24"/>
        </w:rPr>
        <w:t>c</w:t>
      </w:r>
      <w:r w:rsidRPr="002A5D45">
        <w:rPr>
          <w:rFonts w:cs="Times New Roman"/>
          <w:sz w:val="24"/>
          <w:szCs w:val="24"/>
        </w:rPr>
        <w:t xml:space="preserve">lub </w:t>
      </w:r>
      <w:r>
        <w:rPr>
          <w:rFonts w:cs="Times New Roman"/>
          <w:sz w:val="24"/>
          <w:szCs w:val="24"/>
        </w:rPr>
        <w:t xml:space="preserve">P&amp;I </w:t>
      </w:r>
      <w:r w:rsidRPr="002A5D45">
        <w:rPr>
          <w:rFonts w:cs="Times New Roman"/>
          <w:sz w:val="24"/>
          <w:szCs w:val="24"/>
        </w:rPr>
        <w:t>solicit</w:t>
      </w:r>
      <w:r>
        <w:rPr>
          <w:rFonts w:cs="Times New Roman"/>
          <w:sz w:val="24"/>
          <w:szCs w:val="24"/>
        </w:rPr>
        <w:t>a</w:t>
      </w:r>
      <w:r w:rsidRPr="002A5D45">
        <w:rPr>
          <w:rFonts w:cs="Times New Roman"/>
          <w:sz w:val="24"/>
          <w:szCs w:val="24"/>
        </w:rPr>
        <w:t xml:space="preserve"> declaraciones de que el Estado </w:t>
      </w:r>
      <w:r>
        <w:rPr>
          <w:rFonts w:cs="Times New Roman"/>
          <w:sz w:val="24"/>
          <w:szCs w:val="24"/>
        </w:rPr>
        <w:t xml:space="preserve">español y </w:t>
      </w:r>
      <w:r w:rsidRPr="002A5D45">
        <w:rPr>
          <w:rFonts w:cs="Times New Roman"/>
          <w:sz w:val="24"/>
          <w:szCs w:val="24"/>
        </w:rPr>
        <w:t>francés ha</w:t>
      </w:r>
      <w:r>
        <w:rPr>
          <w:rFonts w:cs="Times New Roman"/>
          <w:sz w:val="24"/>
          <w:szCs w:val="24"/>
        </w:rPr>
        <w:t>n</w:t>
      </w:r>
      <w:r w:rsidRPr="002A5D45">
        <w:rPr>
          <w:rFonts w:cs="Times New Roman"/>
          <w:sz w:val="24"/>
          <w:szCs w:val="24"/>
        </w:rPr>
        <w:t xml:space="preserve"> incumplido sus obligaciones de no </w:t>
      </w:r>
      <w:r>
        <w:rPr>
          <w:rFonts w:cs="Times New Roman"/>
          <w:sz w:val="24"/>
          <w:szCs w:val="24"/>
        </w:rPr>
        <w:t xml:space="preserve">formular </w:t>
      </w:r>
      <w:r w:rsidRPr="002A5D45">
        <w:rPr>
          <w:rFonts w:cs="Times New Roman"/>
          <w:sz w:val="24"/>
          <w:szCs w:val="24"/>
        </w:rPr>
        <w:t xml:space="preserve">las reclamaciones </w:t>
      </w:r>
      <w:r>
        <w:rPr>
          <w:rFonts w:cs="Times New Roman"/>
          <w:sz w:val="24"/>
          <w:szCs w:val="24"/>
        </w:rPr>
        <w:t xml:space="preserve">distintas de los límites del </w:t>
      </w:r>
      <w:r w:rsidRPr="002A5D45">
        <w:rPr>
          <w:rFonts w:cs="Times New Roman"/>
          <w:sz w:val="24"/>
          <w:szCs w:val="24"/>
        </w:rPr>
        <w:t>C</w:t>
      </w:r>
      <w:r>
        <w:rPr>
          <w:rFonts w:cs="Times New Roman"/>
          <w:sz w:val="24"/>
          <w:szCs w:val="24"/>
        </w:rPr>
        <w:t xml:space="preserve">onvenio de Responsabilidad Civil de 1992, </w:t>
      </w:r>
      <w:r w:rsidRPr="002A5D45">
        <w:rPr>
          <w:rFonts w:cs="Times New Roman"/>
          <w:sz w:val="24"/>
          <w:szCs w:val="24"/>
        </w:rPr>
        <w:t>más que a través del arbitraje de Londres</w:t>
      </w:r>
      <w:r>
        <w:rPr>
          <w:rFonts w:cs="Times New Roman"/>
          <w:sz w:val="24"/>
          <w:szCs w:val="24"/>
        </w:rPr>
        <w:t>. El asegurador también pide</w:t>
      </w:r>
      <w:r w:rsidRPr="002A5D45">
        <w:rPr>
          <w:rFonts w:cs="Times New Roman"/>
          <w:sz w:val="24"/>
          <w:szCs w:val="24"/>
        </w:rPr>
        <w:t xml:space="preserve"> medidas cautelares y una orden de que el Estado </w:t>
      </w:r>
      <w:r>
        <w:rPr>
          <w:rFonts w:cs="Times New Roman"/>
          <w:sz w:val="24"/>
          <w:szCs w:val="24"/>
        </w:rPr>
        <w:t>español y francés pagarán al club P&amp;I</w:t>
      </w:r>
      <w:r w:rsidRPr="002A5D45">
        <w:rPr>
          <w:rFonts w:cs="Times New Roman"/>
          <w:sz w:val="24"/>
          <w:szCs w:val="24"/>
        </w:rPr>
        <w:t xml:space="preserve"> las sumas que se le ordene pagar al Estado </w:t>
      </w:r>
      <w:r>
        <w:rPr>
          <w:rFonts w:cs="Times New Roman"/>
          <w:sz w:val="24"/>
          <w:szCs w:val="24"/>
        </w:rPr>
        <w:t xml:space="preserve">español </w:t>
      </w:r>
      <w:r w:rsidRPr="002A5D45">
        <w:rPr>
          <w:rFonts w:cs="Times New Roman"/>
          <w:sz w:val="24"/>
          <w:szCs w:val="24"/>
        </w:rPr>
        <w:t xml:space="preserve">francés en cualquier jurisdicción en la que se reconozca o ejecute </w:t>
      </w:r>
      <w:r>
        <w:rPr>
          <w:rFonts w:cs="Times New Roman"/>
          <w:sz w:val="24"/>
          <w:szCs w:val="24"/>
        </w:rPr>
        <w:t>el auto de la Audiencia Provincia de A Coruña de 1 de marzo de 2019</w:t>
      </w:r>
      <w:r w:rsidRPr="002A5D45">
        <w:rPr>
          <w:rFonts w:cs="Times New Roman"/>
          <w:sz w:val="24"/>
          <w:szCs w:val="24"/>
        </w:rPr>
        <w:t xml:space="preserve">, así como la compensación por sus </w:t>
      </w:r>
      <w:r>
        <w:rPr>
          <w:rFonts w:cs="Times New Roman"/>
          <w:sz w:val="24"/>
          <w:szCs w:val="24"/>
        </w:rPr>
        <w:t>gastos</w:t>
      </w:r>
      <w:r w:rsidRPr="002A5D45">
        <w:rPr>
          <w:rFonts w:cs="Times New Roman"/>
          <w:sz w:val="24"/>
          <w:szCs w:val="24"/>
        </w:rPr>
        <w:t xml:space="preserve"> de defensa de las reclamaciones no relacionadas con </w:t>
      </w:r>
      <w:r>
        <w:rPr>
          <w:rFonts w:cs="Times New Roman"/>
          <w:sz w:val="24"/>
          <w:szCs w:val="24"/>
        </w:rPr>
        <w:t>el Convenio de Responsabilidad Civil de 1992</w:t>
      </w:r>
      <w:r w:rsidRPr="002A5D45">
        <w:rPr>
          <w:rFonts w:cs="Times New Roman"/>
          <w:sz w:val="24"/>
          <w:szCs w:val="24"/>
        </w:rPr>
        <w:t xml:space="preserve"> en España.</w:t>
      </w:r>
      <w:r w:rsidR="00FE1B75">
        <w:rPr>
          <w:rFonts w:cs="Times New Roman"/>
          <w:sz w:val="24"/>
          <w:szCs w:val="24"/>
        </w:rPr>
        <w:t xml:space="preserve"> Hasta ahora, sólo el Estado español ha intentado la ejecución forzosa del auto de </w:t>
      </w:r>
      <w:r w:rsidR="00FE1B75">
        <w:rPr>
          <w:rFonts w:cs="Times New Roman"/>
          <w:sz w:val="24"/>
          <w:szCs w:val="24"/>
        </w:rPr>
        <w:lastRenderedPageBreak/>
        <w:t>la Audiencia Provincial de A Coruña de 1 de marzo de 2019 en el Reino Unido, n</w:t>
      </w:r>
      <w:r w:rsidR="00FE1B75" w:rsidRPr="00FE1B75">
        <w:rPr>
          <w:rFonts w:cs="Times New Roman"/>
          <w:sz w:val="24"/>
          <w:szCs w:val="24"/>
        </w:rPr>
        <w:t>o así el Estado francés</w:t>
      </w:r>
      <w:r w:rsidR="00FE1B75">
        <w:rPr>
          <w:rStyle w:val="Refdenotaalpie"/>
          <w:rFonts w:cs="Times New Roman"/>
          <w:sz w:val="24"/>
          <w:szCs w:val="24"/>
        </w:rPr>
        <w:footnoteReference w:id="33"/>
      </w:r>
      <w:r w:rsidR="00FE1B75">
        <w:rPr>
          <w:rFonts w:cs="Times New Roman"/>
          <w:sz w:val="24"/>
          <w:szCs w:val="24"/>
        </w:rPr>
        <w:t>.</w:t>
      </w:r>
    </w:p>
    <w:p w14:paraId="5B9EBC94" w14:textId="77777777" w:rsidR="00712129" w:rsidRDefault="00712129" w:rsidP="00B7696D">
      <w:pPr>
        <w:spacing w:before="120" w:after="120" w:line="240" w:lineRule="auto"/>
        <w:jc w:val="both"/>
        <w:rPr>
          <w:rFonts w:cs="Times New Roman"/>
          <w:sz w:val="24"/>
          <w:szCs w:val="24"/>
        </w:rPr>
      </w:pPr>
      <w:r>
        <w:rPr>
          <w:rFonts w:cs="Times New Roman"/>
          <w:sz w:val="24"/>
          <w:szCs w:val="24"/>
        </w:rPr>
        <w:t xml:space="preserve">Los árbitros han reconocido el derecho del club P&amp;I a una compensación económica a cargo de España por intentar ejecutar la resolución española en el Reino Unido en violación del convenio arbitral del seguro P&amp;I. También a recuperar del Estado español o francés cualquier cantidad que obtengan de la ejecución de la resolución española en cualquier lugar, así como el reembolso de los gastos y costas del proceso seguido en España. La </w:t>
      </w:r>
      <w:r w:rsidRPr="00712129">
        <w:rPr>
          <w:rFonts w:cs="Times New Roman"/>
          <w:i/>
          <w:iCs/>
          <w:sz w:val="24"/>
          <w:szCs w:val="24"/>
        </w:rPr>
        <w:t>High Court</w:t>
      </w:r>
      <w:r>
        <w:rPr>
          <w:rFonts w:cs="Times New Roman"/>
          <w:sz w:val="24"/>
          <w:szCs w:val="24"/>
        </w:rPr>
        <w:t xml:space="preserve"> ha concedido el derecho de los Estados a apelar estas decisiones </w:t>
      </w:r>
      <w:r w:rsidRPr="00712129">
        <w:rPr>
          <w:rFonts w:cs="Times New Roman"/>
          <w:sz w:val="24"/>
          <w:szCs w:val="24"/>
        </w:rPr>
        <w:t>arbitrales</w:t>
      </w:r>
      <w:r>
        <w:rPr>
          <w:rFonts w:cs="Times New Roman"/>
          <w:i/>
          <w:iCs/>
          <w:sz w:val="24"/>
          <w:szCs w:val="24"/>
        </w:rPr>
        <w:t>,</w:t>
      </w:r>
      <w:r w:rsidRPr="00712129">
        <w:rPr>
          <w:rFonts w:cs="Times New Roman"/>
          <w:sz w:val="24"/>
          <w:szCs w:val="24"/>
        </w:rPr>
        <w:t xml:space="preserve"> con arreglo al art. 69 de la Ley de arbitraje inglés. Por tanto, la responsabilidad civil de los Estados español y francés está</w:t>
      </w:r>
      <w:r>
        <w:rPr>
          <w:rFonts w:cs="Times New Roman"/>
          <w:i/>
          <w:iCs/>
          <w:sz w:val="24"/>
          <w:szCs w:val="24"/>
        </w:rPr>
        <w:t xml:space="preserve"> sub iudice</w:t>
      </w:r>
      <w:r>
        <w:rPr>
          <w:rFonts w:cs="Times New Roman"/>
          <w:sz w:val="24"/>
          <w:szCs w:val="24"/>
        </w:rPr>
        <w:t>. E</w:t>
      </w:r>
    </w:p>
    <w:p w14:paraId="6E98CBFA" w14:textId="73B563B6" w:rsidR="005A5072" w:rsidRPr="002A5D45" w:rsidRDefault="00712129" w:rsidP="00B7696D">
      <w:pPr>
        <w:spacing w:before="120" w:after="120" w:line="240" w:lineRule="auto"/>
        <w:jc w:val="both"/>
        <w:rPr>
          <w:rFonts w:cs="Times New Roman"/>
          <w:sz w:val="24"/>
          <w:szCs w:val="24"/>
        </w:rPr>
      </w:pPr>
      <w:r>
        <w:rPr>
          <w:rFonts w:cs="Times New Roman"/>
          <w:sz w:val="24"/>
          <w:szCs w:val="24"/>
        </w:rPr>
        <w:t xml:space="preserve">En cambio, la </w:t>
      </w:r>
      <w:r w:rsidRPr="00712129">
        <w:rPr>
          <w:rFonts w:cs="Times New Roman"/>
          <w:i/>
          <w:iCs/>
          <w:sz w:val="24"/>
          <w:szCs w:val="24"/>
        </w:rPr>
        <w:t>High Court</w:t>
      </w:r>
      <w:r>
        <w:rPr>
          <w:rFonts w:cs="Times New Roman"/>
          <w:sz w:val="24"/>
          <w:szCs w:val="24"/>
        </w:rPr>
        <w:t xml:space="preserve"> rechaza ya</w:t>
      </w:r>
      <w:r w:rsidR="00025DAD" w:rsidRPr="00025DAD">
        <w:rPr>
          <w:rFonts w:cs="Times New Roman"/>
          <w:sz w:val="24"/>
          <w:szCs w:val="24"/>
        </w:rPr>
        <w:t xml:space="preserve"> que </w:t>
      </w:r>
      <w:r>
        <w:rPr>
          <w:rFonts w:cs="Times New Roman"/>
          <w:sz w:val="24"/>
          <w:szCs w:val="24"/>
        </w:rPr>
        <w:t>los árbitros tengan</w:t>
      </w:r>
      <w:r w:rsidR="00025DAD" w:rsidRPr="00025DAD">
        <w:rPr>
          <w:rFonts w:cs="Times New Roman"/>
          <w:sz w:val="24"/>
          <w:szCs w:val="24"/>
        </w:rPr>
        <w:t xml:space="preserve"> competencia para dictar una orden </w:t>
      </w:r>
      <w:r w:rsidR="00025DAD">
        <w:rPr>
          <w:rFonts w:cs="Times New Roman"/>
          <w:sz w:val="24"/>
          <w:szCs w:val="24"/>
        </w:rPr>
        <w:t>antiproceso (</w:t>
      </w:r>
      <w:r w:rsidR="00025DAD" w:rsidRPr="00F3324E">
        <w:rPr>
          <w:rFonts w:cs="Times New Roman"/>
          <w:i/>
          <w:iCs/>
          <w:sz w:val="24"/>
          <w:szCs w:val="24"/>
        </w:rPr>
        <w:t>antisuit injunction</w:t>
      </w:r>
      <w:r w:rsidR="00025DAD">
        <w:rPr>
          <w:rFonts w:cs="Times New Roman"/>
          <w:sz w:val="24"/>
          <w:szCs w:val="24"/>
        </w:rPr>
        <w:t>)</w:t>
      </w:r>
      <w:r w:rsidR="00025DAD" w:rsidRPr="00025DAD">
        <w:rPr>
          <w:rFonts w:cs="Times New Roman"/>
          <w:sz w:val="24"/>
          <w:szCs w:val="24"/>
        </w:rPr>
        <w:t xml:space="preserve"> contra </w:t>
      </w:r>
      <w:r w:rsidR="00025DAD">
        <w:rPr>
          <w:rFonts w:cs="Times New Roman"/>
          <w:sz w:val="24"/>
          <w:szCs w:val="24"/>
        </w:rPr>
        <w:t>los Estados español y francés</w:t>
      </w:r>
      <w:r w:rsidR="00025DAD" w:rsidRPr="00025DAD">
        <w:rPr>
          <w:rFonts w:cs="Times New Roman"/>
          <w:sz w:val="24"/>
          <w:szCs w:val="24"/>
        </w:rPr>
        <w:t xml:space="preserve">, pero en el ejercicio de su discreción no lo había hecho, pero había decidido que era apropiado que se otorgara una indemnización por daños y perjuicios en su lugar. </w:t>
      </w:r>
      <w:r w:rsidR="00025DAD">
        <w:rPr>
          <w:rFonts w:cs="Times New Roman"/>
          <w:sz w:val="24"/>
          <w:szCs w:val="24"/>
        </w:rPr>
        <w:t xml:space="preserve">La </w:t>
      </w:r>
      <w:r w:rsidR="00025DAD" w:rsidRPr="00025DAD">
        <w:rPr>
          <w:rFonts w:cs="Times New Roman"/>
          <w:i/>
          <w:iCs/>
          <w:sz w:val="24"/>
          <w:szCs w:val="24"/>
        </w:rPr>
        <w:t>High Court</w:t>
      </w:r>
      <w:r w:rsidR="00025DAD">
        <w:rPr>
          <w:rFonts w:cs="Times New Roman"/>
          <w:sz w:val="24"/>
          <w:szCs w:val="24"/>
        </w:rPr>
        <w:t xml:space="preserve"> </w:t>
      </w:r>
      <w:r w:rsidR="00025DAD" w:rsidRPr="00025DAD">
        <w:rPr>
          <w:rFonts w:cs="Times New Roman"/>
          <w:sz w:val="24"/>
          <w:szCs w:val="24"/>
        </w:rPr>
        <w:t>consider</w:t>
      </w:r>
      <w:r w:rsidR="00025DAD">
        <w:rPr>
          <w:rFonts w:cs="Times New Roman"/>
          <w:sz w:val="24"/>
          <w:szCs w:val="24"/>
        </w:rPr>
        <w:t xml:space="preserve">a </w:t>
      </w:r>
      <w:r w:rsidR="00025DAD" w:rsidRPr="00025DAD">
        <w:rPr>
          <w:rFonts w:cs="Times New Roman"/>
          <w:sz w:val="24"/>
          <w:szCs w:val="24"/>
        </w:rPr>
        <w:t>que el árbitro no había tenido poder para dictar una medida cautelar contra España, porque el tribunal no podía haberlo hecho en virtud del art. 13(2) Ley de inmunidad estatal, y s. 48(5) de la Ley de Arbitraje no confería un poder más amplio al árbitro</w:t>
      </w:r>
      <w:r w:rsidR="00025DAD">
        <w:rPr>
          <w:rFonts w:cs="Times New Roman"/>
          <w:sz w:val="24"/>
          <w:szCs w:val="24"/>
        </w:rPr>
        <w:t>. Por</w:t>
      </w:r>
      <w:r w:rsidR="00025DAD" w:rsidRPr="00025DAD">
        <w:rPr>
          <w:rFonts w:cs="Times New Roman"/>
          <w:sz w:val="24"/>
          <w:szCs w:val="24"/>
        </w:rPr>
        <w:t xml:space="preserve"> lo tanto, no se p</w:t>
      </w:r>
      <w:r w:rsidR="00025DAD">
        <w:rPr>
          <w:rFonts w:cs="Times New Roman"/>
          <w:sz w:val="24"/>
          <w:szCs w:val="24"/>
        </w:rPr>
        <w:t>uede</w:t>
      </w:r>
      <w:r w:rsidR="00025DAD" w:rsidRPr="00025DAD">
        <w:rPr>
          <w:rFonts w:cs="Times New Roman"/>
          <w:sz w:val="24"/>
          <w:szCs w:val="24"/>
        </w:rPr>
        <w:t xml:space="preserve"> conceder una indemnización en su lugar.</w:t>
      </w:r>
      <w:r w:rsidR="004E2AD9" w:rsidRPr="002A5D45">
        <w:rPr>
          <w:rFonts w:cs="Times New Roman"/>
          <w:sz w:val="24"/>
          <w:szCs w:val="24"/>
        </w:rPr>
        <w:t xml:space="preserve"> </w:t>
      </w:r>
    </w:p>
    <w:p w14:paraId="116B415D" w14:textId="77777777" w:rsidR="004A4F30" w:rsidRPr="00F64697" w:rsidRDefault="004A4F30" w:rsidP="00B7696D">
      <w:pPr>
        <w:pStyle w:val="Textonotapie"/>
        <w:spacing w:before="120" w:after="120"/>
        <w:ind w:left="1080"/>
        <w:jc w:val="both"/>
        <w:rPr>
          <w:rFonts w:cs="Times New Roman"/>
          <w:b/>
          <w:bCs/>
          <w:sz w:val="24"/>
          <w:szCs w:val="24"/>
          <w:lang w:val="es-ES"/>
        </w:rPr>
      </w:pPr>
      <w:bookmarkStart w:id="7" w:name="_Hlk138347248"/>
    </w:p>
    <w:p w14:paraId="0A1B899D" w14:textId="450CA6E4" w:rsidR="00073ECE" w:rsidRPr="00F64697" w:rsidRDefault="00740103" w:rsidP="00676294">
      <w:pPr>
        <w:pStyle w:val="Textonotapie"/>
        <w:numPr>
          <w:ilvl w:val="0"/>
          <w:numId w:val="33"/>
        </w:numPr>
        <w:spacing w:before="120" w:after="120"/>
        <w:jc w:val="both"/>
        <w:rPr>
          <w:rFonts w:cs="Times New Roman"/>
          <w:b/>
          <w:bCs/>
          <w:sz w:val="24"/>
          <w:szCs w:val="24"/>
          <w:lang w:val="es-ES"/>
        </w:rPr>
      </w:pPr>
      <w:r w:rsidRPr="00F64697">
        <w:rPr>
          <w:rFonts w:cs="Times New Roman"/>
          <w:b/>
          <w:bCs/>
          <w:sz w:val="24"/>
          <w:szCs w:val="24"/>
        </w:rPr>
        <w:t>ANÁLISIS CRÍTICO</w:t>
      </w:r>
    </w:p>
    <w:p w14:paraId="5B116CD2" w14:textId="77777777" w:rsidR="00EA779B" w:rsidRPr="00F64697" w:rsidRDefault="00EA779B" w:rsidP="00EA779B">
      <w:pPr>
        <w:pStyle w:val="Textonotapie"/>
        <w:spacing w:before="120" w:after="120"/>
        <w:jc w:val="both"/>
        <w:rPr>
          <w:rFonts w:cs="Times New Roman"/>
          <w:b/>
          <w:bCs/>
          <w:sz w:val="24"/>
          <w:szCs w:val="24"/>
          <w:lang w:val="es-ES"/>
        </w:rPr>
      </w:pPr>
    </w:p>
    <w:p w14:paraId="5ACFC6F1" w14:textId="2F8597F4" w:rsidR="00740103" w:rsidRPr="00F64697" w:rsidRDefault="00EA779B" w:rsidP="00EA779B">
      <w:pPr>
        <w:pStyle w:val="Textonotapie"/>
        <w:numPr>
          <w:ilvl w:val="0"/>
          <w:numId w:val="47"/>
        </w:numPr>
        <w:spacing w:before="120" w:after="120"/>
        <w:jc w:val="both"/>
        <w:rPr>
          <w:rFonts w:cs="Times New Roman"/>
          <w:b/>
          <w:bCs/>
          <w:sz w:val="24"/>
          <w:szCs w:val="24"/>
          <w:lang w:val="es-ES"/>
        </w:rPr>
      </w:pPr>
      <w:r w:rsidRPr="00F64697">
        <w:rPr>
          <w:rFonts w:cs="Times New Roman"/>
          <w:b/>
          <w:bCs/>
          <w:sz w:val="24"/>
          <w:szCs w:val="24"/>
          <w:lang w:val="es-ES"/>
        </w:rPr>
        <w:t>Ins</w:t>
      </w:r>
      <w:r w:rsidR="00740103" w:rsidRPr="00F64697">
        <w:rPr>
          <w:rFonts w:cs="Times New Roman"/>
          <w:b/>
          <w:bCs/>
          <w:sz w:val="24"/>
          <w:szCs w:val="24"/>
          <w:lang w:val="es-ES"/>
        </w:rPr>
        <w:t>uficiencia de los límites internacionales de indemnización</w:t>
      </w:r>
      <w:r w:rsidR="007805A4" w:rsidRPr="00F64697">
        <w:rPr>
          <w:rFonts w:cs="Times New Roman"/>
          <w:b/>
          <w:bCs/>
          <w:sz w:val="24"/>
          <w:szCs w:val="24"/>
          <w:lang w:val="es-ES"/>
        </w:rPr>
        <w:t xml:space="preserve"> por contaminación de hidrocarburos</w:t>
      </w:r>
    </w:p>
    <w:p w14:paraId="0650C9AD" w14:textId="5E2ACA02" w:rsidR="00C935EF" w:rsidRPr="00F64697" w:rsidRDefault="0018085E" w:rsidP="00C935EF">
      <w:pPr>
        <w:pStyle w:val="Textonotapie"/>
        <w:spacing w:before="120" w:after="120"/>
        <w:jc w:val="both"/>
        <w:rPr>
          <w:rFonts w:cs="Times New Roman"/>
          <w:sz w:val="24"/>
          <w:szCs w:val="24"/>
          <w:lang w:val="es-ES"/>
        </w:rPr>
      </w:pPr>
      <w:r>
        <w:rPr>
          <w:rFonts w:cs="Times New Roman"/>
          <w:sz w:val="24"/>
          <w:szCs w:val="24"/>
          <w:lang w:val="es-ES"/>
        </w:rPr>
        <w:t>E</w:t>
      </w:r>
      <w:r w:rsidR="00C935EF" w:rsidRPr="00F64697">
        <w:rPr>
          <w:rFonts w:cs="Times New Roman"/>
          <w:sz w:val="24"/>
          <w:szCs w:val="24"/>
          <w:lang w:val="es-ES"/>
        </w:rPr>
        <w:t xml:space="preserve">l Convenio de Responsabilidad Civil de 1992 debería actualizar sus límites de indemnización a cargo del propietario del buque y del asegurador obligatorio de responsabilidad civil por contaminación marítima de hidrocarburos. </w:t>
      </w:r>
      <w:r w:rsidR="00C935EF">
        <w:rPr>
          <w:rFonts w:cs="Times New Roman"/>
          <w:sz w:val="24"/>
          <w:szCs w:val="24"/>
          <w:lang w:val="es-ES"/>
        </w:rPr>
        <w:t>Son insuficie</w:t>
      </w:r>
      <w:r w:rsidR="008B7106">
        <w:rPr>
          <w:rFonts w:cs="Times New Roman"/>
          <w:sz w:val="24"/>
          <w:szCs w:val="24"/>
          <w:lang w:val="es-ES"/>
        </w:rPr>
        <w:t>n</w:t>
      </w:r>
      <w:r w:rsidR="00C935EF">
        <w:rPr>
          <w:rFonts w:cs="Times New Roman"/>
          <w:sz w:val="24"/>
          <w:szCs w:val="24"/>
          <w:lang w:val="es-ES"/>
        </w:rPr>
        <w:t>tes para hacer</w:t>
      </w:r>
      <w:r w:rsidR="00C935EF" w:rsidRPr="00F64697">
        <w:rPr>
          <w:rFonts w:cs="Times New Roman"/>
          <w:sz w:val="24"/>
          <w:szCs w:val="24"/>
          <w:lang w:val="es-ES"/>
        </w:rPr>
        <w:t xml:space="preserve"> realidad</w:t>
      </w:r>
      <w:r w:rsidR="00C935EF">
        <w:rPr>
          <w:rFonts w:cs="Times New Roman"/>
          <w:sz w:val="24"/>
          <w:szCs w:val="24"/>
          <w:lang w:val="es-ES"/>
        </w:rPr>
        <w:t>, siquiera en una parte relevante,</w:t>
      </w:r>
      <w:r w:rsidR="00C935EF" w:rsidRPr="00F64697">
        <w:rPr>
          <w:rFonts w:cs="Times New Roman"/>
          <w:sz w:val="24"/>
          <w:szCs w:val="24"/>
          <w:lang w:val="es-ES"/>
        </w:rPr>
        <w:t xml:space="preserve"> la exigencia del art. 235.3 Convenio de las Naciones Unidas sobre el Derecho del Mar: “</w:t>
      </w:r>
      <w:r w:rsidR="00C935EF" w:rsidRPr="00F64697">
        <w:rPr>
          <w:rFonts w:cs="Times New Roman"/>
          <w:i/>
          <w:iCs/>
          <w:sz w:val="24"/>
          <w:szCs w:val="24"/>
          <w:lang w:val="es-ES"/>
        </w:rPr>
        <w:t>asegurar una pronta y adecuada indemnización de todos los daños resultantes de la contaminación del medio marino, para el pago de una indemnización adecuada, tales como seguros obligatorios o fondos de indemnización</w:t>
      </w:r>
      <w:r w:rsidR="00C935EF" w:rsidRPr="00F64697">
        <w:rPr>
          <w:rFonts w:cs="Times New Roman"/>
          <w:sz w:val="24"/>
          <w:szCs w:val="24"/>
          <w:lang w:val="es-ES"/>
        </w:rPr>
        <w:t xml:space="preserve">”. </w:t>
      </w:r>
    </w:p>
    <w:p w14:paraId="57F13A44" w14:textId="289198D5" w:rsidR="00CF0C05" w:rsidRPr="00F64697" w:rsidRDefault="009D6F37" w:rsidP="008B7106">
      <w:pPr>
        <w:pStyle w:val="Textonotapie"/>
        <w:spacing w:before="120" w:after="120"/>
        <w:jc w:val="both"/>
        <w:rPr>
          <w:rFonts w:cs="Times New Roman"/>
          <w:sz w:val="24"/>
          <w:szCs w:val="24"/>
          <w:lang w:val="es-ES"/>
        </w:rPr>
      </w:pPr>
      <w:r w:rsidRPr="00F64697">
        <w:rPr>
          <w:rFonts w:cs="Times New Roman"/>
          <w:sz w:val="24"/>
          <w:szCs w:val="24"/>
          <w:lang w:val="es-ES"/>
        </w:rPr>
        <w:t>E</w:t>
      </w:r>
      <w:r w:rsidR="003A7647" w:rsidRPr="00F64697">
        <w:rPr>
          <w:rFonts w:cs="Times New Roman"/>
          <w:sz w:val="24"/>
          <w:szCs w:val="24"/>
          <w:lang w:val="es-ES"/>
        </w:rPr>
        <w:t>l desastre medioambiental causado por la masiva contaminación por hidrocarburos</w:t>
      </w:r>
      <w:r w:rsidR="006B4061" w:rsidRPr="00F64697">
        <w:rPr>
          <w:rFonts w:cs="Times New Roman"/>
          <w:sz w:val="24"/>
          <w:szCs w:val="24"/>
          <w:lang w:val="es-ES"/>
        </w:rPr>
        <w:t xml:space="preserve"> se ha cuantificado judicialmente </w:t>
      </w:r>
      <w:r w:rsidR="0018085E">
        <w:rPr>
          <w:rFonts w:cs="Times New Roman"/>
          <w:sz w:val="24"/>
          <w:szCs w:val="24"/>
          <w:lang w:val="es-ES"/>
        </w:rPr>
        <w:t xml:space="preserve">los pagos pendientes </w:t>
      </w:r>
      <w:r w:rsidR="006B4061" w:rsidRPr="00F64697">
        <w:rPr>
          <w:rFonts w:cs="Times New Roman"/>
          <w:sz w:val="24"/>
          <w:szCs w:val="24"/>
          <w:lang w:val="es-ES"/>
        </w:rPr>
        <w:t xml:space="preserve">en </w:t>
      </w:r>
      <w:r w:rsidR="00691BC7" w:rsidRPr="00F64697">
        <w:rPr>
          <w:rFonts w:cs="Times New Roman"/>
          <w:sz w:val="24"/>
          <w:szCs w:val="24"/>
          <w:lang w:val="es-ES"/>
        </w:rPr>
        <w:t>unos 2.500</w:t>
      </w:r>
      <w:r w:rsidR="006B4061" w:rsidRPr="00F64697">
        <w:rPr>
          <w:rFonts w:cs="Times New Roman"/>
          <w:sz w:val="24"/>
          <w:szCs w:val="24"/>
          <w:lang w:val="es-ES"/>
        </w:rPr>
        <w:t xml:space="preserve"> millones de </w:t>
      </w:r>
      <w:r w:rsidR="00691BC7" w:rsidRPr="00F64697">
        <w:rPr>
          <w:rFonts w:cs="Times New Roman"/>
          <w:sz w:val="24"/>
          <w:szCs w:val="24"/>
          <w:lang w:val="es-ES"/>
        </w:rPr>
        <w:t>euros</w:t>
      </w:r>
      <w:r w:rsidR="006B4061" w:rsidRPr="00F64697">
        <w:rPr>
          <w:rFonts w:cs="Times New Roman"/>
          <w:sz w:val="24"/>
          <w:szCs w:val="24"/>
          <w:lang w:val="es-ES"/>
        </w:rPr>
        <w:t xml:space="preserve">. </w:t>
      </w:r>
      <w:r w:rsidR="008B7106" w:rsidRPr="00F64697">
        <w:rPr>
          <w:rFonts w:cs="Times New Roman"/>
          <w:sz w:val="24"/>
          <w:szCs w:val="24"/>
          <w:lang w:val="es-ES"/>
        </w:rPr>
        <w:t>La mayor parte de los perjudicados</w:t>
      </w:r>
      <w:r w:rsidR="008B7106">
        <w:rPr>
          <w:rFonts w:cs="Times New Roman"/>
          <w:sz w:val="24"/>
          <w:szCs w:val="24"/>
          <w:lang w:val="es-ES"/>
        </w:rPr>
        <w:t xml:space="preserve"> </w:t>
      </w:r>
      <w:r w:rsidR="008B7106" w:rsidRPr="00F64697">
        <w:rPr>
          <w:rFonts w:cs="Times New Roman"/>
          <w:sz w:val="24"/>
          <w:szCs w:val="24"/>
          <w:lang w:val="es-ES"/>
        </w:rPr>
        <w:t xml:space="preserve">han visto total o parcialmente insatisfecha la reparación de los daños y recuperación de los gastos y pérdidas económicas. </w:t>
      </w:r>
      <w:r w:rsidR="008B7106">
        <w:rPr>
          <w:rFonts w:cs="Times New Roman"/>
          <w:sz w:val="24"/>
          <w:szCs w:val="24"/>
          <w:lang w:val="es-ES"/>
        </w:rPr>
        <w:t>E</w:t>
      </w:r>
      <w:r w:rsidR="008B7106" w:rsidRPr="00F64697">
        <w:rPr>
          <w:rFonts w:cs="Times New Roman"/>
          <w:sz w:val="24"/>
          <w:szCs w:val="24"/>
          <w:lang w:val="es-ES"/>
        </w:rPr>
        <w:t xml:space="preserve">l club P&amp;I, como asegurador de responsabilidad civil del buque, ha cumplido con prontitud la obligación de pago de los límites de indemnización del Convenio de Responsabilidad Civil de 1992: 22,7 millones de euros, resultantes del cálculo del arqueo del buque siniestrado. También el FIDAC ha cumplido las obligaciones resultantes del Convenio del Fondo de 1992 y ha abonado los 147,9 millones de euros, correspondientes a la limitación de la indemnización de dicho Convenio. La suma de ambas indemnizaciones es de unos 170 millones de euros, que representan apenas un 6,8% de los 2.500 millones de euros de daños y perjuicios </w:t>
      </w:r>
      <w:r w:rsidR="0018085E">
        <w:rPr>
          <w:rFonts w:cs="Times New Roman"/>
          <w:sz w:val="24"/>
          <w:szCs w:val="24"/>
          <w:lang w:val="es-ES"/>
        </w:rPr>
        <w:t xml:space="preserve">reclamados </w:t>
      </w:r>
      <w:r w:rsidR="008B7106" w:rsidRPr="00F64697">
        <w:rPr>
          <w:rFonts w:cs="Times New Roman"/>
          <w:sz w:val="24"/>
          <w:szCs w:val="24"/>
          <w:lang w:val="es-ES"/>
        </w:rPr>
        <w:t xml:space="preserve">judicialmente. En definitiva, </w:t>
      </w:r>
      <w:r w:rsidR="008B7106">
        <w:rPr>
          <w:rFonts w:cs="Times New Roman"/>
          <w:sz w:val="24"/>
          <w:szCs w:val="24"/>
          <w:lang w:val="es-ES"/>
        </w:rPr>
        <w:t xml:space="preserve">los límites de indemnización </w:t>
      </w:r>
      <w:r w:rsidR="006B4061" w:rsidRPr="00F64697">
        <w:rPr>
          <w:rFonts w:cs="Times New Roman"/>
          <w:sz w:val="24"/>
          <w:szCs w:val="24"/>
          <w:lang w:val="es-ES"/>
        </w:rPr>
        <w:t xml:space="preserve">que instaura a favor </w:t>
      </w:r>
      <w:r w:rsidR="006B4061" w:rsidRPr="00F64697">
        <w:rPr>
          <w:rFonts w:cs="Times New Roman"/>
          <w:sz w:val="24"/>
          <w:szCs w:val="24"/>
          <w:lang w:val="es-ES"/>
        </w:rPr>
        <w:lastRenderedPageBreak/>
        <w:t xml:space="preserve">de la industria naviera y aseguradora </w:t>
      </w:r>
      <w:r w:rsidR="00AD22A5" w:rsidRPr="00F64697">
        <w:rPr>
          <w:rFonts w:cs="Times New Roman"/>
          <w:sz w:val="24"/>
          <w:szCs w:val="24"/>
          <w:lang w:val="es-ES"/>
        </w:rPr>
        <w:t xml:space="preserve">el </w:t>
      </w:r>
      <w:r w:rsidR="00B77E52" w:rsidRPr="00F64697">
        <w:rPr>
          <w:rFonts w:cs="Times New Roman"/>
          <w:sz w:val="24"/>
          <w:szCs w:val="24"/>
          <w:lang w:val="es-ES"/>
        </w:rPr>
        <w:t>Convenio de Responsabilidad Civil de 1992</w:t>
      </w:r>
      <w:r w:rsidR="005E4242" w:rsidRPr="00F64697">
        <w:rPr>
          <w:rFonts w:cs="Times New Roman"/>
          <w:sz w:val="24"/>
          <w:szCs w:val="24"/>
          <w:lang w:val="es-ES"/>
        </w:rPr>
        <w:t xml:space="preserve"> y</w:t>
      </w:r>
      <w:r w:rsidR="008B7106">
        <w:rPr>
          <w:rFonts w:cs="Times New Roman"/>
          <w:sz w:val="24"/>
          <w:szCs w:val="24"/>
          <w:lang w:val="es-ES"/>
        </w:rPr>
        <w:t xml:space="preserve"> a</w:t>
      </w:r>
      <w:r w:rsidR="006B4061" w:rsidRPr="00F64697">
        <w:rPr>
          <w:rFonts w:cs="Times New Roman"/>
          <w:sz w:val="24"/>
          <w:szCs w:val="24"/>
          <w:lang w:val="es-ES"/>
        </w:rPr>
        <w:t xml:space="preserve"> favor de la industria petrolera</w:t>
      </w:r>
      <w:r w:rsidR="00B77E52" w:rsidRPr="00F64697">
        <w:rPr>
          <w:rFonts w:cs="Times New Roman"/>
          <w:sz w:val="24"/>
          <w:szCs w:val="24"/>
          <w:lang w:val="es-ES"/>
        </w:rPr>
        <w:t xml:space="preserve"> </w:t>
      </w:r>
      <w:r w:rsidR="00AD22A5" w:rsidRPr="00F64697">
        <w:rPr>
          <w:rFonts w:cs="Times New Roman"/>
          <w:sz w:val="24"/>
          <w:szCs w:val="24"/>
          <w:lang w:val="es-ES"/>
        </w:rPr>
        <w:t xml:space="preserve">el </w:t>
      </w:r>
      <w:r w:rsidR="00B77E52" w:rsidRPr="00F64697">
        <w:rPr>
          <w:rFonts w:cs="Times New Roman"/>
          <w:sz w:val="24"/>
          <w:szCs w:val="24"/>
          <w:lang w:val="es-ES"/>
        </w:rPr>
        <w:t>Convenio del Fondo de 1992</w:t>
      </w:r>
      <w:r w:rsidR="005A5072" w:rsidRPr="00F64697">
        <w:rPr>
          <w:rFonts w:cs="Times New Roman"/>
          <w:sz w:val="24"/>
          <w:szCs w:val="24"/>
          <w:lang w:val="es-ES"/>
        </w:rPr>
        <w:t xml:space="preserve"> son el obstáculo principal</w:t>
      </w:r>
      <w:r w:rsidR="008B7106">
        <w:rPr>
          <w:rFonts w:cs="Times New Roman"/>
          <w:sz w:val="24"/>
          <w:szCs w:val="24"/>
          <w:lang w:val="es-ES"/>
        </w:rPr>
        <w:t xml:space="preserve"> a la reparación íntegra de los perjudicados</w:t>
      </w:r>
      <w:r w:rsidR="005A5072" w:rsidRPr="00F64697">
        <w:rPr>
          <w:rFonts w:cs="Times New Roman"/>
          <w:sz w:val="24"/>
          <w:szCs w:val="24"/>
          <w:lang w:val="es-ES"/>
        </w:rPr>
        <w:t xml:space="preserve">. </w:t>
      </w:r>
    </w:p>
    <w:p w14:paraId="642FAEBA" w14:textId="5B8378F1" w:rsidR="00750076" w:rsidRPr="00F64697" w:rsidRDefault="009D6F37" w:rsidP="00740103">
      <w:pPr>
        <w:pStyle w:val="Textonotapie"/>
        <w:spacing w:before="120" w:after="120"/>
        <w:jc w:val="both"/>
        <w:rPr>
          <w:rFonts w:cs="Times New Roman"/>
          <w:b/>
          <w:bCs/>
          <w:sz w:val="24"/>
          <w:szCs w:val="24"/>
          <w:lang w:val="es-ES"/>
        </w:rPr>
      </w:pPr>
      <w:r w:rsidRPr="00F64697">
        <w:rPr>
          <w:rFonts w:cs="Times New Roman"/>
          <w:sz w:val="24"/>
          <w:szCs w:val="24"/>
          <w:lang w:val="es-ES"/>
        </w:rPr>
        <w:t>L</w:t>
      </w:r>
      <w:r w:rsidR="00750076" w:rsidRPr="00F64697">
        <w:rPr>
          <w:rFonts w:cs="Times New Roman"/>
          <w:sz w:val="24"/>
          <w:szCs w:val="24"/>
          <w:lang w:val="es-ES"/>
        </w:rPr>
        <w:t xml:space="preserve">a última actualización de los límites de indemnización del Convenio de Responsabilidad Civil de 1992 fue aprobada por el Comité Jurídico de la Organización Marítima Internacional </w:t>
      </w:r>
      <w:r w:rsidR="00740103" w:rsidRPr="00F64697">
        <w:rPr>
          <w:rFonts w:cs="Times New Roman"/>
          <w:sz w:val="24"/>
          <w:szCs w:val="24"/>
          <w:lang w:val="es-ES"/>
        </w:rPr>
        <w:t xml:space="preserve">(OMI) </w:t>
      </w:r>
      <w:r w:rsidR="00750076" w:rsidRPr="00F64697">
        <w:rPr>
          <w:rFonts w:cs="Times New Roman"/>
          <w:sz w:val="24"/>
          <w:szCs w:val="24"/>
          <w:lang w:val="es-ES"/>
        </w:rPr>
        <w:t xml:space="preserve">el 18 de octubre de 2000. </w:t>
      </w:r>
      <w:r w:rsidR="00740103" w:rsidRPr="00F64697">
        <w:rPr>
          <w:rFonts w:cs="Times New Roman"/>
          <w:sz w:val="24"/>
          <w:szCs w:val="24"/>
          <w:lang w:val="es-ES"/>
        </w:rPr>
        <w:t xml:space="preserve">Han pasado así 23 años desde que los Estados en el seno de la OMI adoptaron la decisión de mejorar las coberturas indemnizatorias. </w:t>
      </w:r>
      <w:r w:rsidR="00750076" w:rsidRPr="00F64697">
        <w:rPr>
          <w:rFonts w:cs="Times New Roman"/>
          <w:sz w:val="24"/>
          <w:szCs w:val="24"/>
          <w:lang w:val="es-ES"/>
        </w:rPr>
        <w:t xml:space="preserve">Ni siquiera el siniestro del </w:t>
      </w:r>
      <w:r w:rsidR="00740103" w:rsidRPr="00F64697">
        <w:rPr>
          <w:rFonts w:cs="Times New Roman"/>
          <w:sz w:val="24"/>
          <w:szCs w:val="24"/>
          <w:lang w:val="es-ES"/>
        </w:rPr>
        <w:t xml:space="preserve">buque </w:t>
      </w:r>
      <w:r w:rsidR="00750076" w:rsidRPr="00F64697">
        <w:rPr>
          <w:rFonts w:cs="Times New Roman"/>
          <w:sz w:val="24"/>
          <w:szCs w:val="24"/>
          <w:lang w:val="es-ES"/>
        </w:rPr>
        <w:t>“Prestige”</w:t>
      </w:r>
      <w:r w:rsidR="00740103" w:rsidRPr="00F64697">
        <w:rPr>
          <w:rFonts w:cs="Times New Roman"/>
          <w:sz w:val="24"/>
          <w:szCs w:val="24"/>
          <w:lang w:val="es-ES"/>
        </w:rPr>
        <w:t>, en 2002,</w:t>
      </w:r>
      <w:r w:rsidR="00750076" w:rsidRPr="00F64697">
        <w:rPr>
          <w:rFonts w:cs="Times New Roman"/>
          <w:sz w:val="24"/>
          <w:szCs w:val="24"/>
          <w:lang w:val="es-ES"/>
        </w:rPr>
        <w:t xml:space="preserve"> ha motivado la actualización de los límites de indemnización</w:t>
      </w:r>
      <w:r w:rsidR="00740103" w:rsidRPr="00F64697">
        <w:rPr>
          <w:rFonts w:cs="Times New Roman"/>
          <w:sz w:val="24"/>
          <w:szCs w:val="24"/>
          <w:lang w:val="es-ES"/>
        </w:rPr>
        <w:t xml:space="preserve"> asumidos por la industria naviera y aseguradora de los riesgos marítimos</w:t>
      </w:r>
      <w:r w:rsidR="008812BB" w:rsidRPr="00F64697">
        <w:rPr>
          <w:rFonts w:cs="Times New Roman"/>
          <w:sz w:val="24"/>
          <w:szCs w:val="24"/>
          <w:lang w:val="es-ES"/>
        </w:rPr>
        <w:t xml:space="preserve"> de contaminación por hidrocarburos</w:t>
      </w:r>
      <w:r w:rsidR="00750076" w:rsidRPr="00F64697">
        <w:rPr>
          <w:rFonts w:cs="Times New Roman"/>
          <w:sz w:val="24"/>
          <w:szCs w:val="24"/>
          <w:lang w:val="es-ES"/>
        </w:rPr>
        <w:t xml:space="preserve">. </w:t>
      </w:r>
    </w:p>
    <w:p w14:paraId="77362820" w14:textId="29C7296A" w:rsidR="00CF3FA1" w:rsidRPr="00F64697" w:rsidRDefault="00CF3FA1" w:rsidP="004C702B">
      <w:pPr>
        <w:pStyle w:val="Textonotapie"/>
        <w:spacing w:before="120" w:after="120"/>
        <w:jc w:val="both"/>
        <w:rPr>
          <w:rFonts w:cs="Times New Roman"/>
          <w:sz w:val="24"/>
          <w:szCs w:val="24"/>
          <w:lang w:val="es-ES"/>
        </w:rPr>
      </w:pPr>
      <w:r w:rsidRPr="00F64697">
        <w:rPr>
          <w:rFonts w:cs="Times New Roman"/>
          <w:sz w:val="24"/>
          <w:szCs w:val="24"/>
          <w:lang w:val="es-ES"/>
        </w:rPr>
        <w:t>La</w:t>
      </w:r>
      <w:r w:rsidR="00740103" w:rsidRPr="00F64697">
        <w:rPr>
          <w:rFonts w:cs="Times New Roman"/>
          <w:sz w:val="24"/>
          <w:szCs w:val="24"/>
          <w:lang w:val="es-ES"/>
        </w:rPr>
        <w:t xml:space="preserve"> falta de actualización de los límites de </w:t>
      </w:r>
      <w:r w:rsidRPr="00F64697">
        <w:rPr>
          <w:rFonts w:cs="Times New Roman"/>
          <w:sz w:val="24"/>
          <w:szCs w:val="24"/>
          <w:lang w:val="es-ES"/>
        </w:rPr>
        <w:t xml:space="preserve">indemnización del Convenio de Responsabilidad Civil de 1992 obedece a la </w:t>
      </w:r>
      <w:r w:rsidR="008B7106">
        <w:rPr>
          <w:rFonts w:cs="Times New Roman"/>
          <w:sz w:val="24"/>
          <w:szCs w:val="24"/>
          <w:lang w:val="es-ES"/>
        </w:rPr>
        <w:t xml:space="preserve">falta de </w:t>
      </w:r>
      <w:r w:rsidRPr="00F64697">
        <w:rPr>
          <w:rFonts w:cs="Times New Roman"/>
          <w:sz w:val="24"/>
          <w:szCs w:val="24"/>
          <w:lang w:val="es-ES"/>
        </w:rPr>
        <w:t>decisión de los Estados en el seno de la Organización Marítima Internacional</w:t>
      </w:r>
      <w:r w:rsidR="00001B10" w:rsidRPr="00F64697">
        <w:rPr>
          <w:rFonts w:cs="Times New Roman"/>
          <w:sz w:val="24"/>
          <w:szCs w:val="24"/>
          <w:lang w:val="es-ES"/>
        </w:rPr>
        <w:t xml:space="preserve">, en concreto, </w:t>
      </w:r>
      <w:r w:rsidR="00D87AC8">
        <w:rPr>
          <w:rFonts w:cs="Times New Roman"/>
          <w:sz w:val="24"/>
          <w:szCs w:val="24"/>
          <w:lang w:val="es-ES"/>
        </w:rPr>
        <w:t>en</w:t>
      </w:r>
      <w:r w:rsidR="00001B10" w:rsidRPr="00F64697">
        <w:rPr>
          <w:rFonts w:cs="Times New Roman"/>
          <w:sz w:val="24"/>
          <w:szCs w:val="24"/>
          <w:lang w:val="es-ES"/>
        </w:rPr>
        <w:t xml:space="preserve"> su Comité Jurídico</w:t>
      </w:r>
      <w:r w:rsidRPr="00F64697">
        <w:rPr>
          <w:rFonts w:cs="Times New Roman"/>
          <w:sz w:val="24"/>
          <w:szCs w:val="24"/>
          <w:lang w:val="es-ES"/>
        </w:rPr>
        <w:t xml:space="preserve">. </w:t>
      </w:r>
      <w:r w:rsidR="00001B10" w:rsidRPr="00F64697">
        <w:rPr>
          <w:rFonts w:cs="Times New Roman"/>
          <w:sz w:val="24"/>
          <w:szCs w:val="24"/>
          <w:lang w:val="es-ES"/>
        </w:rPr>
        <w:t xml:space="preserve">Al igual que hizo en la última actualización de 2000, </w:t>
      </w:r>
      <w:r w:rsidR="00D87AC8">
        <w:rPr>
          <w:rFonts w:cs="Times New Roman"/>
          <w:sz w:val="24"/>
          <w:szCs w:val="24"/>
          <w:lang w:val="es-ES"/>
        </w:rPr>
        <w:t xml:space="preserve">según </w:t>
      </w:r>
      <w:r w:rsidR="00001B10" w:rsidRPr="00F64697">
        <w:rPr>
          <w:rFonts w:cs="Times New Roman"/>
          <w:sz w:val="24"/>
          <w:szCs w:val="24"/>
          <w:lang w:val="es-ES"/>
        </w:rPr>
        <w:t xml:space="preserve">el art. 15.4 </w:t>
      </w:r>
      <w:r w:rsidR="008812BB" w:rsidRPr="00F64697">
        <w:rPr>
          <w:rFonts w:cs="Times New Roman"/>
          <w:sz w:val="24"/>
          <w:szCs w:val="24"/>
          <w:lang w:val="es-ES"/>
        </w:rPr>
        <w:t>Convenio de Responsabilidad Civil de 1992</w:t>
      </w:r>
      <w:r w:rsidR="00001B10" w:rsidRPr="00F64697">
        <w:rPr>
          <w:rFonts w:cs="Times New Roman"/>
          <w:sz w:val="24"/>
          <w:szCs w:val="24"/>
          <w:lang w:val="es-ES"/>
        </w:rPr>
        <w:t>, el Comité Jurídico ha de aprobar las enmiendas a las cuantías de limitación. Con arreglo al art. 15.7, estas enmiendas se consideran aceptadas en un plazo de dieciocho meses desde su notificación, a menos que, antes de esa fecha, no menos de un cuarto de los Estados que eran Estados Contratantes en la fecha de la aprobación de la enmienda por el Comité Jurídico, hayan comunicado a la Organización que no las aceptan. Una enmienda considerada aceptada entrará en vigor dieciocho meses después de su aceptación (art. 15.8</w:t>
      </w:r>
      <w:r w:rsidR="008812BB" w:rsidRPr="00F64697">
        <w:rPr>
          <w:rFonts w:cs="Times New Roman"/>
          <w:sz w:val="24"/>
          <w:szCs w:val="24"/>
          <w:lang w:val="es-ES"/>
        </w:rPr>
        <w:t>)</w:t>
      </w:r>
      <w:r w:rsidR="00001B10" w:rsidRPr="00F64697">
        <w:rPr>
          <w:rFonts w:cs="Times New Roman"/>
          <w:sz w:val="24"/>
          <w:szCs w:val="24"/>
          <w:lang w:val="es-ES"/>
        </w:rPr>
        <w:t>.</w:t>
      </w:r>
    </w:p>
    <w:p w14:paraId="688B6EF0" w14:textId="4E3128CC" w:rsidR="00001B10" w:rsidRPr="00F64697" w:rsidRDefault="00001B10" w:rsidP="004C702B">
      <w:pPr>
        <w:pStyle w:val="Textonotapie"/>
        <w:spacing w:before="120" w:after="120"/>
        <w:jc w:val="both"/>
        <w:rPr>
          <w:rFonts w:cs="Times New Roman"/>
          <w:sz w:val="24"/>
          <w:szCs w:val="24"/>
          <w:lang w:val="es-ES"/>
        </w:rPr>
      </w:pPr>
      <w:r w:rsidRPr="00F64697">
        <w:rPr>
          <w:rFonts w:cs="Times New Roman"/>
          <w:sz w:val="24"/>
          <w:szCs w:val="24"/>
          <w:lang w:val="es-ES"/>
        </w:rPr>
        <w:t xml:space="preserve">El art. 15.5 </w:t>
      </w:r>
      <w:r w:rsidR="008812BB" w:rsidRPr="00F64697">
        <w:rPr>
          <w:rFonts w:cs="Times New Roman"/>
          <w:sz w:val="24"/>
          <w:szCs w:val="24"/>
          <w:lang w:val="es-ES"/>
        </w:rPr>
        <w:t xml:space="preserve">Convenio de Responsabilidad Civil de </w:t>
      </w:r>
      <w:r w:rsidRPr="00F64697">
        <w:rPr>
          <w:rFonts w:cs="Times New Roman"/>
          <w:sz w:val="24"/>
          <w:szCs w:val="24"/>
          <w:lang w:val="es-ES"/>
        </w:rPr>
        <w:t>1992 señala que: “</w:t>
      </w:r>
      <w:r w:rsidRPr="00F64697">
        <w:rPr>
          <w:rFonts w:cs="Times New Roman"/>
          <w:i/>
          <w:iCs/>
          <w:sz w:val="24"/>
          <w:szCs w:val="24"/>
          <w:lang w:val="es-ES"/>
        </w:rPr>
        <w:t>En su decisión relativa a propuestas destinadas a enmendar los límites, el Comité Jurídico tendrá en cuenta la experiencia que se tenga de los sucesos y especialmente la cuantía de los daños que de ellos se deriven, la fluctuación registrada en el valor de la moneda y el efecto que tenga la enmienda propuesta en el costo del seguro</w:t>
      </w:r>
      <w:r w:rsidRPr="00F64697">
        <w:rPr>
          <w:rFonts w:cs="Times New Roman"/>
          <w:sz w:val="24"/>
          <w:szCs w:val="24"/>
          <w:lang w:val="es-ES"/>
        </w:rPr>
        <w:t>”.</w:t>
      </w:r>
    </w:p>
    <w:p w14:paraId="39C6BE0B" w14:textId="525A9AD1" w:rsidR="00D11319" w:rsidRPr="00F64697" w:rsidRDefault="00FD24E9" w:rsidP="008812BB">
      <w:pPr>
        <w:pStyle w:val="Textonotapie"/>
        <w:spacing w:before="120" w:after="120"/>
        <w:jc w:val="both"/>
        <w:rPr>
          <w:rFonts w:cs="Times New Roman"/>
          <w:sz w:val="24"/>
          <w:szCs w:val="24"/>
          <w:lang w:val="es-ES"/>
        </w:rPr>
      </w:pPr>
      <w:r w:rsidRPr="00F64697">
        <w:rPr>
          <w:rFonts w:cs="Times New Roman"/>
          <w:sz w:val="24"/>
          <w:szCs w:val="24"/>
          <w:lang w:val="es-ES"/>
        </w:rPr>
        <w:t>Con relación al</w:t>
      </w:r>
      <w:r w:rsidR="006840E4" w:rsidRPr="00F64697">
        <w:rPr>
          <w:rFonts w:cs="Times New Roman"/>
          <w:sz w:val="24"/>
          <w:szCs w:val="24"/>
          <w:lang w:val="es-ES"/>
        </w:rPr>
        <w:t xml:space="preserve"> </w:t>
      </w:r>
      <w:r w:rsidR="00001B10" w:rsidRPr="00F64697">
        <w:rPr>
          <w:rFonts w:cs="Times New Roman"/>
          <w:sz w:val="24"/>
          <w:szCs w:val="24"/>
          <w:lang w:val="es-ES"/>
        </w:rPr>
        <w:t>“</w:t>
      </w:r>
      <w:r w:rsidR="00001B10" w:rsidRPr="00F64697">
        <w:rPr>
          <w:rFonts w:cs="Times New Roman"/>
          <w:i/>
          <w:iCs/>
          <w:sz w:val="24"/>
          <w:szCs w:val="24"/>
          <w:lang w:val="es-ES"/>
        </w:rPr>
        <w:t>costo del seguro</w:t>
      </w:r>
      <w:r w:rsidR="00001B10" w:rsidRPr="00F64697">
        <w:rPr>
          <w:rFonts w:cs="Times New Roman"/>
          <w:sz w:val="24"/>
          <w:szCs w:val="24"/>
          <w:lang w:val="es-ES"/>
        </w:rPr>
        <w:t>”</w:t>
      </w:r>
      <w:r w:rsidR="006840E4" w:rsidRPr="00F64697">
        <w:rPr>
          <w:rFonts w:cs="Times New Roman"/>
          <w:sz w:val="24"/>
          <w:szCs w:val="24"/>
          <w:lang w:val="es-ES"/>
        </w:rPr>
        <w:t xml:space="preserve">, la Organización Marítima Internacional cuenta con </w:t>
      </w:r>
      <w:r w:rsidR="008812BB" w:rsidRPr="00F64697">
        <w:rPr>
          <w:rFonts w:cs="Times New Roman"/>
          <w:sz w:val="24"/>
          <w:szCs w:val="24"/>
          <w:lang w:val="es-ES"/>
        </w:rPr>
        <w:t xml:space="preserve">la información que puede ofrecer directamente la </w:t>
      </w:r>
      <w:r w:rsidR="006840E4" w:rsidRPr="00F64697">
        <w:rPr>
          <w:rFonts w:cs="Times New Roman"/>
          <w:i/>
          <w:iCs/>
          <w:sz w:val="24"/>
          <w:szCs w:val="24"/>
          <w:lang w:val="es-ES"/>
        </w:rPr>
        <w:t>International Group of P&amp;I Clubs</w:t>
      </w:r>
      <w:r w:rsidR="006840E4" w:rsidRPr="00F64697">
        <w:rPr>
          <w:rFonts w:cs="Times New Roman"/>
          <w:sz w:val="24"/>
          <w:szCs w:val="24"/>
          <w:lang w:val="es-ES"/>
        </w:rPr>
        <w:t xml:space="preserve"> (IGP&amp;I)</w:t>
      </w:r>
      <w:r w:rsidR="006840E4" w:rsidRPr="00F64697">
        <w:rPr>
          <w:rStyle w:val="Refdenotaalpie"/>
          <w:rFonts w:cs="Times New Roman"/>
          <w:sz w:val="24"/>
          <w:szCs w:val="24"/>
        </w:rPr>
        <w:footnoteReference w:id="34"/>
      </w:r>
      <w:r w:rsidR="008812BB" w:rsidRPr="00F64697">
        <w:rPr>
          <w:rFonts w:cs="Times New Roman"/>
          <w:sz w:val="24"/>
          <w:szCs w:val="24"/>
          <w:lang w:val="es-ES"/>
        </w:rPr>
        <w:t>. Se trata de</w:t>
      </w:r>
      <w:r w:rsidR="006840E4" w:rsidRPr="00F64697">
        <w:rPr>
          <w:rFonts w:cs="Times New Roman"/>
          <w:sz w:val="24"/>
          <w:szCs w:val="24"/>
          <w:lang w:val="es-ES"/>
        </w:rPr>
        <w:t xml:space="preserve"> una Organización no Gubernamental de carácter consultivo</w:t>
      </w:r>
      <w:r w:rsidR="008812BB" w:rsidRPr="00F64697">
        <w:rPr>
          <w:rFonts w:cs="Times New Roman"/>
          <w:sz w:val="24"/>
          <w:szCs w:val="24"/>
          <w:lang w:val="es-ES"/>
        </w:rPr>
        <w:t xml:space="preserve"> de la propia OMI</w:t>
      </w:r>
      <w:r w:rsidR="006840E4" w:rsidRPr="00F64697">
        <w:rPr>
          <w:rStyle w:val="Refdenotaalpie"/>
          <w:rFonts w:cs="Times New Roman"/>
          <w:sz w:val="24"/>
          <w:szCs w:val="24"/>
        </w:rPr>
        <w:footnoteReference w:id="35"/>
      </w:r>
      <w:r w:rsidR="006840E4" w:rsidRPr="00F64697">
        <w:rPr>
          <w:rFonts w:cs="Times New Roman"/>
          <w:sz w:val="24"/>
          <w:szCs w:val="24"/>
          <w:lang w:val="es-ES"/>
        </w:rPr>
        <w:t xml:space="preserve">. </w:t>
      </w:r>
      <w:r w:rsidR="00D87AC8" w:rsidRPr="00F64697">
        <w:rPr>
          <w:rFonts w:cs="Times New Roman"/>
          <w:sz w:val="24"/>
          <w:szCs w:val="24"/>
          <w:lang w:val="es-ES"/>
        </w:rPr>
        <w:t>IGP&amp;I opera como representación y grupo de influencia del sector en defensa de los intereses de sus clubs P&amp;I miembros.</w:t>
      </w:r>
      <w:r w:rsidR="008404B8">
        <w:rPr>
          <w:rFonts w:cs="Times New Roman"/>
          <w:sz w:val="24"/>
          <w:szCs w:val="24"/>
          <w:lang w:val="es-ES"/>
        </w:rPr>
        <w:t xml:space="preserve"> </w:t>
      </w:r>
      <w:r w:rsidR="00D87AC8">
        <w:rPr>
          <w:rFonts w:cs="Times New Roman"/>
          <w:sz w:val="24"/>
          <w:szCs w:val="24"/>
          <w:lang w:val="es-ES"/>
        </w:rPr>
        <w:t>La</w:t>
      </w:r>
      <w:r w:rsidR="00CB058F">
        <w:rPr>
          <w:rFonts w:cs="Times New Roman"/>
          <w:sz w:val="24"/>
          <w:szCs w:val="24"/>
          <w:lang w:val="es-ES"/>
        </w:rPr>
        <w:t xml:space="preserve">s estadísticas </w:t>
      </w:r>
      <w:r w:rsidR="008404B8">
        <w:rPr>
          <w:rFonts w:cs="Times New Roman"/>
          <w:sz w:val="24"/>
          <w:szCs w:val="24"/>
          <w:lang w:val="es-ES"/>
        </w:rPr>
        <w:t xml:space="preserve">de Equasis </w:t>
      </w:r>
      <w:r w:rsidR="00CB058F">
        <w:rPr>
          <w:rFonts w:cs="Times New Roman"/>
          <w:sz w:val="24"/>
          <w:szCs w:val="24"/>
          <w:lang w:val="es-ES"/>
        </w:rPr>
        <w:t xml:space="preserve">revelan que </w:t>
      </w:r>
      <w:r w:rsidR="00D87AC8">
        <w:rPr>
          <w:rFonts w:cs="Times New Roman"/>
          <w:sz w:val="24"/>
          <w:szCs w:val="24"/>
          <w:lang w:val="es-ES"/>
        </w:rPr>
        <w:t>alguno de los trece clubs P&amp;I que integran el IG</w:t>
      </w:r>
      <w:r w:rsidR="008404B8">
        <w:rPr>
          <w:rFonts w:cs="Times New Roman"/>
          <w:sz w:val="24"/>
          <w:szCs w:val="24"/>
          <w:lang w:val="es-ES"/>
        </w:rPr>
        <w:t>P</w:t>
      </w:r>
      <w:r w:rsidR="00D87AC8">
        <w:rPr>
          <w:rFonts w:cs="Times New Roman"/>
          <w:sz w:val="24"/>
          <w:szCs w:val="24"/>
          <w:lang w:val="es-ES"/>
        </w:rPr>
        <w:t>&amp;</w:t>
      </w:r>
      <w:r w:rsidR="00CB058F">
        <w:rPr>
          <w:rFonts w:cs="Times New Roman"/>
          <w:sz w:val="24"/>
          <w:szCs w:val="24"/>
          <w:lang w:val="es-ES"/>
        </w:rPr>
        <w:t>I</w:t>
      </w:r>
      <w:r w:rsidR="008404B8">
        <w:rPr>
          <w:rFonts w:cs="Times New Roman"/>
          <w:sz w:val="24"/>
          <w:szCs w:val="24"/>
          <w:lang w:val="es-ES"/>
        </w:rPr>
        <w:t xml:space="preserve"> aseguran la mayor parte de los buques petroleros y quimiqueros con un arqueo bruto superior a 500 toneladas, que son los dedicados al transporte internacional. En los buques de menor tamaño, hay mayor reparto de mercado con aseguradoras fuera del IGP&amp;I</w:t>
      </w:r>
      <w:r w:rsidR="008404B8" w:rsidRPr="00F64697">
        <w:rPr>
          <w:rStyle w:val="Refdenotaalpie"/>
          <w:rFonts w:cs="Times New Roman"/>
          <w:sz w:val="24"/>
          <w:szCs w:val="24"/>
          <w:lang w:val="es-ES"/>
        </w:rPr>
        <w:footnoteReference w:id="36"/>
      </w:r>
      <w:r w:rsidR="008404B8">
        <w:rPr>
          <w:rFonts w:cs="Times New Roman"/>
          <w:sz w:val="24"/>
          <w:szCs w:val="24"/>
          <w:lang w:val="es-ES"/>
        </w:rPr>
        <w:t>, mientras que los buques extragrandes están casi siempre asegurados por algún club P&amp;I del IGP&amp;I</w:t>
      </w:r>
      <w:r w:rsidR="00CB058F">
        <w:rPr>
          <w:rStyle w:val="Refdenotaalpie"/>
          <w:rFonts w:cs="Times New Roman"/>
          <w:sz w:val="24"/>
          <w:szCs w:val="24"/>
          <w:lang w:val="es-ES"/>
        </w:rPr>
        <w:footnoteReference w:id="37"/>
      </w:r>
      <w:r w:rsidR="00CB058F">
        <w:rPr>
          <w:rFonts w:cs="Times New Roman"/>
          <w:sz w:val="24"/>
          <w:szCs w:val="24"/>
          <w:lang w:val="es-ES"/>
        </w:rPr>
        <w:t>.</w:t>
      </w:r>
      <w:r w:rsidR="008404B8">
        <w:rPr>
          <w:rFonts w:cs="Times New Roman"/>
          <w:sz w:val="24"/>
          <w:szCs w:val="24"/>
          <w:lang w:val="es-ES"/>
        </w:rPr>
        <w:t xml:space="preserve"> </w:t>
      </w:r>
      <w:r w:rsidR="00D11319" w:rsidRPr="00F64697">
        <w:rPr>
          <w:rFonts w:cs="Times New Roman"/>
          <w:sz w:val="24"/>
          <w:szCs w:val="24"/>
          <w:lang w:val="es-ES"/>
        </w:rPr>
        <w:t>De los trece, ocho clubs P&amp;I tienen su base de operaciones en el Reino Unido, dos son noruegos, uno norteamericano, uno japonés y otro sueco. The London P&amp;I Club, que aseguraba el “Prestige”</w:t>
      </w:r>
      <w:r w:rsidR="004C702B" w:rsidRPr="00F64697">
        <w:rPr>
          <w:rFonts w:cs="Times New Roman"/>
          <w:sz w:val="24"/>
          <w:szCs w:val="24"/>
          <w:lang w:val="es-ES"/>
        </w:rPr>
        <w:t>,</w:t>
      </w:r>
      <w:r w:rsidR="00D11319" w:rsidRPr="00F64697">
        <w:rPr>
          <w:rFonts w:cs="Times New Roman"/>
          <w:sz w:val="24"/>
          <w:szCs w:val="24"/>
          <w:lang w:val="es-ES"/>
        </w:rPr>
        <w:t xml:space="preserve"> es miembro del IGP&amp;I. Ninguno es español y</w:t>
      </w:r>
      <w:r w:rsidR="006840E4" w:rsidRPr="00F64697">
        <w:rPr>
          <w:rFonts w:cs="Times New Roman"/>
          <w:sz w:val="24"/>
          <w:szCs w:val="24"/>
          <w:lang w:val="es-ES"/>
        </w:rPr>
        <w:t>,</w:t>
      </w:r>
      <w:r w:rsidR="00D11319" w:rsidRPr="00F64697">
        <w:rPr>
          <w:rFonts w:cs="Times New Roman"/>
          <w:sz w:val="24"/>
          <w:szCs w:val="24"/>
          <w:lang w:val="es-ES"/>
        </w:rPr>
        <w:t xml:space="preserve"> salvo The Swedish P&amp;I club</w:t>
      </w:r>
      <w:r w:rsidR="006840E4" w:rsidRPr="00F64697">
        <w:rPr>
          <w:rFonts w:cs="Times New Roman"/>
          <w:sz w:val="24"/>
          <w:szCs w:val="24"/>
          <w:lang w:val="es-ES"/>
        </w:rPr>
        <w:t>,</w:t>
      </w:r>
      <w:r w:rsidR="00D11319" w:rsidRPr="00F64697">
        <w:rPr>
          <w:rFonts w:cs="Times New Roman"/>
          <w:sz w:val="24"/>
          <w:szCs w:val="24"/>
          <w:lang w:val="es-ES"/>
        </w:rPr>
        <w:t xml:space="preserve"> ning</w:t>
      </w:r>
      <w:r w:rsidR="00DF0ADE" w:rsidRPr="00F64697">
        <w:rPr>
          <w:rFonts w:cs="Times New Roman"/>
          <w:sz w:val="24"/>
          <w:szCs w:val="24"/>
          <w:lang w:val="es-ES"/>
        </w:rPr>
        <w:t>ún asegurador</w:t>
      </w:r>
      <w:r w:rsidR="00D11319" w:rsidRPr="00F64697">
        <w:rPr>
          <w:rFonts w:cs="Times New Roman"/>
          <w:sz w:val="24"/>
          <w:szCs w:val="24"/>
          <w:lang w:val="es-ES"/>
        </w:rPr>
        <w:t xml:space="preserve"> tiene su domicilio en la Unión Europea. </w:t>
      </w:r>
    </w:p>
    <w:p w14:paraId="6E828116" w14:textId="6B6E4B89" w:rsidR="00D11319" w:rsidRPr="00F64697" w:rsidRDefault="00D11319" w:rsidP="00E17EC6">
      <w:pPr>
        <w:spacing w:before="120" w:after="120" w:line="240" w:lineRule="auto"/>
        <w:jc w:val="both"/>
        <w:rPr>
          <w:rFonts w:cs="Times New Roman"/>
          <w:sz w:val="24"/>
          <w:szCs w:val="24"/>
        </w:rPr>
      </w:pPr>
      <w:r w:rsidRPr="00F64697">
        <w:rPr>
          <w:rFonts w:cs="Times New Roman"/>
          <w:sz w:val="24"/>
          <w:szCs w:val="24"/>
        </w:rPr>
        <w:t xml:space="preserve">Cada club P&amp;I miembro del IGP&amp;I es un asegurador independiente. Sin embargo, tienen prácticas comunes en las condiciones de riesgos cubiertos y excluidos. Basta comparar </w:t>
      </w:r>
      <w:r w:rsidRPr="00F64697">
        <w:rPr>
          <w:rFonts w:cs="Times New Roman"/>
          <w:sz w:val="24"/>
          <w:szCs w:val="24"/>
        </w:rPr>
        <w:lastRenderedPageBreak/>
        <w:t xml:space="preserve">las </w:t>
      </w:r>
      <w:r w:rsidRPr="00F64697">
        <w:rPr>
          <w:rFonts w:cs="Times New Roman"/>
          <w:i/>
          <w:iCs/>
          <w:sz w:val="24"/>
          <w:szCs w:val="24"/>
        </w:rPr>
        <w:t>rules</w:t>
      </w:r>
      <w:r w:rsidRPr="00F64697">
        <w:rPr>
          <w:rFonts w:cs="Times New Roman"/>
          <w:sz w:val="24"/>
          <w:szCs w:val="24"/>
        </w:rPr>
        <w:t xml:space="preserve"> de cada club P&amp;I para ver las similitudes de coberturas. Además, a través de esta asociación de aseguradoras, los clubs P&amp;I miembros también actúan conjuntamente en ciertos aspectos, en virtud de contratos de los cuales son firmantes. Así, consorcian ciertos riesgos, de modo que en caso de indemnizaciones importantes a cargo de alguno de los clubs P&amp;I miembros, éste puede reclamar una cuota de solidaridad a los demás. Además, el IGP&amp;I facilita la contratación de reaseguros de forma colectiva para todos los clubs P&amp;I miembros. Las Autoridades de Competencia europea analizaron al IGP&amp;I</w:t>
      </w:r>
      <w:r w:rsidRPr="00F64697">
        <w:rPr>
          <w:rStyle w:val="Refdenotaalpie"/>
          <w:rFonts w:cs="Times New Roman"/>
          <w:sz w:val="24"/>
          <w:szCs w:val="24"/>
        </w:rPr>
        <w:footnoteReference w:id="38"/>
      </w:r>
      <w:r w:rsidRPr="00F64697">
        <w:rPr>
          <w:rFonts w:cs="Times New Roman"/>
          <w:sz w:val="24"/>
          <w:szCs w:val="24"/>
        </w:rPr>
        <w:t xml:space="preserve"> y su adecuación con el Derecho de defensa de la competencia europeo. Tras varias exenciones, consideraron </w:t>
      </w:r>
      <w:r w:rsidR="00475B57" w:rsidRPr="00F64697">
        <w:rPr>
          <w:rFonts w:cs="Times New Roman"/>
          <w:sz w:val="24"/>
          <w:szCs w:val="24"/>
        </w:rPr>
        <w:t xml:space="preserve">esta asociación </w:t>
      </w:r>
      <w:r w:rsidRPr="00F64697">
        <w:rPr>
          <w:rFonts w:cs="Times New Roman"/>
          <w:sz w:val="24"/>
          <w:szCs w:val="24"/>
        </w:rPr>
        <w:t>compatible con el Derecho comunitario</w:t>
      </w:r>
      <w:r w:rsidR="00475B57" w:rsidRPr="00F64697">
        <w:rPr>
          <w:rFonts w:cs="Times New Roman"/>
          <w:sz w:val="24"/>
          <w:szCs w:val="24"/>
        </w:rPr>
        <w:t>. A</w:t>
      </w:r>
      <w:r w:rsidRPr="00F64697">
        <w:rPr>
          <w:rFonts w:cs="Times New Roman"/>
          <w:sz w:val="24"/>
          <w:szCs w:val="24"/>
        </w:rPr>
        <w:t xml:space="preserve">demás, </w:t>
      </w:r>
      <w:r w:rsidR="00475B57" w:rsidRPr="00F64697">
        <w:rPr>
          <w:rFonts w:cs="Times New Roman"/>
          <w:sz w:val="24"/>
          <w:szCs w:val="24"/>
        </w:rPr>
        <w:t xml:space="preserve">la Unión Europeo estimó que se trata de </w:t>
      </w:r>
      <w:r w:rsidR="006840E4" w:rsidRPr="00F64697">
        <w:rPr>
          <w:rFonts w:cs="Times New Roman"/>
          <w:sz w:val="24"/>
          <w:szCs w:val="24"/>
        </w:rPr>
        <w:t xml:space="preserve">una entidad </w:t>
      </w:r>
      <w:r w:rsidRPr="00F64697">
        <w:rPr>
          <w:rFonts w:cs="Times New Roman"/>
          <w:sz w:val="24"/>
          <w:szCs w:val="24"/>
        </w:rPr>
        <w:t>de interés público</w:t>
      </w:r>
      <w:r w:rsidR="006840E4" w:rsidRPr="00F64697">
        <w:rPr>
          <w:rFonts w:cs="Times New Roman"/>
          <w:sz w:val="24"/>
          <w:szCs w:val="24"/>
        </w:rPr>
        <w:t>, pues g</w:t>
      </w:r>
      <w:r w:rsidRPr="00F64697">
        <w:rPr>
          <w:rFonts w:cs="Times New Roman"/>
          <w:sz w:val="24"/>
          <w:szCs w:val="24"/>
        </w:rPr>
        <w:t xml:space="preserve">racias a esta cooperación, los clubs P&amp;I miembros pueden ofrecer al mercado asegurador unos seguros de amplias coberturas y sumas aseguradas. </w:t>
      </w:r>
    </w:p>
    <w:p w14:paraId="2E4A16ED" w14:textId="5095D8EC" w:rsidR="0018085E" w:rsidRDefault="0018085E" w:rsidP="0018085E">
      <w:pPr>
        <w:pStyle w:val="Textonotapie"/>
        <w:spacing w:before="120" w:after="120"/>
        <w:jc w:val="both"/>
        <w:rPr>
          <w:rFonts w:cs="Times New Roman"/>
          <w:sz w:val="24"/>
          <w:szCs w:val="24"/>
          <w:lang w:val="es-ES"/>
        </w:rPr>
      </w:pPr>
      <w:r w:rsidRPr="0018085E">
        <w:rPr>
          <w:rFonts w:cs="Times New Roman"/>
          <w:sz w:val="24"/>
          <w:szCs w:val="24"/>
          <w:lang w:val="es-ES"/>
        </w:rPr>
        <w:t>En</w:t>
      </w:r>
      <w:r>
        <w:rPr>
          <w:rFonts w:cs="Times New Roman"/>
          <w:sz w:val="24"/>
          <w:szCs w:val="24"/>
          <w:lang w:val="es-ES"/>
        </w:rPr>
        <w:t xml:space="preserve"> conclusión, en</w:t>
      </w:r>
      <w:r w:rsidRPr="0018085E">
        <w:rPr>
          <w:rFonts w:cs="Times New Roman"/>
          <w:sz w:val="24"/>
          <w:szCs w:val="24"/>
          <w:lang w:val="es-ES"/>
        </w:rPr>
        <w:t>tre los límites de indemnización del Convenio de Responsabilidad Civil de 1992, según el arqueo del buque siniestrado (22,7 millones en el caso del “Prestige”) y los 1.000 millones de dólares de suma asegurada que ofrecen en sus reglas de seguro P&amp;I para los buques petroleros</w:t>
      </w:r>
      <w:r>
        <w:rPr>
          <w:rFonts w:cs="Times New Roman"/>
          <w:sz w:val="24"/>
          <w:szCs w:val="24"/>
          <w:lang w:val="es-ES"/>
        </w:rPr>
        <w:t xml:space="preserve">, </w:t>
      </w:r>
      <w:r w:rsidRPr="0018085E">
        <w:rPr>
          <w:rFonts w:cs="Times New Roman"/>
          <w:sz w:val="24"/>
          <w:szCs w:val="24"/>
          <w:lang w:val="es-ES"/>
        </w:rPr>
        <w:t xml:space="preserve">hay un amplio espacio para conciliar los intereses aseguradores y de terceros perjudicados. </w:t>
      </w:r>
      <w:r>
        <w:rPr>
          <w:rFonts w:cs="Times New Roman"/>
          <w:sz w:val="24"/>
          <w:szCs w:val="24"/>
          <w:lang w:val="es-ES"/>
        </w:rPr>
        <w:t xml:space="preserve">Los clubs P&amp;I del IGP&amp;I exhíben una capacidad financiera en el contrato de seguro que es mucho mayor que la que prevista en los límites de indemnización. </w:t>
      </w:r>
    </w:p>
    <w:p w14:paraId="19736BFB" w14:textId="51E6C5B0" w:rsidR="0018085E" w:rsidRDefault="0018085E" w:rsidP="0018085E">
      <w:pPr>
        <w:pStyle w:val="Textonotapie"/>
        <w:spacing w:before="120" w:after="120"/>
        <w:jc w:val="both"/>
        <w:rPr>
          <w:rFonts w:cs="Times New Roman"/>
          <w:sz w:val="24"/>
          <w:szCs w:val="24"/>
          <w:lang w:val="es-ES"/>
        </w:rPr>
      </w:pPr>
      <w:r>
        <w:rPr>
          <w:rFonts w:cs="Times New Roman"/>
          <w:sz w:val="24"/>
          <w:szCs w:val="24"/>
          <w:lang w:val="es-ES"/>
        </w:rPr>
        <w:t>No obstante, s</w:t>
      </w:r>
      <w:r w:rsidRPr="0018085E">
        <w:rPr>
          <w:rFonts w:cs="Times New Roman"/>
          <w:sz w:val="24"/>
          <w:szCs w:val="24"/>
          <w:lang w:val="es-ES"/>
        </w:rPr>
        <w:t xml:space="preserve">e plantea qué asegurador estaría dispuesto a pagar </w:t>
      </w:r>
      <w:r>
        <w:rPr>
          <w:rFonts w:cs="Times New Roman"/>
          <w:sz w:val="24"/>
          <w:szCs w:val="24"/>
          <w:lang w:val="es-ES"/>
        </w:rPr>
        <w:t xml:space="preserve">más </w:t>
      </w:r>
      <w:r w:rsidRPr="0018085E">
        <w:rPr>
          <w:rFonts w:cs="Times New Roman"/>
          <w:sz w:val="24"/>
          <w:szCs w:val="24"/>
          <w:lang w:val="es-ES"/>
        </w:rPr>
        <w:t xml:space="preserve">por el mismo siniestro si </w:t>
      </w:r>
      <w:r>
        <w:rPr>
          <w:rFonts w:cs="Times New Roman"/>
          <w:sz w:val="24"/>
          <w:szCs w:val="24"/>
          <w:lang w:val="es-ES"/>
        </w:rPr>
        <w:t xml:space="preserve">los aseguradores principales, en asociación, </w:t>
      </w:r>
      <w:r w:rsidRPr="0018085E">
        <w:rPr>
          <w:rFonts w:cs="Times New Roman"/>
          <w:sz w:val="24"/>
          <w:szCs w:val="24"/>
          <w:lang w:val="es-ES"/>
        </w:rPr>
        <w:t>ha</w:t>
      </w:r>
      <w:r>
        <w:rPr>
          <w:rFonts w:cs="Times New Roman"/>
          <w:sz w:val="24"/>
          <w:szCs w:val="24"/>
          <w:lang w:val="es-ES"/>
        </w:rPr>
        <w:t>n</w:t>
      </w:r>
      <w:r w:rsidRPr="0018085E">
        <w:rPr>
          <w:rFonts w:cs="Times New Roman"/>
          <w:sz w:val="24"/>
          <w:szCs w:val="24"/>
          <w:lang w:val="es-ES"/>
        </w:rPr>
        <w:t xml:space="preserve"> pactado </w:t>
      </w:r>
      <w:r>
        <w:rPr>
          <w:rFonts w:cs="Times New Roman"/>
          <w:sz w:val="24"/>
          <w:szCs w:val="24"/>
          <w:lang w:val="es-ES"/>
        </w:rPr>
        <w:t>entre</w:t>
      </w:r>
      <w:r w:rsidRPr="0018085E">
        <w:rPr>
          <w:rFonts w:cs="Times New Roman"/>
          <w:sz w:val="24"/>
          <w:szCs w:val="24"/>
          <w:lang w:val="es-ES"/>
        </w:rPr>
        <w:t xml:space="preserve"> competidores las bases del negocio</w:t>
      </w:r>
      <w:r>
        <w:rPr>
          <w:rFonts w:cs="Times New Roman"/>
          <w:sz w:val="24"/>
          <w:szCs w:val="24"/>
          <w:lang w:val="es-ES"/>
        </w:rPr>
        <w:t xml:space="preserve">. Y si tampoco los </w:t>
      </w:r>
      <w:r w:rsidRPr="0018085E">
        <w:rPr>
          <w:rFonts w:cs="Times New Roman"/>
          <w:sz w:val="24"/>
          <w:szCs w:val="24"/>
          <w:lang w:val="es-ES"/>
        </w:rPr>
        <w:t xml:space="preserve">Estados promueven normas para actualizar los límites de indemnización, que se han quedado desactualizados después de 23 años sin ser modificados. </w:t>
      </w:r>
      <w:r>
        <w:rPr>
          <w:rFonts w:cs="Times New Roman"/>
          <w:sz w:val="24"/>
          <w:szCs w:val="24"/>
          <w:lang w:val="es-ES"/>
        </w:rPr>
        <w:t>Por ello, l</w:t>
      </w:r>
      <w:r w:rsidRPr="0018085E">
        <w:rPr>
          <w:rFonts w:cs="Times New Roman"/>
          <w:sz w:val="24"/>
          <w:szCs w:val="24"/>
          <w:lang w:val="es-ES"/>
        </w:rPr>
        <w:t>a labor proactiva de los Estados en el seno de la Organización Marítima Internacional va a ser esencial en este cambio normativo que se propone.</w:t>
      </w:r>
    </w:p>
    <w:p w14:paraId="44C55393" w14:textId="77777777" w:rsidR="00ED68FB" w:rsidRPr="00F64697" w:rsidRDefault="00ED68FB" w:rsidP="00E17EC6">
      <w:pPr>
        <w:pStyle w:val="Textonotapie"/>
        <w:spacing w:before="120" w:after="120"/>
        <w:jc w:val="both"/>
        <w:rPr>
          <w:rFonts w:cs="Times New Roman"/>
          <w:sz w:val="24"/>
          <w:szCs w:val="24"/>
          <w:lang w:val="es-ES"/>
        </w:rPr>
      </w:pPr>
    </w:p>
    <w:p w14:paraId="14ED36ED" w14:textId="3C2DCAC3" w:rsidR="00A014A3" w:rsidRPr="00F64697" w:rsidRDefault="00DF0B47" w:rsidP="007805A4">
      <w:pPr>
        <w:pStyle w:val="Textonotapie"/>
        <w:numPr>
          <w:ilvl w:val="0"/>
          <w:numId w:val="47"/>
        </w:numPr>
        <w:spacing w:before="120" w:after="120"/>
        <w:jc w:val="both"/>
        <w:rPr>
          <w:rFonts w:cs="Times New Roman"/>
          <w:b/>
          <w:bCs/>
          <w:sz w:val="24"/>
          <w:szCs w:val="24"/>
          <w:lang w:val="es-ES"/>
        </w:rPr>
      </w:pPr>
      <w:r>
        <w:rPr>
          <w:rFonts w:cs="Times New Roman"/>
          <w:b/>
          <w:bCs/>
          <w:sz w:val="24"/>
          <w:szCs w:val="24"/>
          <w:lang w:val="es-ES"/>
        </w:rPr>
        <w:t>La extensión al tercero perjudicado del convenio arbitral del seguro marítimo de responsabilidad civil</w:t>
      </w:r>
      <w:r w:rsidR="004C702B" w:rsidRPr="00F64697">
        <w:rPr>
          <w:rFonts w:cs="Times New Roman"/>
          <w:b/>
          <w:bCs/>
          <w:sz w:val="24"/>
          <w:szCs w:val="24"/>
          <w:lang w:val="es-ES"/>
        </w:rPr>
        <w:t xml:space="preserve"> </w:t>
      </w:r>
    </w:p>
    <w:p w14:paraId="0DB4BC00" w14:textId="66E47E11" w:rsidR="009666AA" w:rsidRDefault="009666AA" w:rsidP="009666AA">
      <w:pPr>
        <w:pStyle w:val="Textoindependiente"/>
        <w:spacing w:before="106" w:line="256" w:lineRule="auto"/>
        <w:ind w:right="114"/>
        <w:jc w:val="both"/>
      </w:pPr>
      <w:r>
        <w:t>La regla 43 de las Reglas de seguro P&amp;I 2023-2024 del club P&amp;I The London</w:t>
      </w:r>
      <w:r>
        <w:rPr>
          <w:spacing w:val="1"/>
        </w:rPr>
        <w:t xml:space="preserve"> </w:t>
      </w:r>
      <w:r>
        <w:rPr>
          <w:spacing w:val="-1"/>
        </w:rPr>
        <w:t>Steam-Ship</w:t>
      </w:r>
      <w:r>
        <w:rPr>
          <w:spacing w:val="-11"/>
        </w:rPr>
        <w:t xml:space="preserve"> </w:t>
      </w:r>
      <w:r>
        <w:rPr>
          <w:spacing w:val="-1"/>
        </w:rPr>
        <w:t>Owners’</w:t>
      </w:r>
      <w:r>
        <w:rPr>
          <w:spacing w:val="-26"/>
        </w:rPr>
        <w:t xml:space="preserve"> </w:t>
      </w:r>
      <w:r w:rsidR="00C508F6">
        <w:t>Mutual I</w:t>
      </w:r>
      <w:r>
        <w:t>nsurance</w:t>
      </w:r>
      <w:r>
        <w:rPr>
          <w:spacing w:val="-23"/>
        </w:rPr>
        <w:t xml:space="preserve"> </w:t>
      </w:r>
      <w:r>
        <w:t>Association</w:t>
      </w:r>
      <w:r>
        <w:rPr>
          <w:spacing w:val="-11"/>
        </w:rPr>
        <w:t xml:space="preserve"> </w:t>
      </w:r>
      <w:r>
        <w:t>Limited,</w:t>
      </w:r>
      <w:r>
        <w:rPr>
          <w:spacing w:val="-10"/>
        </w:rPr>
        <w:t xml:space="preserve"> </w:t>
      </w:r>
      <w:r>
        <w:t>que</w:t>
      </w:r>
      <w:r>
        <w:rPr>
          <w:spacing w:val="-11"/>
        </w:rPr>
        <w:t xml:space="preserve"> </w:t>
      </w:r>
      <w:r>
        <w:t>opera</w:t>
      </w:r>
      <w:r>
        <w:rPr>
          <w:spacing w:val="-11"/>
        </w:rPr>
        <w:t xml:space="preserve"> </w:t>
      </w:r>
      <w:r>
        <w:t>con</w:t>
      </w:r>
      <w:r>
        <w:rPr>
          <w:spacing w:val="-10"/>
        </w:rPr>
        <w:t xml:space="preserve"> </w:t>
      </w:r>
      <w:r>
        <w:t>el</w:t>
      </w:r>
      <w:r>
        <w:rPr>
          <w:spacing w:val="-10"/>
        </w:rPr>
        <w:t xml:space="preserve"> </w:t>
      </w:r>
      <w:r>
        <w:t>nombre</w:t>
      </w:r>
      <w:r>
        <w:rPr>
          <w:spacing w:val="-11"/>
        </w:rPr>
        <w:t xml:space="preserve"> </w:t>
      </w:r>
      <w:r>
        <w:t>comercial</w:t>
      </w:r>
      <w:r>
        <w:rPr>
          <w:spacing w:val="-11"/>
        </w:rPr>
        <w:t xml:space="preserve"> </w:t>
      </w:r>
      <w:r>
        <w:t>de</w:t>
      </w:r>
      <w:r>
        <w:rPr>
          <w:spacing w:val="-15"/>
        </w:rPr>
        <w:t xml:space="preserve"> </w:t>
      </w:r>
      <w:r>
        <w:t>The</w:t>
      </w:r>
      <w:r>
        <w:rPr>
          <w:spacing w:val="-53"/>
        </w:rPr>
        <w:t xml:space="preserve"> </w:t>
      </w:r>
      <w:r>
        <w:t>London</w:t>
      </w:r>
      <w:r>
        <w:rPr>
          <w:spacing w:val="-1"/>
        </w:rPr>
        <w:t xml:space="preserve"> </w:t>
      </w:r>
      <w:r>
        <w:t>P&amp;I</w:t>
      </w:r>
      <w:r>
        <w:rPr>
          <w:spacing w:val="-1"/>
        </w:rPr>
        <w:t xml:space="preserve"> </w:t>
      </w:r>
      <w:r>
        <w:t>Club, dispone lo siguiente</w:t>
      </w:r>
      <w:r>
        <w:rPr>
          <w:spacing w:val="-2"/>
        </w:rPr>
        <w:t xml:space="preserve"> </w:t>
      </w:r>
      <w:r>
        <w:t>(la traducción del inglés es</w:t>
      </w:r>
      <w:r>
        <w:rPr>
          <w:spacing w:val="-1"/>
        </w:rPr>
        <w:t xml:space="preserve"> </w:t>
      </w:r>
      <w:r>
        <w:t>nuestra)</w:t>
      </w:r>
      <w:r>
        <w:rPr>
          <w:rStyle w:val="Refdenotaalpie"/>
        </w:rPr>
        <w:footnoteReference w:id="39"/>
      </w:r>
      <w:r>
        <w:t>:</w:t>
      </w:r>
    </w:p>
    <w:p w14:paraId="699D0877" w14:textId="77777777" w:rsidR="009666AA" w:rsidRDefault="009666AA" w:rsidP="009666AA">
      <w:pPr>
        <w:pStyle w:val="Textoindependiente"/>
        <w:spacing w:before="2"/>
        <w:rPr>
          <w:sz w:val="23"/>
        </w:rPr>
      </w:pPr>
    </w:p>
    <w:p w14:paraId="485AAD79" w14:textId="5B8A1B6A" w:rsidR="009666AA" w:rsidRDefault="009666AA" w:rsidP="009666AA">
      <w:pPr>
        <w:spacing w:before="1" w:line="261" w:lineRule="auto"/>
        <w:ind w:left="825" w:right="115" w:firstLine="453"/>
        <w:jc w:val="both"/>
      </w:pPr>
      <w:r>
        <w:rPr>
          <w:i/>
        </w:rPr>
        <w:t>“Estas</w:t>
      </w:r>
      <w:r>
        <w:rPr>
          <w:i/>
          <w:spacing w:val="-7"/>
        </w:rPr>
        <w:t xml:space="preserve"> </w:t>
      </w:r>
      <w:r>
        <w:rPr>
          <w:i/>
        </w:rPr>
        <w:t>Reglas</w:t>
      </w:r>
      <w:r>
        <w:rPr>
          <w:i/>
          <w:spacing w:val="-6"/>
        </w:rPr>
        <w:t xml:space="preserve"> </w:t>
      </w:r>
      <w:r>
        <w:rPr>
          <w:i/>
        </w:rPr>
        <w:t>y</w:t>
      </w:r>
      <w:r>
        <w:rPr>
          <w:i/>
          <w:spacing w:val="-6"/>
        </w:rPr>
        <w:t xml:space="preserve"> </w:t>
      </w:r>
      <w:r>
        <w:rPr>
          <w:i/>
        </w:rPr>
        <w:t>cualquier</w:t>
      </w:r>
      <w:r>
        <w:rPr>
          <w:i/>
          <w:spacing w:val="-6"/>
        </w:rPr>
        <w:t xml:space="preserve"> </w:t>
      </w:r>
      <w:r>
        <w:rPr>
          <w:i/>
        </w:rPr>
        <w:t>contrato</w:t>
      </w:r>
      <w:r>
        <w:rPr>
          <w:i/>
          <w:spacing w:val="-6"/>
        </w:rPr>
        <w:t xml:space="preserve"> </w:t>
      </w:r>
      <w:r>
        <w:rPr>
          <w:i/>
        </w:rPr>
        <w:t>de</w:t>
      </w:r>
      <w:r>
        <w:rPr>
          <w:i/>
          <w:spacing w:val="-6"/>
        </w:rPr>
        <w:t xml:space="preserve"> </w:t>
      </w:r>
      <w:r>
        <w:rPr>
          <w:i/>
        </w:rPr>
        <w:t>seguro</w:t>
      </w:r>
      <w:r>
        <w:rPr>
          <w:i/>
          <w:spacing w:val="-6"/>
        </w:rPr>
        <w:t xml:space="preserve"> </w:t>
      </w:r>
      <w:r>
        <w:rPr>
          <w:i/>
        </w:rPr>
        <w:t>celebrado</w:t>
      </w:r>
      <w:r>
        <w:rPr>
          <w:i/>
          <w:spacing w:val="-6"/>
        </w:rPr>
        <w:t xml:space="preserve"> </w:t>
      </w:r>
      <w:r>
        <w:rPr>
          <w:i/>
        </w:rPr>
        <w:t>por</w:t>
      </w:r>
      <w:r>
        <w:rPr>
          <w:i/>
          <w:spacing w:val="-6"/>
        </w:rPr>
        <w:t xml:space="preserve"> </w:t>
      </w:r>
      <w:r>
        <w:rPr>
          <w:i/>
        </w:rPr>
        <w:t>la</w:t>
      </w:r>
      <w:r>
        <w:rPr>
          <w:i/>
          <w:spacing w:val="-6"/>
        </w:rPr>
        <w:t xml:space="preserve"> </w:t>
      </w:r>
      <w:r>
        <w:rPr>
          <w:i/>
        </w:rPr>
        <w:t>asociación</w:t>
      </w:r>
      <w:r>
        <w:rPr>
          <w:i/>
          <w:spacing w:val="-7"/>
        </w:rPr>
        <w:t xml:space="preserve"> </w:t>
      </w:r>
      <w:r>
        <w:rPr>
          <w:i/>
        </w:rPr>
        <w:t>(sic</w:t>
      </w:r>
      <w:r>
        <w:rPr>
          <w:i/>
          <w:spacing w:val="-6"/>
        </w:rPr>
        <w:t xml:space="preserve"> </w:t>
      </w:r>
      <w:r>
        <w:rPr>
          <w:i/>
        </w:rPr>
        <w:t>el</w:t>
      </w:r>
      <w:r>
        <w:rPr>
          <w:i/>
          <w:spacing w:val="-6"/>
        </w:rPr>
        <w:t xml:space="preserve"> </w:t>
      </w:r>
      <w:r>
        <w:rPr>
          <w:i/>
        </w:rPr>
        <w:t>club</w:t>
      </w:r>
      <w:r>
        <w:rPr>
          <w:i/>
          <w:spacing w:val="-6"/>
        </w:rPr>
        <w:t xml:space="preserve"> </w:t>
      </w:r>
      <w:r>
        <w:rPr>
          <w:i/>
        </w:rPr>
        <w:t>asegurado</w:t>
      </w:r>
      <w:r w:rsidR="0018085E">
        <w:rPr>
          <w:i/>
        </w:rPr>
        <w:t>r</w:t>
      </w:r>
      <w:r>
        <w:rPr>
          <w:i/>
        </w:rPr>
        <w:t>)</w:t>
      </w:r>
      <w:r>
        <w:rPr>
          <w:i/>
          <w:spacing w:val="-47"/>
        </w:rPr>
        <w:t xml:space="preserve"> </w:t>
      </w:r>
      <w:r>
        <w:rPr>
          <w:i/>
        </w:rPr>
        <w:t>se</w:t>
      </w:r>
      <w:r>
        <w:rPr>
          <w:i/>
          <w:spacing w:val="-2"/>
        </w:rPr>
        <w:t xml:space="preserve"> </w:t>
      </w:r>
      <w:r>
        <w:rPr>
          <w:i/>
        </w:rPr>
        <w:t>regirán y</w:t>
      </w:r>
      <w:r>
        <w:rPr>
          <w:i/>
          <w:spacing w:val="-1"/>
        </w:rPr>
        <w:t xml:space="preserve"> </w:t>
      </w:r>
      <w:r>
        <w:rPr>
          <w:i/>
        </w:rPr>
        <w:t>serán</w:t>
      </w:r>
      <w:r>
        <w:rPr>
          <w:i/>
          <w:spacing w:val="-1"/>
        </w:rPr>
        <w:t xml:space="preserve"> </w:t>
      </w:r>
      <w:r>
        <w:rPr>
          <w:i/>
        </w:rPr>
        <w:t>interpretadas</w:t>
      </w:r>
      <w:r>
        <w:rPr>
          <w:i/>
          <w:spacing w:val="-1"/>
        </w:rPr>
        <w:t xml:space="preserve"> </w:t>
      </w:r>
      <w:r>
        <w:rPr>
          <w:i/>
        </w:rPr>
        <w:t>de acuerdo con</w:t>
      </w:r>
      <w:r>
        <w:rPr>
          <w:i/>
          <w:spacing w:val="-1"/>
        </w:rPr>
        <w:t xml:space="preserve"> </w:t>
      </w:r>
      <w:r>
        <w:rPr>
          <w:i/>
        </w:rPr>
        <w:t>la ley</w:t>
      </w:r>
      <w:r>
        <w:rPr>
          <w:i/>
          <w:spacing w:val="-1"/>
        </w:rPr>
        <w:t xml:space="preserve"> </w:t>
      </w:r>
      <w:r>
        <w:rPr>
          <w:i/>
        </w:rPr>
        <w:t>inglesa</w:t>
      </w:r>
      <w:r>
        <w:t>”.</w:t>
      </w:r>
    </w:p>
    <w:p w14:paraId="59BDD88B" w14:textId="2741B5AA" w:rsidR="009666AA" w:rsidRDefault="009666AA" w:rsidP="009666AA">
      <w:pPr>
        <w:spacing w:line="261" w:lineRule="auto"/>
        <w:ind w:left="825" w:right="112" w:firstLine="453"/>
        <w:jc w:val="both"/>
      </w:pPr>
      <w:r>
        <w:t>“</w:t>
      </w:r>
      <w:r>
        <w:rPr>
          <w:i/>
        </w:rPr>
        <w:t>Si</w:t>
      </w:r>
      <w:r>
        <w:rPr>
          <w:i/>
          <w:spacing w:val="-3"/>
        </w:rPr>
        <w:t xml:space="preserve"> </w:t>
      </w:r>
      <w:r>
        <w:rPr>
          <w:i/>
        </w:rPr>
        <w:t>surgiera</w:t>
      </w:r>
      <w:r>
        <w:rPr>
          <w:i/>
          <w:spacing w:val="-2"/>
        </w:rPr>
        <w:t xml:space="preserve"> </w:t>
      </w:r>
      <w:r>
        <w:rPr>
          <w:i/>
        </w:rPr>
        <w:t>alguna</w:t>
      </w:r>
      <w:r>
        <w:rPr>
          <w:i/>
          <w:spacing w:val="-2"/>
        </w:rPr>
        <w:t xml:space="preserve"> </w:t>
      </w:r>
      <w:r>
        <w:rPr>
          <w:i/>
        </w:rPr>
        <w:t>diferencia</w:t>
      </w:r>
      <w:r>
        <w:rPr>
          <w:i/>
          <w:spacing w:val="-3"/>
        </w:rPr>
        <w:t xml:space="preserve"> </w:t>
      </w:r>
      <w:r>
        <w:rPr>
          <w:i/>
        </w:rPr>
        <w:t>o</w:t>
      </w:r>
      <w:r>
        <w:rPr>
          <w:i/>
          <w:spacing w:val="-2"/>
        </w:rPr>
        <w:t xml:space="preserve"> </w:t>
      </w:r>
      <w:r>
        <w:rPr>
          <w:i/>
        </w:rPr>
        <w:t>disputa</w:t>
      </w:r>
      <w:r>
        <w:rPr>
          <w:i/>
          <w:spacing w:val="-2"/>
        </w:rPr>
        <w:t xml:space="preserve"> </w:t>
      </w:r>
      <w:r>
        <w:rPr>
          <w:i/>
        </w:rPr>
        <w:t>entre</w:t>
      </w:r>
      <w:r>
        <w:rPr>
          <w:i/>
          <w:spacing w:val="-2"/>
        </w:rPr>
        <w:t xml:space="preserve"> </w:t>
      </w:r>
      <w:r>
        <w:rPr>
          <w:i/>
        </w:rPr>
        <w:t>el</w:t>
      </w:r>
      <w:r>
        <w:rPr>
          <w:i/>
          <w:spacing w:val="-3"/>
        </w:rPr>
        <w:t xml:space="preserve"> </w:t>
      </w:r>
      <w:r>
        <w:rPr>
          <w:i/>
        </w:rPr>
        <w:t>asegurado</w:t>
      </w:r>
      <w:r>
        <w:rPr>
          <w:i/>
          <w:spacing w:val="-2"/>
        </w:rPr>
        <w:t xml:space="preserve"> </w:t>
      </w:r>
      <w:r>
        <w:rPr>
          <w:i/>
        </w:rPr>
        <w:t>(o</w:t>
      </w:r>
      <w:r>
        <w:rPr>
          <w:i/>
          <w:spacing w:val="-2"/>
        </w:rPr>
        <w:t xml:space="preserve"> </w:t>
      </w:r>
      <w:r>
        <w:rPr>
          <w:i/>
        </w:rPr>
        <w:t>cualquier</w:t>
      </w:r>
      <w:r>
        <w:rPr>
          <w:i/>
          <w:spacing w:val="-3"/>
        </w:rPr>
        <w:t xml:space="preserve"> </w:t>
      </w:r>
      <w:r>
        <w:rPr>
          <w:i/>
        </w:rPr>
        <w:t>otro</w:t>
      </w:r>
      <w:r>
        <w:rPr>
          <w:i/>
          <w:spacing w:val="-2"/>
        </w:rPr>
        <w:t xml:space="preserve"> </w:t>
      </w:r>
      <w:r>
        <w:rPr>
          <w:i/>
        </w:rPr>
        <w:t>persona)</w:t>
      </w:r>
      <w:r>
        <w:rPr>
          <w:i/>
          <w:spacing w:val="-2"/>
        </w:rPr>
        <w:t xml:space="preserve"> </w:t>
      </w:r>
      <w:r>
        <w:rPr>
          <w:i/>
        </w:rPr>
        <w:t>y</w:t>
      </w:r>
      <w:r>
        <w:rPr>
          <w:i/>
          <w:spacing w:val="-2"/>
        </w:rPr>
        <w:t xml:space="preserve"> </w:t>
      </w:r>
      <w:r>
        <w:rPr>
          <w:i/>
        </w:rPr>
        <w:t>la</w:t>
      </w:r>
      <w:r>
        <w:rPr>
          <w:i/>
          <w:spacing w:val="-3"/>
        </w:rPr>
        <w:t xml:space="preserve"> </w:t>
      </w:r>
      <w:r>
        <w:rPr>
          <w:i/>
        </w:rPr>
        <w:t>asoci</w:t>
      </w:r>
      <w:r w:rsidR="00C508F6">
        <w:rPr>
          <w:i/>
        </w:rPr>
        <w:t>ac</w:t>
      </w:r>
      <w:r>
        <w:rPr>
          <w:i/>
        </w:rPr>
        <w:t>ión</w:t>
      </w:r>
      <w:r>
        <w:rPr>
          <w:i/>
          <w:spacing w:val="-10"/>
        </w:rPr>
        <w:t xml:space="preserve"> </w:t>
      </w:r>
      <w:r>
        <w:rPr>
          <w:i/>
        </w:rPr>
        <w:t>por</w:t>
      </w:r>
      <w:r>
        <w:rPr>
          <w:i/>
          <w:spacing w:val="-9"/>
        </w:rPr>
        <w:t xml:space="preserve"> </w:t>
      </w:r>
      <w:r>
        <w:rPr>
          <w:i/>
        </w:rPr>
        <w:t>o</w:t>
      </w:r>
      <w:r>
        <w:rPr>
          <w:i/>
          <w:spacing w:val="-10"/>
        </w:rPr>
        <w:t xml:space="preserve"> </w:t>
      </w:r>
      <w:r>
        <w:rPr>
          <w:i/>
        </w:rPr>
        <w:t>en</w:t>
      </w:r>
      <w:r>
        <w:rPr>
          <w:i/>
          <w:spacing w:val="-9"/>
        </w:rPr>
        <w:t xml:space="preserve"> </w:t>
      </w:r>
      <w:r>
        <w:rPr>
          <w:i/>
        </w:rPr>
        <w:t>conexión</w:t>
      </w:r>
      <w:r>
        <w:rPr>
          <w:i/>
          <w:spacing w:val="-10"/>
        </w:rPr>
        <w:t xml:space="preserve"> </w:t>
      </w:r>
      <w:r>
        <w:rPr>
          <w:i/>
        </w:rPr>
        <w:t>con</w:t>
      </w:r>
      <w:r>
        <w:rPr>
          <w:i/>
          <w:spacing w:val="-9"/>
        </w:rPr>
        <w:t xml:space="preserve"> </w:t>
      </w:r>
      <w:r>
        <w:rPr>
          <w:i/>
        </w:rPr>
        <w:t>estas</w:t>
      </w:r>
      <w:r>
        <w:rPr>
          <w:i/>
          <w:spacing w:val="-9"/>
        </w:rPr>
        <w:t xml:space="preserve"> </w:t>
      </w:r>
      <w:r>
        <w:rPr>
          <w:i/>
        </w:rPr>
        <w:t>Reglas,</w:t>
      </w:r>
      <w:r>
        <w:rPr>
          <w:i/>
          <w:spacing w:val="-10"/>
        </w:rPr>
        <w:t xml:space="preserve"> </w:t>
      </w:r>
      <w:r>
        <w:rPr>
          <w:i/>
        </w:rPr>
        <w:t>o</w:t>
      </w:r>
      <w:r>
        <w:rPr>
          <w:i/>
          <w:spacing w:val="-9"/>
        </w:rPr>
        <w:t xml:space="preserve"> </w:t>
      </w:r>
      <w:r>
        <w:rPr>
          <w:i/>
        </w:rPr>
        <w:t>por</w:t>
      </w:r>
      <w:r>
        <w:rPr>
          <w:i/>
          <w:spacing w:val="-10"/>
        </w:rPr>
        <w:t xml:space="preserve"> </w:t>
      </w:r>
      <w:r>
        <w:rPr>
          <w:i/>
        </w:rPr>
        <w:t>cualquier</w:t>
      </w:r>
      <w:r>
        <w:rPr>
          <w:i/>
          <w:spacing w:val="-9"/>
        </w:rPr>
        <w:t xml:space="preserve"> </w:t>
      </w:r>
      <w:r>
        <w:rPr>
          <w:i/>
        </w:rPr>
        <w:t>contrato</w:t>
      </w:r>
      <w:r>
        <w:rPr>
          <w:i/>
          <w:spacing w:val="-9"/>
        </w:rPr>
        <w:t xml:space="preserve"> </w:t>
      </w:r>
      <w:r>
        <w:rPr>
          <w:i/>
        </w:rPr>
        <w:t>entre</w:t>
      </w:r>
      <w:r>
        <w:rPr>
          <w:i/>
          <w:spacing w:val="-10"/>
        </w:rPr>
        <w:t xml:space="preserve"> </w:t>
      </w:r>
      <w:r>
        <w:rPr>
          <w:i/>
        </w:rPr>
        <w:t>el</w:t>
      </w:r>
      <w:r>
        <w:rPr>
          <w:i/>
          <w:spacing w:val="-9"/>
        </w:rPr>
        <w:t xml:space="preserve"> </w:t>
      </w:r>
      <w:r>
        <w:rPr>
          <w:i/>
        </w:rPr>
        <w:t>asegurado</w:t>
      </w:r>
      <w:r>
        <w:rPr>
          <w:i/>
          <w:spacing w:val="-10"/>
        </w:rPr>
        <w:t xml:space="preserve"> </w:t>
      </w:r>
      <w:r>
        <w:rPr>
          <w:i/>
        </w:rPr>
        <w:t>y</w:t>
      </w:r>
      <w:r>
        <w:rPr>
          <w:i/>
          <w:spacing w:val="-9"/>
        </w:rPr>
        <w:t xml:space="preserve"> </w:t>
      </w:r>
      <w:r>
        <w:rPr>
          <w:i/>
        </w:rPr>
        <w:t>la</w:t>
      </w:r>
      <w:r>
        <w:rPr>
          <w:i/>
          <w:spacing w:val="-10"/>
        </w:rPr>
        <w:t xml:space="preserve"> </w:t>
      </w:r>
      <w:r>
        <w:rPr>
          <w:i/>
        </w:rPr>
        <w:t>asociación,</w:t>
      </w:r>
      <w:r>
        <w:rPr>
          <w:i/>
          <w:spacing w:val="-9"/>
        </w:rPr>
        <w:t xml:space="preserve"> </w:t>
      </w:r>
      <w:r>
        <w:rPr>
          <w:i/>
        </w:rPr>
        <w:t>o</w:t>
      </w:r>
      <w:r>
        <w:rPr>
          <w:i/>
          <w:spacing w:val="-9"/>
        </w:rPr>
        <w:t xml:space="preserve"> </w:t>
      </w:r>
      <w:r>
        <w:rPr>
          <w:i/>
        </w:rPr>
        <w:t>en</w:t>
      </w:r>
      <w:r>
        <w:rPr>
          <w:i/>
          <w:spacing w:val="-48"/>
        </w:rPr>
        <w:t xml:space="preserve"> </w:t>
      </w:r>
      <w:r>
        <w:rPr>
          <w:i/>
        </w:rPr>
        <w:t>cuanto a los derechos u obligaciones de la asociación o el asegurado en virtud del mismo, o en relación</w:t>
      </w:r>
      <w:r>
        <w:rPr>
          <w:i/>
          <w:spacing w:val="-47"/>
        </w:rPr>
        <w:t xml:space="preserve"> </w:t>
      </w:r>
      <w:r>
        <w:rPr>
          <w:i/>
        </w:rPr>
        <w:t>con el mismo, o con respecto a cualquier otro asunto, tal diferencia o disputa se remitirá a arbitraje en</w:t>
      </w:r>
      <w:r>
        <w:rPr>
          <w:i/>
          <w:spacing w:val="1"/>
        </w:rPr>
        <w:t xml:space="preserve"> </w:t>
      </w:r>
      <w:r>
        <w:rPr>
          <w:i/>
        </w:rPr>
        <w:t>Londres</w:t>
      </w:r>
      <w:r>
        <w:rPr>
          <w:i/>
          <w:spacing w:val="-6"/>
        </w:rPr>
        <w:t xml:space="preserve"> </w:t>
      </w:r>
      <w:r>
        <w:rPr>
          <w:i/>
        </w:rPr>
        <w:t>de</w:t>
      </w:r>
      <w:r>
        <w:rPr>
          <w:i/>
          <w:spacing w:val="-6"/>
        </w:rPr>
        <w:t xml:space="preserve"> </w:t>
      </w:r>
      <w:r>
        <w:rPr>
          <w:i/>
        </w:rPr>
        <w:t>conformidad</w:t>
      </w:r>
      <w:r>
        <w:rPr>
          <w:i/>
          <w:spacing w:val="-6"/>
        </w:rPr>
        <w:t xml:space="preserve"> </w:t>
      </w:r>
      <w:r>
        <w:rPr>
          <w:i/>
        </w:rPr>
        <w:t>con</w:t>
      </w:r>
      <w:r>
        <w:rPr>
          <w:i/>
          <w:spacing w:val="-5"/>
        </w:rPr>
        <w:t xml:space="preserve"> </w:t>
      </w:r>
      <w:r>
        <w:rPr>
          <w:i/>
        </w:rPr>
        <w:t>la</w:t>
      </w:r>
      <w:r>
        <w:rPr>
          <w:i/>
          <w:spacing w:val="-6"/>
        </w:rPr>
        <w:t xml:space="preserve"> </w:t>
      </w:r>
      <w:r>
        <w:rPr>
          <w:i/>
        </w:rPr>
        <w:t>Ley</w:t>
      </w:r>
      <w:r>
        <w:rPr>
          <w:i/>
          <w:spacing w:val="-6"/>
        </w:rPr>
        <w:t xml:space="preserve"> </w:t>
      </w:r>
      <w:r>
        <w:rPr>
          <w:i/>
        </w:rPr>
        <w:t>de</w:t>
      </w:r>
      <w:r>
        <w:rPr>
          <w:i/>
          <w:spacing w:val="-9"/>
        </w:rPr>
        <w:t xml:space="preserve"> </w:t>
      </w:r>
      <w:r>
        <w:rPr>
          <w:i/>
        </w:rPr>
        <w:t>Arbitraje</w:t>
      </w:r>
      <w:r>
        <w:rPr>
          <w:i/>
          <w:spacing w:val="-6"/>
        </w:rPr>
        <w:t xml:space="preserve"> </w:t>
      </w:r>
      <w:r>
        <w:rPr>
          <w:i/>
        </w:rPr>
        <w:t>de</w:t>
      </w:r>
      <w:r>
        <w:rPr>
          <w:i/>
          <w:spacing w:val="-6"/>
        </w:rPr>
        <w:t xml:space="preserve"> </w:t>
      </w:r>
      <w:r>
        <w:rPr>
          <w:i/>
        </w:rPr>
        <w:t>1996</w:t>
      </w:r>
      <w:r>
        <w:rPr>
          <w:i/>
          <w:spacing w:val="-5"/>
        </w:rPr>
        <w:t xml:space="preserve"> </w:t>
      </w:r>
      <w:r>
        <w:rPr>
          <w:i/>
        </w:rPr>
        <w:t>y</w:t>
      </w:r>
      <w:r>
        <w:rPr>
          <w:i/>
          <w:spacing w:val="-6"/>
        </w:rPr>
        <w:t xml:space="preserve"> </w:t>
      </w:r>
      <w:r>
        <w:rPr>
          <w:i/>
        </w:rPr>
        <w:t>cualquier</w:t>
      </w:r>
      <w:r>
        <w:rPr>
          <w:i/>
          <w:spacing w:val="-6"/>
        </w:rPr>
        <w:t xml:space="preserve"> </w:t>
      </w:r>
      <w:r>
        <w:rPr>
          <w:i/>
        </w:rPr>
        <w:t>modificación</w:t>
      </w:r>
      <w:r>
        <w:rPr>
          <w:i/>
          <w:spacing w:val="-5"/>
        </w:rPr>
        <w:t xml:space="preserve"> </w:t>
      </w:r>
      <w:r>
        <w:rPr>
          <w:i/>
        </w:rPr>
        <w:t>legal</w:t>
      </w:r>
      <w:r>
        <w:rPr>
          <w:i/>
          <w:spacing w:val="-6"/>
        </w:rPr>
        <w:t xml:space="preserve"> </w:t>
      </w:r>
      <w:r>
        <w:rPr>
          <w:i/>
        </w:rPr>
        <w:t>o</w:t>
      </w:r>
      <w:r>
        <w:rPr>
          <w:i/>
          <w:spacing w:val="-6"/>
        </w:rPr>
        <w:t xml:space="preserve"> </w:t>
      </w:r>
      <w:r>
        <w:rPr>
          <w:i/>
        </w:rPr>
        <w:t>nueva</w:t>
      </w:r>
      <w:r>
        <w:rPr>
          <w:i/>
          <w:spacing w:val="-5"/>
        </w:rPr>
        <w:t xml:space="preserve"> </w:t>
      </w:r>
      <w:r>
        <w:rPr>
          <w:i/>
        </w:rPr>
        <w:t>promulgación de la misma salvo en la medida necesaria para dar efecto a las disposiciones de esta Regla. El</w:t>
      </w:r>
      <w:r>
        <w:rPr>
          <w:i/>
          <w:spacing w:val="1"/>
        </w:rPr>
        <w:t xml:space="preserve"> </w:t>
      </w:r>
      <w:r>
        <w:rPr>
          <w:i/>
        </w:rPr>
        <w:t>arbitraje</w:t>
      </w:r>
      <w:r>
        <w:rPr>
          <w:i/>
          <w:spacing w:val="-2"/>
        </w:rPr>
        <w:t xml:space="preserve"> </w:t>
      </w:r>
      <w:r>
        <w:rPr>
          <w:i/>
        </w:rPr>
        <w:t>se</w:t>
      </w:r>
      <w:r>
        <w:rPr>
          <w:i/>
          <w:spacing w:val="-2"/>
        </w:rPr>
        <w:t xml:space="preserve"> </w:t>
      </w:r>
      <w:r>
        <w:rPr>
          <w:i/>
        </w:rPr>
        <w:t>llevará</w:t>
      </w:r>
      <w:r>
        <w:rPr>
          <w:i/>
          <w:spacing w:val="-2"/>
        </w:rPr>
        <w:t xml:space="preserve"> </w:t>
      </w:r>
      <w:r>
        <w:rPr>
          <w:i/>
        </w:rPr>
        <w:t>a</w:t>
      </w:r>
      <w:r>
        <w:rPr>
          <w:i/>
          <w:spacing w:val="-1"/>
        </w:rPr>
        <w:t xml:space="preserve"> </w:t>
      </w:r>
      <w:r>
        <w:rPr>
          <w:i/>
        </w:rPr>
        <w:t>cabo</w:t>
      </w:r>
      <w:r>
        <w:rPr>
          <w:i/>
          <w:spacing w:val="-2"/>
        </w:rPr>
        <w:t xml:space="preserve"> </w:t>
      </w:r>
      <w:r>
        <w:rPr>
          <w:i/>
        </w:rPr>
        <w:t>de</w:t>
      </w:r>
      <w:r>
        <w:rPr>
          <w:i/>
          <w:spacing w:val="-1"/>
        </w:rPr>
        <w:t xml:space="preserve"> </w:t>
      </w:r>
      <w:r>
        <w:rPr>
          <w:i/>
        </w:rPr>
        <w:t>conformidad</w:t>
      </w:r>
      <w:r>
        <w:rPr>
          <w:i/>
          <w:spacing w:val="-2"/>
        </w:rPr>
        <w:t xml:space="preserve"> </w:t>
      </w:r>
      <w:r>
        <w:rPr>
          <w:i/>
        </w:rPr>
        <w:t>con</w:t>
      </w:r>
      <w:r>
        <w:rPr>
          <w:i/>
          <w:spacing w:val="-1"/>
        </w:rPr>
        <w:t xml:space="preserve"> </w:t>
      </w:r>
      <w:r>
        <w:rPr>
          <w:i/>
        </w:rPr>
        <w:t>el</w:t>
      </w:r>
      <w:r>
        <w:rPr>
          <w:i/>
          <w:spacing w:val="-2"/>
        </w:rPr>
        <w:t xml:space="preserve"> </w:t>
      </w:r>
      <w:r>
        <w:rPr>
          <w:i/>
        </w:rPr>
        <w:t>Londres</w:t>
      </w:r>
      <w:r>
        <w:rPr>
          <w:i/>
          <w:spacing w:val="-5"/>
        </w:rPr>
        <w:t xml:space="preserve"> </w:t>
      </w:r>
      <w:r>
        <w:rPr>
          <w:i/>
        </w:rPr>
        <w:t>Asociación</w:t>
      </w:r>
      <w:r>
        <w:rPr>
          <w:i/>
          <w:spacing w:val="-1"/>
        </w:rPr>
        <w:t xml:space="preserve"> </w:t>
      </w:r>
      <w:r>
        <w:rPr>
          <w:i/>
        </w:rPr>
        <w:t>de</w:t>
      </w:r>
      <w:r>
        <w:rPr>
          <w:i/>
          <w:spacing w:val="-2"/>
        </w:rPr>
        <w:t xml:space="preserve"> </w:t>
      </w:r>
      <w:r>
        <w:rPr>
          <w:i/>
        </w:rPr>
        <w:t>Árbitros</w:t>
      </w:r>
      <w:r>
        <w:rPr>
          <w:i/>
          <w:spacing w:val="-1"/>
        </w:rPr>
        <w:t xml:space="preserve"> </w:t>
      </w:r>
      <w:r>
        <w:rPr>
          <w:i/>
        </w:rPr>
        <w:t>Marítimos</w:t>
      </w:r>
      <w:r>
        <w:rPr>
          <w:i/>
          <w:spacing w:val="-2"/>
        </w:rPr>
        <w:t xml:space="preserve"> </w:t>
      </w:r>
      <w:r>
        <w:rPr>
          <w:i/>
        </w:rPr>
        <w:t>(LMAA)</w:t>
      </w:r>
      <w:r>
        <w:t>”.</w:t>
      </w:r>
    </w:p>
    <w:p w14:paraId="585CF3FC" w14:textId="428AB5DC" w:rsidR="009666AA" w:rsidRDefault="009666AA" w:rsidP="009666AA">
      <w:pPr>
        <w:widowControl w:val="0"/>
        <w:tabs>
          <w:tab w:val="left" w:pos="1058"/>
        </w:tabs>
        <w:autoSpaceDE w:val="0"/>
        <w:autoSpaceDN w:val="0"/>
        <w:spacing w:after="0" w:line="256" w:lineRule="auto"/>
        <w:ind w:right="114"/>
        <w:jc w:val="both"/>
      </w:pPr>
      <w:r w:rsidRPr="009666AA">
        <w:rPr>
          <w:sz w:val="22"/>
        </w:rPr>
        <w:t>Se trata precisamente del club P&amp;I que aseguraba la responsabilidad civil del buque “Prestige”</w:t>
      </w:r>
      <w:r>
        <w:rPr>
          <w:sz w:val="22"/>
        </w:rPr>
        <w:t>.</w:t>
      </w:r>
      <w:r w:rsidRPr="009666AA">
        <w:rPr>
          <w:sz w:val="22"/>
        </w:rPr>
        <w:t xml:space="preserve"> La cláusula del seguro P&amp;I del club P&amp;I The</w:t>
      </w:r>
      <w:r w:rsidRPr="009666AA">
        <w:rPr>
          <w:spacing w:val="1"/>
          <w:sz w:val="22"/>
        </w:rPr>
        <w:t xml:space="preserve"> </w:t>
      </w:r>
      <w:r w:rsidRPr="009666AA">
        <w:rPr>
          <w:sz w:val="22"/>
        </w:rPr>
        <w:t>London</w:t>
      </w:r>
      <w:r w:rsidRPr="009666AA">
        <w:rPr>
          <w:spacing w:val="-10"/>
          <w:sz w:val="22"/>
        </w:rPr>
        <w:t xml:space="preserve"> </w:t>
      </w:r>
      <w:r w:rsidRPr="009666AA">
        <w:rPr>
          <w:sz w:val="22"/>
        </w:rPr>
        <w:t>tenía</w:t>
      </w:r>
      <w:r w:rsidRPr="009666AA">
        <w:rPr>
          <w:spacing w:val="-11"/>
          <w:sz w:val="22"/>
        </w:rPr>
        <w:t xml:space="preserve"> </w:t>
      </w:r>
      <w:r w:rsidRPr="009666AA">
        <w:rPr>
          <w:sz w:val="22"/>
        </w:rPr>
        <w:t>entonces</w:t>
      </w:r>
      <w:r w:rsidRPr="009666AA">
        <w:rPr>
          <w:spacing w:val="-10"/>
          <w:sz w:val="22"/>
        </w:rPr>
        <w:t xml:space="preserve"> </w:t>
      </w:r>
      <w:r w:rsidRPr="009666AA">
        <w:rPr>
          <w:sz w:val="22"/>
        </w:rPr>
        <w:t>un</w:t>
      </w:r>
      <w:r w:rsidRPr="009666AA">
        <w:rPr>
          <w:spacing w:val="-10"/>
          <w:sz w:val="22"/>
        </w:rPr>
        <w:t xml:space="preserve"> </w:t>
      </w:r>
      <w:r w:rsidRPr="009666AA">
        <w:rPr>
          <w:sz w:val="22"/>
        </w:rPr>
        <w:t>redactado</w:t>
      </w:r>
      <w:r w:rsidRPr="009666AA">
        <w:rPr>
          <w:spacing w:val="-11"/>
          <w:sz w:val="22"/>
        </w:rPr>
        <w:t xml:space="preserve"> </w:t>
      </w:r>
      <w:r w:rsidRPr="009666AA">
        <w:rPr>
          <w:sz w:val="22"/>
        </w:rPr>
        <w:t>ligeramente</w:t>
      </w:r>
      <w:r w:rsidRPr="009666AA">
        <w:rPr>
          <w:spacing w:val="-11"/>
          <w:sz w:val="22"/>
        </w:rPr>
        <w:t xml:space="preserve"> </w:t>
      </w:r>
      <w:r w:rsidRPr="009666AA">
        <w:rPr>
          <w:sz w:val="22"/>
        </w:rPr>
        <w:lastRenderedPageBreak/>
        <w:t>distinto,</w:t>
      </w:r>
      <w:r w:rsidRPr="009666AA">
        <w:rPr>
          <w:spacing w:val="-11"/>
          <w:sz w:val="22"/>
        </w:rPr>
        <w:t xml:space="preserve"> </w:t>
      </w:r>
      <w:r w:rsidRPr="009666AA">
        <w:rPr>
          <w:sz w:val="22"/>
        </w:rPr>
        <w:t>pero</w:t>
      </w:r>
      <w:r w:rsidRPr="009666AA">
        <w:rPr>
          <w:spacing w:val="-10"/>
          <w:sz w:val="22"/>
        </w:rPr>
        <w:t xml:space="preserve"> </w:t>
      </w:r>
      <w:r w:rsidRPr="009666AA">
        <w:rPr>
          <w:sz w:val="22"/>
        </w:rPr>
        <w:t>la</w:t>
      </w:r>
      <w:r w:rsidRPr="009666AA">
        <w:rPr>
          <w:spacing w:val="-10"/>
          <w:sz w:val="22"/>
        </w:rPr>
        <w:t xml:space="preserve"> </w:t>
      </w:r>
      <w:r w:rsidRPr="009666AA">
        <w:rPr>
          <w:sz w:val="22"/>
        </w:rPr>
        <w:t>misma</w:t>
      </w:r>
      <w:r w:rsidRPr="009666AA">
        <w:rPr>
          <w:spacing w:val="-10"/>
          <w:sz w:val="22"/>
        </w:rPr>
        <w:t xml:space="preserve"> </w:t>
      </w:r>
      <w:r w:rsidRPr="009666AA">
        <w:rPr>
          <w:sz w:val="22"/>
        </w:rPr>
        <w:t>finalidad:</w:t>
      </w:r>
      <w:r w:rsidRPr="009666AA">
        <w:rPr>
          <w:spacing w:val="-11"/>
          <w:sz w:val="22"/>
        </w:rPr>
        <w:t xml:space="preserve"> </w:t>
      </w:r>
      <w:r w:rsidRPr="009666AA">
        <w:rPr>
          <w:sz w:val="22"/>
        </w:rPr>
        <w:t>sumisión</w:t>
      </w:r>
      <w:r w:rsidRPr="009666AA">
        <w:rPr>
          <w:spacing w:val="-10"/>
          <w:sz w:val="22"/>
        </w:rPr>
        <w:t xml:space="preserve"> </w:t>
      </w:r>
      <w:r w:rsidRPr="009666AA">
        <w:rPr>
          <w:sz w:val="22"/>
        </w:rPr>
        <w:t>a</w:t>
      </w:r>
      <w:r w:rsidRPr="009666AA">
        <w:rPr>
          <w:spacing w:val="-10"/>
          <w:sz w:val="22"/>
        </w:rPr>
        <w:t xml:space="preserve"> </w:t>
      </w:r>
      <w:r w:rsidRPr="009666AA">
        <w:rPr>
          <w:sz w:val="22"/>
        </w:rPr>
        <w:t>arbitraje</w:t>
      </w:r>
      <w:r>
        <w:rPr>
          <w:spacing w:val="-11"/>
          <w:sz w:val="22"/>
        </w:rPr>
        <w:t xml:space="preserve"> en Londres y s</w:t>
      </w:r>
      <w:r w:rsidRPr="009666AA">
        <w:rPr>
          <w:sz w:val="22"/>
        </w:rPr>
        <w:t>elección</w:t>
      </w:r>
      <w:r w:rsidRPr="009666AA">
        <w:rPr>
          <w:spacing w:val="-11"/>
          <w:sz w:val="22"/>
        </w:rPr>
        <w:t xml:space="preserve"> </w:t>
      </w:r>
      <w:r w:rsidRPr="009666AA">
        <w:rPr>
          <w:sz w:val="22"/>
        </w:rPr>
        <w:t>del</w:t>
      </w:r>
      <w:r w:rsidRPr="009666AA">
        <w:rPr>
          <w:spacing w:val="-11"/>
          <w:sz w:val="22"/>
        </w:rPr>
        <w:t xml:space="preserve"> </w:t>
      </w:r>
      <w:r w:rsidRPr="009666AA">
        <w:rPr>
          <w:sz w:val="22"/>
        </w:rPr>
        <w:t>Derecho</w:t>
      </w:r>
      <w:r w:rsidRPr="009666AA">
        <w:rPr>
          <w:spacing w:val="-11"/>
          <w:sz w:val="22"/>
        </w:rPr>
        <w:t xml:space="preserve"> </w:t>
      </w:r>
      <w:r w:rsidRPr="009666AA">
        <w:rPr>
          <w:sz w:val="22"/>
        </w:rPr>
        <w:t>inglés</w:t>
      </w:r>
      <w:r w:rsidRPr="009666AA">
        <w:rPr>
          <w:spacing w:val="-10"/>
          <w:sz w:val="22"/>
        </w:rPr>
        <w:t xml:space="preserve"> </w:t>
      </w:r>
      <w:r w:rsidRPr="009666AA">
        <w:rPr>
          <w:sz w:val="22"/>
        </w:rPr>
        <w:t>para</w:t>
      </w:r>
      <w:r w:rsidRPr="009666AA">
        <w:rPr>
          <w:spacing w:val="-11"/>
          <w:sz w:val="22"/>
        </w:rPr>
        <w:t xml:space="preserve"> </w:t>
      </w:r>
      <w:r w:rsidRPr="009666AA">
        <w:rPr>
          <w:sz w:val="22"/>
        </w:rPr>
        <w:t>solventar</w:t>
      </w:r>
      <w:r w:rsidRPr="009666AA">
        <w:rPr>
          <w:spacing w:val="-11"/>
          <w:sz w:val="22"/>
        </w:rPr>
        <w:t xml:space="preserve"> </w:t>
      </w:r>
      <w:r w:rsidRPr="009666AA">
        <w:rPr>
          <w:sz w:val="22"/>
        </w:rPr>
        <w:t>los</w:t>
      </w:r>
      <w:r w:rsidRPr="009666AA">
        <w:rPr>
          <w:spacing w:val="-11"/>
          <w:sz w:val="22"/>
        </w:rPr>
        <w:t xml:space="preserve"> </w:t>
      </w:r>
      <w:r w:rsidRPr="009666AA">
        <w:rPr>
          <w:sz w:val="22"/>
        </w:rPr>
        <w:t>litigios</w:t>
      </w:r>
      <w:r w:rsidRPr="009666AA">
        <w:rPr>
          <w:spacing w:val="-10"/>
          <w:sz w:val="22"/>
        </w:rPr>
        <w:t xml:space="preserve"> </w:t>
      </w:r>
      <w:r w:rsidRPr="009666AA">
        <w:rPr>
          <w:sz w:val="22"/>
        </w:rPr>
        <w:t>entre</w:t>
      </w:r>
      <w:r w:rsidRPr="009666AA">
        <w:rPr>
          <w:spacing w:val="-11"/>
          <w:sz w:val="22"/>
        </w:rPr>
        <w:t xml:space="preserve"> </w:t>
      </w:r>
      <w:r w:rsidRPr="009666AA">
        <w:rPr>
          <w:sz w:val="22"/>
        </w:rPr>
        <w:t>el</w:t>
      </w:r>
      <w:r w:rsidRPr="009666AA">
        <w:rPr>
          <w:spacing w:val="-11"/>
          <w:sz w:val="22"/>
        </w:rPr>
        <w:t xml:space="preserve"> </w:t>
      </w:r>
      <w:r w:rsidRPr="009666AA">
        <w:rPr>
          <w:sz w:val="22"/>
        </w:rPr>
        <w:t>asegurado</w:t>
      </w:r>
      <w:r w:rsidRPr="009666AA">
        <w:rPr>
          <w:spacing w:val="-11"/>
          <w:sz w:val="22"/>
        </w:rPr>
        <w:t xml:space="preserve"> </w:t>
      </w:r>
      <w:r w:rsidRPr="009666AA">
        <w:rPr>
          <w:sz w:val="22"/>
        </w:rPr>
        <w:t>y</w:t>
      </w:r>
      <w:r w:rsidRPr="009666AA">
        <w:rPr>
          <w:spacing w:val="-10"/>
          <w:sz w:val="22"/>
        </w:rPr>
        <w:t xml:space="preserve"> </w:t>
      </w:r>
      <w:r w:rsidRPr="009666AA">
        <w:rPr>
          <w:sz w:val="22"/>
        </w:rPr>
        <w:t>el</w:t>
      </w:r>
      <w:r w:rsidRPr="009666AA">
        <w:rPr>
          <w:spacing w:val="-11"/>
          <w:sz w:val="22"/>
        </w:rPr>
        <w:t xml:space="preserve"> </w:t>
      </w:r>
      <w:r w:rsidRPr="009666AA">
        <w:rPr>
          <w:sz w:val="22"/>
        </w:rPr>
        <w:t>club</w:t>
      </w:r>
      <w:r w:rsidRPr="009666AA">
        <w:rPr>
          <w:spacing w:val="-11"/>
          <w:sz w:val="22"/>
        </w:rPr>
        <w:t xml:space="preserve"> </w:t>
      </w:r>
      <w:r w:rsidRPr="009666AA">
        <w:rPr>
          <w:sz w:val="22"/>
        </w:rPr>
        <w:t>P&amp;I</w:t>
      </w:r>
      <w:r w:rsidRPr="009666AA">
        <w:rPr>
          <w:spacing w:val="-10"/>
          <w:sz w:val="22"/>
        </w:rPr>
        <w:t xml:space="preserve"> </w:t>
      </w:r>
      <w:r w:rsidRPr="009666AA">
        <w:rPr>
          <w:sz w:val="22"/>
        </w:rPr>
        <w:t>como</w:t>
      </w:r>
      <w:r w:rsidRPr="009666AA">
        <w:rPr>
          <w:spacing w:val="-11"/>
          <w:sz w:val="22"/>
        </w:rPr>
        <w:t xml:space="preserve"> </w:t>
      </w:r>
      <w:r w:rsidRPr="009666AA">
        <w:rPr>
          <w:sz w:val="22"/>
        </w:rPr>
        <w:t>asegurador.</w:t>
      </w:r>
      <w:r w:rsidRPr="009666AA">
        <w:t xml:space="preserve"> </w:t>
      </w:r>
      <w:r>
        <w:rPr>
          <w:sz w:val="22"/>
        </w:rPr>
        <w:t>La cuestión</w:t>
      </w:r>
      <w:r w:rsidRPr="009666AA">
        <w:rPr>
          <w:sz w:val="22"/>
        </w:rPr>
        <w:t xml:space="preserve"> </w:t>
      </w:r>
      <w:r>
        <w:rPr>
          <w:sz w:val="22"/>
        </w:rPr>
        <w:t xml:space="preserve">delicada y litigiosa es la </w:t>
      </w:r>
      <w:r w:rsidRPr="009666AA">
        <w:rPr>
          <w:sz w:val="22"/>
        </w:rPr>
        <w:t>extensión subjetiva del convenio arbitral del seguro P&amp;I al tercero que ejerce la acción directa contra el club P&amp;I para reclamarle la indemnización económica por responsabilidad civil del armador o fletador asegurado.</w:t>
      </w:r>
    </w:p>
    <w:p w14:paraId="4D76309D" w14:textId="454B1A4A" w:rsidR="009666AA" w:rsidRDefault="009666AA" w:rsidP="009666AA">
      <w:pPr>
        <w:pStyle w:val="Textonotapie"/>
        <w:spacing w:before="120" w:after="120"/>
        <w:jc w:val="both"/>
        <w:rPr>
          <w:rFonts w:cs="Times New Roman"/>
          <w:sz w:val="24"/>
          <w:szCs w:val="24"/>
          <w:lang w:val="es-ES"/>
        </w:rPr>
      </w:pPr>
      <w:r w:rsidRPr="009666AA">
        <w:rPr>
          <w:rFonts w:cs="Times New Roman"/>
          <w:sz w:val="24"/>
          <w:szCs w:val="24"/>
          <w:lang w:val="es-ES"/>
        </w:rPr>
        <w:t>El Tribunal de Justicia de la Unión Europea niega la extensión subjetiva del convenio arbitral, usual en los seguros P&amp;I, al tercero perjudicado que reclama directamente la indemnización al club P&amp;I. Según su jurisprudencia consolidada en los asuntos Assens Havn (2017)</w:t>
      </w:r>
      <w:r w:rsidR="00C508F6">
        <w:rPr>
          <w:rStyle w:val="Refdenotaalpie"/>
          <w:rFonts w:cs="Times New Roman"/>
          <w:sz w:val="24"/>
          <w:szCs w:val="24"/>
          <w:lang w:val="es-ES"/>
        </w:rPr>
        <w:footnoteReference w:id="40"/>
      </w:r>
      <w:r w:rsidRPr="009666AA">
        <w:rPr>
          <w:rFonts w:cs="Times New Roman"/>
          <w:sz w:val="24"/>
          <w:szCs w:val="24"/>
          <w:lang w:val="es-ES"/>
        </w:rPr>
        <w:t xml:space="preserve"> y Prestige (2022), para el Reglamento (CE) 44/2001 establece que el tercero perjudicado no está vinculado por la cláusula compromisoria del contrato de seguro marítimo entre el asegurador y el asegurado responsable civil del daño. Esta regla de no vinculación a otros tribunales distintos de los que resulten de la aplicación del derogado Reglamento (CE) 44/2001 rige tanto si se trata de tribunales judiciales (caso Assens Havn), como de tribunales arbitrales (caso Prestige). Estas mismas conclusiones han de extraerse del vigente Reglamento (UE) 1215/2012.</w:t>
      </w:r>
      <w:r>
        <w:rPr>
          <w:rFonts w:cs="Times New Roman"/>
          <w:sz w:val="24"/>
          <w:szCs w:val="24"/>
          <w:lang w:val="es-ES"/>
        </w:rPr>
        <w:t xml:space="preserve"> </w:t>
      </w:r>
      <w:r w:rsidRPr="009666AA">
        <w:rPr>
          <w:rFonts w:cs="Times New Roman"/>
          <w:sz w:val="24"/>
          <w:szCs w:val="24"/>
          <w:lang w:val="es-ES"/>
        </w:rPr>
        <w:t xml:space="preserve">El TJUE mantiene que son preferentes en beneficio del tercero perjudicado y frente a la cláusula arbitral del seguro, las normas de distribución de competencia judicial del sistema </w:t>
      </w:r>
      <w:r w:rsidRPr="00342481">
        <w:rPr>
          <w:rFonts w:cs="Times New Roman"/>
          <w:i/>
          <w:iCs/>
          <w:sz w:val="24"/>
          <w:szCs w:val="24"/>
          <w:lang w:val="es-ES"/>
        </w:rPr>
        <w:t>Bruselas</w:t>
      </w:r>
      <w:r w:rsidRPr="009666AA">
        <w:rPr>
          <w:rFonts w:cs="Times New Roman"/>
          <w:sz w:val="24"/>
          <w:szCs w:val="24"/>
          <w:lang w:val="es-ES"/>
        </w:rPr>
        <w:t>. Ello conduce a la progresiva reducción del ámbito arbitral en beneficio de los criterios de competencia de los Reglamentos Bruselas I y Bruselas I bis</w:t>
      </w:r>
      <w:r w:rsidR="00342481" w:rsidRPr="00342481">
        <w:rPr>
          <w:position w:val="7"/>
          <w:sz w:val="12"/>
          <w:lang w:val="es-ES"/>
        </w:rPr>
        <w:t>45</w:t>
      </w:r>
      <w:r w:rsidR="00342481" w:rsidRPr="00342481">
        <w:rPr>
          <w:lang w:val="es-ES"/>
        </w:rPr>
        <w:t>.</w:t>
      </w:r>
      <w:r w:rsidR="00342481" w:rsidRPr="00342481">
        <w:rPr>
          <w:spacing w:val="3"/>
          <w:lang w:val="es-ES"/>
        </w:rPr>
        <w:t xml:space="preserve"> </w:t>
      </w:r>
      <w:r w:rsidRPr="009666AA">
        <w:rPr>
          <w:rFonts w:cs="Times New Roman"/>
          <w:sz w:val="24"/>
          <w:szCs w:val="24"/>
          <w:lang w:val="es-ES"/>
        </w:rPr>
        <w:t>Es uno de los efectos de la exclusión</w:t>
      </w:r>
      <w:r w:rsidR="00342481" w:rsidRPr="00342481">
        <w:rPr>
          <w:lang w:val="es-ES"/>
        </w:rPr>
        <w:t xml:space="preserve"> </w:t>
      </w:r>
      <w:r w:rsidR="00342481" w:rsidRPr="00342481">
        <w:rPr>
          <w:rFonts w:cs="Times New Roman"/>
          <w:sz w:val="24"/>
          <w:szCs w:val="24"/>
          <w:lang w:val="es-ES"/>
        </w:rPr>
        <w:t>del arbitraje del ámbito de aplicación de estos Reglamentos comunitarios, según el vigente art. 1.2.d) Reglamento (UE) 1215/2012 excluye de su ámbito de aplicación el arbitraje, como antes lo hacía en el mismo sentido el Convenio de Bruselas de 1968 y el Reglamento (CE) 44/2001.</w:t>
      </w:r>
    </w:p>
    <w:p w14:paraId="3F48C569" w14:textId="3B515C49" w:rsidR="009666AA" w:rsidRDefault="00342481" w:rsidP="009D6F37">
      <w:pPr>
        <w:pStyle w:val="Textonotapie"/>
        <w:spacing w:before="120" w:after="120"/>
        <w:jc w:val="both"/>
        <w:rPr>
          <w:rFonts w:cs="Times New Roman"/>
          <w:sz w:val="24"/>
          <w:szCs w:val="24"/>
          <w:lang w:val="es-ES"/>
        </w:rPr>
      </w:pPr>
      <w:r w:rsidRPr="00342481">
        <w:rPr>
          <w:rFonts w:cs="Times New Roman"/>
          <w:sz w:val="24"/>
          <w:szCs w:val="24"/>
          <w:lang w:val="es-ES"/>
        </w:rPr>
        <w:t>Según el art. 11 Reglamento (UE) 1215/2012, el asegurador domiciliado en la Unión Eu- ropea puede ser demandado en su propio domicilio. El art. 12 prevé que “</w:t>
      </w:r>
      <w:r w:rsidRPr="00342481">
        <w:rPr>
          <w:rFonts w:cs="Times New Roman"/>
          <w:i/>
          <w:iCs/>
          <w:sz w:val="24"/>
          <w:szCs w:val="24"/>
          <w:lang w:val="es-ES"/>
        </w:rPr>
        <w:t>El asegurador podrá, además, ser demandado ante el órgano jurisdiccional del lugar en que se haya producido el hecho dañoso cuando se trate de seguros de responsabilidad civil</w:t>
      </w:r>
      <w:r w:rsidRPr="00342481">
        <w:rPr>
          <w:rFonts w:cs="Times New Roman"/>
          <w:sz w:val="24"/>
          <w:szCs w:val="24"/>
          <w:lang w:val="es-ES"/>
        </w:rPr>
        <w:t xml:space="preserve"> (…)”. El art. 13.1 añade que “</w:t>
      </w:r>
      <w:r w:rsidRPr="00342481">
        <w:rPr>
          <w:rFonts w:cs="Times New Roman"/>
          <w:i/>
          <w:iCs/>
          <w:sz w:val="24"/>
          <w:szCs w:val="24"/>
          <w:lang w:val="es-ES"/>
        </w:rPr>
        <w:t>En materia de seguros de responsabilidad civil, el asegurador podrá ser demandado, en el marco de acciones acumuladas, igualmente ante el órgano jurisdiccional que conozca de la acción de la persona perjudicada contra el asegurado, cuando la ley de este órgano jurisdiccional lo permita</w:t>
      </w:r>
      <w:r w:rsidRPr="00342481">
        <w:rPr>
          <w:rFonts w:cs="Times New Roman"/>
          <w:sz w:val="24"/>
          <w:szCs w:val="24"/>
          <w:lang w:val="es-ES"/>
        </w:rPr>
        <w:t xml:space="preserve"> (la cursiva es nuestra)”.</w:t>
      </w:r>
    </w:p>
    <w:p w14:paraId="32961AC3" w14:textId="77777777" w:rsidR="00342481" w:rsidRDefault="00342481" w:rsidP="009D6F37">
      <w:pPr>
        <w:pStyle w:val="Textonotapie"/>
        <w:spacing w:before="120" w:after="120"/>
        <w:jc w:val="both"/>
        <w:rPr>
          <w:rFonts w:cs="Times New Roman"/>
          <w:sz w:val="24"/>
          <w:szCs w:val="24"/>
          <w:lang w:val="es-ES"/>
        </w:rPr>
      </w:pPr>
      <w:r w:rsidRPr="00342481">
        <w:rPr>
          <w:rFonts w:cs="Times New Roman"/>
          <w:sz w:val="24"/>
          <w:szCs w:val="24"/>
          <w:lang w:val="es-ES"/>
        </w:rPr>
        <w:t>Esta posición del TJUE contrasta con el Derecho inglés, que comprende varios precedentes que ofrecen una respuesta positiva a la cuestión planteada sobre la eficacia frente a terceros del convenio arbitral del seguro P&amp;I. Sus tribunales entienden que el tercero, al reclamar directamente al asegurador en base a una ley extranjera que se lo permite, ejercita un derecho contractual en base al seguro P&amp;I. Todas las cláusulas del contrato le son aplicables, incluido el convenio arbitral. Los tribunales ingleses consideran que cuando se entabla acción directa para exigir el cumplimiento del contrato de seguro P&amp;I, el tercero perjudicado está dando su consentimiento al arbitraje.</w:t>
      </w:r>
    </w:p>
    <w:p w14:paraId="3BE78085" w14:textId="0AE4CA57" w:rsidR="00ED68FB" w:rsidRPr="00F64697" w:rsidRDefault="00342481" w:rsidP="009D6F37">
      <w:pPr>
        <w:pStyle w:val="Textonotapie"/>
        <w:spacing w:before="120" w:after="120"/>
        <w:jc w:val="both"/>
        <w:rPr>
          <w:rFonts w:cs="Times New Roman"/>
          <w:sz w:val="24"/>
          <w:szCs w:val="24"/>
          <w:lang w:val="es-ES"/>
        </w:rPr>
      </w:pPr>
      <w:r w:rsidRPr="00342481">
        <w:rPr>
          <w:rFonts w:cs="Times New Roman"/>
          <w:sz w:val="24"/>
          <w:szCs w:val="24"/>
          <w:lang w:val="es-ES"/>
        </w:rPr>
        <w:t xml:space="preserve">Asimismo, en aplicación del art. 66 </w:t>
      </w:r>
      <w:r>
        <w:rPr>
          <w:rFonts w:cs="Times New Roman"/>
          <w:sz w:val="24"/>
          <w:szCs w:val="24"/>
          <w:lang w:val="es-ES"/>
        </w:rPr>
        <w:t xml:space="preserve">de la Ley inglesa de arbitraje de </w:t>
      </w:r>
      <w:r w:rsidRPr="00342481">
        <w:rPr>
          <w:rFonts w:cs="Times New Roman"/>
          <w:sz w:val="24"/>
          <w:szCs w:val="24"/>
          <w:lang w:val="es-ES"/>
        </w:rPr>
        <w:t>1996, el laudo dictado en base a un proceso arbitral seguido frente a un tercero al contrato de seguro P&amp;I puede ser ejecutado judicialmente con los mismos efectos de una sentencia en el Reino Unido. Esta resolución judicial constituye un escudo británico frente a la ejecución forzosa de sentencias extranjeras sobre el mismo litigio contra el club P&amp;I domiciliado en el Reino Unido</w:t>
      </w:r>
      <w:r>
        <w:rPr>
          <w:rFonts w:cs="Times New Roman"/>
          <w:sz w:val="24"/>
          <w:szCs w:val="24"/>
          <w:lang w:val="es-ES"/>
        </w:rPr>
        <w:t xml:space="preserve">, como ha ocurrido en el caso “Prestige”. </w:t>
      </w:r>
      <w:r w:rsidR="00BB4E03" w:rsidRPr="00F64697">
        <w:rPr>
          <w:rFonts w:cs="Times New Roman"/>
          <w:sz w:val="24"/>
          <w:szCs w:val="24"/>
          <w:lang w:val="es-ES"/>
        </w:rPr>
        <w:t xml:space="preserve">El Reino Unido tiene un interés </w:t>
      </w:r>
      <w:r w:rsidR="00BB4E03" w:rsidRPr="00F64697">
        <w:rPr>
          <w:rFonts w:cs="Times New Roman"/>
          <w:sz w:val="24"/>
          <w:szCs w:val="24"/>
          <w:lang w:val="es-ES"/>
        </w:rPr>
        <w:lastRenderedPageBreak/>
        <w:t xml:space="preserve">estratégico en garantizar la eficacia de </w:t>
      </w:r>
      <w:r w:rsidR="00C508F6" w:rsidRPr="00F64697">
        <w:rPr>
          <w:rFonts w:cs="Times New Roman"/>
          <w:sz w:val="24"/>
          <w:szCs w:val="24"/>
          <w:lang w:val="es-ES"/>
        </w:rPr>
        <w:t>las cláusulas arbitrales</w:t>
      </w:r>
      <w:r w:rsidR="00BB4E03" w:rsidRPr="00F64697">
        <w:rPr>
          <w:rFonts w:cs="Times New Roman"/>
          <w:sz w:val="24"/>
          <w:szCs w:val="24"/>
          <w:lang w:val="es-ES"/>
        </w:rPr>
        <w:t xml:space="preserve"> a favor de la sede londinense. Los aseguradores británicos de riesgos marítimos centralizan aquí sus reclamaciones, aunque sus armadores y fletadores asegurados naveguen por todo el mundo. La competencia por captar arbitrajes marítimos es potente y el Reino Unido acredita no escatimar medios para que los armadores y aseguradores sigan confiando en que las cláusulas de arbitraje londinense en los contratos marítimos y de seguros serán respetados. </w:t>
      </w:r>
      <w:r w:rsidR="00ED68FB" w:rsidRPr="00F64697">
        <w:rPr>
          <w:rFonts w:cs="Times New Roman"/>
          <w:sz w:val="24"/>
          <w:szCs w:val="24"/>
          <w:lang w:val="es-ES"/>
        </w:rPr>
        <w:t xml:space="preserve">Los contratos-tipo </w:t>
      </w:r>
      <w:r w:rsidR="0068748E" w:rsidRPr="00F64697">
        <w:rPr>
          <w:rFonts w:cs="Times New Roman"/>
          <w:sz w:val="24"/>
          <w:szCs w:val="24"/>
          <w:lang w:val="es-ES"/>
        </w:rPr>
        <w:t xml:space="preserve">marítimos </w:t>
      </w:r>
      <w:r w:rsidR="00ED68FB" w:rsidRPr="00F64697">
        <w:rPr>
          <w:rFonts w:cs="Times New Roman"/>
          <w:sz w:val="24"/>
          <w:szCs w:val="24"/>
          <w:lang w:val="es-ES"/>
        </w:rPr>
        <w:t>aprobados por la entidad patronal llamada Consejo Marítimo Internacional y del Báltico (</w:t>
      </w:r>
      <w:r w:rsidR="00ED68FB" w:rsidRPr="00F64697">
        <w:rPr>
          <w:rFonts w:cs="Times New Roman"/>
          <w:i/>
          <w:iCs/>
          <w:sz w:val="24"/>
          <w:szCs w:val="24"/>
          <w:lang w:val="es-ES"/>
        </w:rPr>
        <w:t>Baltic and International Maritime Council</w:t>
      </w:r>
      <w:r w:rsidR="00ED68FB" w:rsidRPr="00F64697">
        <w:rPr>
          <w:rFonts w:cs="Times New Roman"/>
          <w:sz w:val="24"/>
          <w:szCs w:val="24"/>
          <w:lang w:val="es-ES"/>
        </w:rPr>
        <w:t>, BIMCO)</w:t>
      </w:r>
      <w:r w:rsidR="0068748E" w:rsidRPr="00F64697">
        <w:rPr>
          <w:rFonts w:cs="Times New Roman"/>
          <w:sz w:val="24"/>
          <w:szCs w:val="24"/>
          <w:lang w:val="es-ES"/>
        </w:rPr>
        <w:t xml:space="preserve"> incluyen la Cláusula de Derecho y Arbitraje de 2020, que reemplaza la Cláusula de Resolución de Disputas de 2017. Hay versiones disponibles para cuatro lugares de arbitraje designados: Londres, Nueva York, Singapur y Hong Kong</w:t>
      </w:r>
      <w:r w:rsidR="0068748E" w:rsidRPr="00F64697">
        <w:rPr>
          <w:rStyle w:val="Refdenotaalpie"/>
          <w:rFonts w:cs="Times New Roman"/>
          <w:sz w:val="24"/>
          <w:szCs w:val="24"/>
          <w:lang w:val="es-ES"/>
        </w:rPr>
        <w:footnoteReference w:id="41"/>
      </w:r>
      <w:r w:rsidR="0068748E" w:rsidRPr="00F64697">
        <w:rPr>
          <w:rFonts w:cs="Times New Roman"/>
          <w:sz w:val="24"/>
          <w:szCs w:val="24"/>
          <w:lang w:val="es-ES"/>
        </w:rPr>
        <w:t xml:space="preserve">. Sin embargo, Londres es la sede principal de los arbitrajes marítimos, principalmente, a través de </w:t>
      </w:r>
      <w:r w:rsidR="0068748E" w:rsidRPr="00F64697">
        <w:rPr>
          <w:rFonts w:cs="Times New Roman"/>
          <w:i/>
          <w:iCs/>
          <w:sz w:val="24"/>
          <w:szCs w:val="24"/>
          <w:lang w:val="es-ES"/>
        </w:rPr>
        <w:t>London Maritime Arbitrators Association</w:t>
      </w:r>
      <w:r w:rsidR="0068748E" w:rsidRPr="00F64697">
        <w:rPr>
          <w:rFonts w:cs="Times New Roman"/>
          <w:sz w:val="24"/>
          <w:szCs w:val="24"/>
          <w:lang w:val="es-ES"/>
        </w:rPr>
        <w:t xml:space="preserve"> (LMAA).</w:t>
      </w:r>
    </w:p>
    <w:p w14:paraId="153EB69B" w14:textId="30D8A0EC" w:rsidR="0068748E" w:rsidRPr="00F64697" w:rsidRDefault="0068748E" w:rsidP="009D6F37">
      <w:pPr>
        <w:pStyle w:val="Textonotapie"/>
        <w:spacing w:before="120" w:after="120"/>
        <w:jc w:val="both"/>
        <w:rPr>
          <w:rFonts w:cs="Times New Roman"/>
          <w:sz w:val="24"/>
          <w:szCs w:val="24"/>
          <w:lang w:val="es-ES"/>
        </w:rPr>
      </w:pPr>
      <w:r w:rsidRPr="00F64697">
        <w:rPr>
          <w:rFonts w:cs="Times New Roman"/>
          <w:sz w:val="24"/>
          <w:szCs w:val="24"/>
          <w:lang w:val="es-ES"/>
        </w:rPr>
        <w:t>La jurisprudencia inglesa atesora una colección de casos judiciales de proteccionismo de la</w:t>
      </w:r>
      <w:r w:rsidR="00336B38" w:rsidRPr="00F64697">
        <w:rPr>
          <w:rFonts w:cs="Times New Roman"/>
          <w:sz w:val="24"/>
          <w:szCs w:val="24"/>
          <w:lang w:val="es-ES"/>
        </w:rPr>
        <w:t xml:space="preserve"> industria naviera y aseguradora, así como de</w:t>
      </w:r>
      <w:r w:rsidRPr="00F64697">
        <w:rPr>
          <w:rFonts w:cs="Times New Roman"/>
          <w:sz w:val="24"/>
          <w:szCs w:val="24"/>
          <w:lang w:val="es-ES"/>
        </w:rPr>
        <w:t xml:space="preserve"> eficacia de las cláusulas compromisorias arbitrales incluidas en contratos marítimos</w:t>
      </w:r>
      <w:r w:rsidR="00336B38" w:rsidRPr="00F64697">
        <w:rPr>
          <w:rFonts w:cs="Times New Roman"/>
          <w:sz w:val="24"/>
          <w:szCs w:val="24"/>
          <w:lang w:val="es-ES"/>
        </w:rPr>
        <w:t xml:space="preserve"> a favor de Londres</w:t>
      </w:r>
      <w:r w:rsidR="00475B57" w:rsidRPr="00F64697">
        <w:rPr>
          <w:rFonts w:cs="Times New Roman"/>
          <w:sz w:val="24"/>
          <w:szCs w:val="24"/>
          <w:lang w:val="es-ES"/>
        </w:rPr>
        <w:t xml:space="preserve"> como sede arbitral</w:t>
      </w:r>
      <w:r w:rsidRPr="00F64697">
        <w:rPr>
          <w:rFonts w:cs="Times New Roman"/>
          <w:sz w:val="24"/>
          <w:szCs w:val="24"/>
          <w:lang w:val="es-ES"/>
        </w:rPr>
        <w:t xml:space="preserve">. El caso “Prestige” es la última expresión de esta política </w:t>
      </w:r>
      <w:r w:rsidR="00475B57" w:rsidRPr="00F64697">
        <w:rPr>
          <w:rFonts w:cs="Times New Roman"/>
          <w:sz w:val="24"/>
          <w:szCs w:val="24"/>
          <w:lang w:val="es-ES"/>
        </w:rPr>
        <w:t xml:space="preserve">judicial británica </w:t>
      </w:r>
      <w:r w:rsidRPr="00F64697">
        <w:rPr>
          <w:rFonts w:cs="Times New Roman"/>
          <w:sz w:val="24"/>
          <w:szCs w:val="24"/>
          <w:lang w:val="es-ES"/>
        </w:rPr>
        <w:t xml:space="preserve">de </w:t>
      </w:r>
      <w:r w:rsidRPr="00F64697">
        <w:rPr>
          <w:rFonts w:cs="Times New Roman"/>
          <w:i/>
          <w:iCs/>
          <w:sz w:val="24"/>
          <w:szCs w:val="24"/>
          <w:lang w:val="es-ES"/>
        </w:rPr>
        <w:t>arbitration friendly</w:t>
      </w:r>
      <w:r w:rsidRPr="00F64697">
        <w:rPr>
          <w:rFonts w:cs="Times New Roman"/>
          <w:sz w:val="24"/>
          <w:szCs w:val="24"/>
          <w:lang w:val="es-ES"/>
        </w:rPr>
        <w:t xml:space="preserve">. </w:t>
      </w:r>
      <w:r w:rsidR="005678EA" w:rsidRPr="00F64697">
        <w:rPr>
          <w:rFonts w:cs="Times New Roman"/>
          <w:sz w:val="24"/>
          <w:szCs w:val="24"/>
          <w:lang w:val="es-ES"/>
        </w:rPr>
        <w:t>Hay dos precedentes que se refieren a temas tratados en el asunto del “Prestige”. Los casos “The Fanti” y “Padre Island n. 2”</w:t>
      </w:r>
      <w:r w:rsidR="009E257B" w:rsidRPr="00F64697">
        <w:rPr>
          <w:rStyle w:val="Refdenotaalpie"/>
          <w:rFonts w:cs="Times New Roman"/>
          <w:iCs/>
          <w:sz w:val="24"/>
          <w:szCs w:val="24"/>
          <w:lang w:val="es-ES_tradnl"/>
        </w:rPr>
        <w:footnoteReference w:id="42"/>
      </w:r>
      <w:r w:rsidR="005678EA" w:rsidRPr="00F64697">
        <w:rPr>
          <w:rFonts w:cs="Times New Roman"/>
          <w:sz w:val="24"/>
          <w:szCs w:val="24"/>
          <w:lang w:val="es-ES"/>
        </w:rPr>
        <w:t>, sobre la cláusula de pago previo del seguro P&amp;I; y el caso “West Tankers v. Allianz”</w:t>
      </w:r>
      <w:r w:rsidR="009E257B" w:rsidRPr="009E257B">
        <w:rPr>
          <w:rStyle w:val="Refdenotaalpie"/>
          <w:rFonts w:cs="Times New Roman"/>
          <w:iCs/>
          <w:sz w:val="24"/>
          <w:szCs w:val="24"/>
          <w:lang w:val="es-ES"/>
        </w:rPr>
        <w:t xml:space="preserve"> </w:t>
      </w:r>
      <w:r w:rsidR="009E257B" w:rsidRPr="00F64697">
        <w:rPr>
          <w:rStyle w:val="Refdenotaalpie"/>
          <w:rFonts w:cs="Times New Roman"/>
          <w:iCs/>
          <w:sz w:val="24"/>
          <w:szCs w:val="24"/>
        </w:rPr>
        <w:footnoteReference w:id="43"/>
      </w:r>
      <w:r w:rsidR="005678EA" w:rsidRPr="00F64697">
        <w:rPr>
          <w:rFonts w:cs="Times New Roman"/>
          <w:sz w:val="24"/>
          <w:szCs w:val="24"/>
          <w:lang w:val="es-ES"/>
        </w:rPr>
        <w:t>, sobre la ejecución forzosa de laudos arbitrales que sirvan como escudo británico frente a la ejecución de resoluciones extranjeras en el Reino Unido</w:t>
      </w:r>
      <w:r w:rsidR="00475B57" w:rsidRPr="00F64697">
        <w:rPr>
          <w:rFonts w:cs="Times New Roman"/>
          <w:sz w:val="24"/>
          <w:szCs w:val="24"/>
          <w:lang w:val="es-ES"/>
        </w:rPr>
        <w:t xml:space="preserve">. </w:t>
      </w:r>
      <w:r w:rsidR="009E257B">
        <w:rPr>
          <w:rFonts w:cs="Times New Roman"/>
          <w:sz w:val="24"/>
          <w:szCs w:val="24"/>
          <w:lang w:val="es-ES"/>
        </w:rPr>
        <w:t>El último capítulo judicial es el caso</w:t>
      </w:r>
      <w:r w:rsidR="00475B57" w:rsidRPr="00F64697">
        <w:rPr>
          <w:rFonts w:cs="Times New Roman"/>
          <w:sz w:val="24"/>
          <w:szCs w:val="24"/>
          <w:lang w:val="es-ES"/>
        </w:rPr>
        <w:t xml:space="preserve"> “Prestige”.</w:t>
      </w:r>
    </w:p>
    <w:p w14:paraId="7E9C5AAF" w14:textId="69ABEC78" w:rsidR="008A4ABA" w:rsidRDefault="00B53F6E" w:rsidP="00E17EC6">
      <w:pPr>
        <w:pStyle w:val="Textonotapie"/>
        <w:spacing w:before="120" w:after="120"/>
        <w:jc w:val="both"/>
        <w:rPr>
          <w:rFonts w:cs="Times New Roman"/>
          <w:sz w:val="24"/>
          <w:szCs w:val="24"/>
          <w:lang w:val="es-ES"/>
        </w:rPr>
      </w:pPr>
      <w:r w:rsidRPr="00B53F6E">
        <w:rPr>
          <w:rFonts w:cs="Times New Roman"/>
          <w:sz w:val="24"/>
          <w:szCs w:val="24"/>
          <w:lang w:val="es-ES"/>
        </w:rPr>
        <w:t>Por lo que respecta al Derecho español y la oponibilidad o no al tercero perjudicado de las usuales cláusulas arbitrales y de ley aplicable del seguro P&amp;I, el Tribunal Supremo las considera oponibles, cuando el club P&amp;I interpone una declinatoria de jurisdicción ante el tribunal español que conoce del asunto. El precedente judicial español es el caso “Seabank” resuelto por el Tribunal Supremo el 3 de julio de 2003. Ante una acción directa, declaró su falta de jurisdicción para conocer de la misma contra el club P&amp;I en base a una cláusula arbitral incluida en el contrato de fletamento y en el contrato de seguro P&amp;I. La jurisprudencia menor española cita el caso “Seabank” como precedente de forma constante para admitir la incompetencia de jurisdicción y la sumisión a arbitraje, incluso tras la entrada en vigor de la Ley 14/2014, de 24 de julio, de Navegación Marítima (LNM)</w:t>
      </w:r>
      <w:r>
        <w:rPr>
          <w:rFonts w:cs="Times New Roman"/>
          <w:sz w:val="24"/>
          <w:szCs w:val="24"/>
          <w:lang w:val="es-ES"/>
        </w:rPr>
        <w:t>.</w:t>
      </w:r>
    </w:p>
    <w:p w14:paraId="03189623" w14:textId="0F1F1C1A" w:rsidR="00B53F6E" w:rsidRDefault="00B53F6E" w:rsidP="00E17EC6">
      <w:pPr>
        <w:pStyle w:val="Textonotapie"/>
        <w:spacing w:before="120" w:after="120"/>
        <w:jc w:val="both"/>
        <w:rPr>
          <w:rFonts w:cs="Times New Roman"/>
          <w:sz w:val="24"/>
          <w:szCs w:val="24"/>
          <w:lang w:val="es-ES"/>
        </w:rPr>
      </w:pPr>
      <w:r w:rsidRPr="00B53F6E">
        <w:rPr>
          <w:rFonts w:cs="Times New Roman"/>
          <w:sz w:val="24"/>
          <w:szCs w:val="24"/>
          <w:lang w:val="es-ES"/>
        </w:rPr>
        <w:t xml:space="preserve">El fundamento de la sentencia del caso “Seabank” es la inaplicación del Derecho español a la acción directa entablada contra el club P&amp;I por el tercero perjudicado. El Alto Tribunal aplica el fuero de las obligaciones contractuales del art. 10.5 CC para remitir a la ley del contrato (que incluye sumisión a la ley nacional inglesa) y excluir la aplicación de la legislación española. La sumisión a la ley inglesa y en caso de litigio, la aplicación de ésta con arbitraje en Londres determina tanto que los tribunales españoles no son competentes, como que tampoco es de aplicación el Derecho español. La cuestión de la ley nacional aplicable y la sumisión a arbitraje en el seguro P&amp;I explica el escaso efecto judicial del reconocimiento de la acción directa del art. 465 LNM y la nulidad de las cláusulas de arbitraje en contratos marítimos si no se han negociado individual y separadamente del art. 469 LNM. Simplemente, los tribunales españoles no consideran </w:t>
      </w:r>
      <w:r w:rsidRPr="00B53F6E">
        <w:rPr>
          <w:rFonts w:cs="Times New Roman"/>
          <w:sz w:val="24"/>
          <w:szCs w:val="24"/>
          <w:lang w:val="es-ES"/>
        </w:rPr>
        <w:lastRenderedPageBreak/>
        <w:t>aplicable el Derecho español a la acción directa contra el club P&amp;I, si éste discute la jurisdicción.</w:t>
      </w:r>
    </w:p>
    <w:p w14:paraId="7ACF64F1" w14:textId="44520372" w:rsidR="00B53F6E" w:rsidRDefault="00B53F6E" w:rsidP="00E17EC6">
      <w:pPr>
        <w:pStyle w:val="Textonotapie"/>
        <w:spacing w:before="120" w:after="120"/>
        <w:jc w:val="both"/>
        <w:rPr>
          <w:rFonts w:cs="Times New Roman"/>
          <w:sz w:val="24"/>
          <w:szCs w:val="24"/>
          <w:lang w:val="es-ES"/>
        </w:rPr>
      </w:pPr>
      <w:r>
        <w:rPr>
          <w:rFonts w:cs="Times New Roman"/>
          <w:sz w:val="24"/>
          <w:szCs w:val="24"/>
          <w:lang w:val="es-ES"/>
        </w:rPr>
        <w:t xml:space="preserve">Por otro lado, la jurisprudencia española afirma </w:t>
      </w:r>
      <w:r w:rsidRPr="00B53F6E">
        <w:rPr>
          <w:rFonts w:cs="Times New Roman"/>
          <w:sz w:val="24"/>
          <w:szCs w:val="24"/>
          <w:lang w:val="es-ES"/>
        </w:rPr>
        <w:t>la naturaleza contractual de la acción directa, de modo que el tercero que quiere reclamar el pago de la indemnización con arreglo al seguro P&amp;I, está sometido a la cláusula de ley aplicable. Esto supone que el Derecho español no rige la acción directa contra el club P&amp;I cuyo contrato con su asegurado se somete a un Derecho extranjero. La acción directa, si existe y sus términos, queda sometido a este Derecho porque así lo han acordado las partes originarias y que se extiende al tercero que pretende beneficiarse del contrato y cobrar la indemnización de seguro.</w:t>
      </w:r>
    </w:p>
    <w:p w14:paraId="53F1DE73" w14:textId="7C488411" w:rsidR="00B53F6E" w:rsidRDefault="00B53F6E" w:rsidP="00E17EC6">
      <w:pPr>
        <w:pStyle w:val="Textonotapie"/>
        <w:spacing w:before="120" w:after="120"/>
        <w:jc w:val="both"/>
        <w:rPr>
          <w:rFonts w:cs="Times New Roman"/>
          <w:sz w:val="24"/>
          <w:szCs w:val="24"/>
          <w:lang w:val="es-ES"/>
        </w:rPr>
      </w:pPr>
      <w:r w:rsidRPr="00B53F6E">
        <w:rPr>
          <w:rFonts w:cs="Times New Roman"/>
          <w:sz w:val="24"/>
          <w:szCs w:val="24"/>
          <w:lang w:val="es-ES"/>
        </w:rPr>
        <w:t>En cambio, en otros casos en que el club P&amp;I no discute la jurisdicción, ni alega el convenio arbitral, el Tribunal Supremo ha declarado su competencia para resolver el asunto, como en una sentencia de 14 de abril de 2009 y en la sentencia del 14 de enero de 2016 en el caso “Prestige”. El Tribunal Supremo no cambia el precedente “Seabank”, simplemente no lo considera aplicable, pues el club P&amp;I no se ha personado en el juicio y ha declinado la jurisdicción por sumisión a arbitraje. El juez no puede apreciar de oficio el convenio arbitral, p</w:t>
      </w:r>
      <w:r>
        <w:rPr>
          <w:rFonts w:cs="Times New Roman"/>
          <w:sz w:val="24"/>
          <w:szCs w:val="24"/>
          <w:lang w:val="es-ES"/>
        </w:rPr>
        <w:t>ero</w:t>
      </w:r>
      <w:r w:rsidRPr="00B53F6E">
        <w:rPr>
          <w:rFonts w:cs="Times New Roman"/>
          <w:sz w:val="24"/>
          <w:szCs w:val="24"/>
          <w:lang w:val="es-ES"/>
        </w:rPr>
        <w:t xml:space="preserve"> puede alegarlo a quien interese su aplicación (art. 11.1 L</w:t>
      </w:r>
      <w:r>
        <w:rPr>
          <w:rFonts w:cs="Times New Roman"/>
          <w:sz w:val="24"/>
          <w:szCs w:val="24"/>
          <w:lang w:val="es-ES"/>
        </w:rPr>
        <w:t xml:space="preserve">ey 60/2003, de 23 de diciembre, de arbitraje y art. </w:t>
      </w:r>
      <w:r w:rsidRPr="00B53F6E">
        <w:rPr>
          <w:rFonts w:cs="Times New Roman"/>
          <w:sz w:val="24"/>
          <w:szCs w:val="24"/>
          <w:lang w:val="es-ES"/>
        </w:rPr>
        <w:t>II.3 C</w:t>
      </w:r>
      <w:r>
        <w:rPr>
          <w:rFonts w:cs="Times New Roman"/>
          <w:sz w:val="24"/>
          <w:szCs w:val="24"/>
          <w:lang w:val="es-ES"/>
        </w:rPr>
        <w:t xml:space="preserve">onvenio de Nueva York </w:t>
      </w:r>
      <w:r w:rsidRPr="00B53F6E">
        <w:rPr>
          <w:rFonts w:cs="Times New Roman"/>
          <w:sz w:val="24"/>
          <w:szCs w:val="24"/>
          <w:lang w:val="es-ES"/>
        </w:rPr>
        <w:t>sobre reconocimiento y ejecución de sentencias arbitrales extranjeras</w:t>
      </w:r>
      <w:r>
        <w:rPr>
          <w:rFonts w:cs="Times New Roman"/>
          <w:sz w:val="24"/>
          <w:szCs w:val="24"/>
          <w:lang w:val="es-ES"/>
        </w:rPr>
        <w:t xml:space="preserve"> de 1958</w:t>
      </w:r>
      <w:r w:rsidRPr="00B53F6E">
        <w:rPr>
          <w:rFonts w:cs="Times New Roman"/>
          <w:sz w:val="24"/>
          <w:szCs w:val="24"/>
          <w:lang w:val="es-ES"/>
        </w:rPr>
        <w:t>).</w:t>
      </w:r>
    </w:p>
    <w:p w14:paraId="30A813F6" w14:textId="09F95501" w:rsidR="00B53F6E" w:rsidRDefault="00B53F6E" w:rsidP="00E17EC6">
      <w:pPr>
        <w:pStyle w:val="Textonotapie"/>
        <w:spacing w:before="120" w:after="120"/>
        <w:jc w:val="both"/>
        <w:rPr>
          <w:rFonts w:cs="Times New Roman"/>
          <w:sz w:val="24"/>
          <w:szCs w:val="24"/>
          <w:lang w:val="es-ES"/>
        </w:rPr>
      </w:pPr>
      <w:r>
        <w:rPr>
          <w:rFonts w:cs="Times New Roman"/>
          <w:sz w:val="24"/>
          <w:szCs w:val="24"/>
          <w:lang w:val="es-ES"/>
        </w:rPr>
        <w:t>A la vista de la jurisprudencia del Tribunal de Justicia de la Unión Europea, la norma a seguir en Derecho español ha de ser considerar inoponibles a terceros los convenios arbitrales predispuestos por aseguradoras domiciliadas en la Unión Europea. En cambio, esta doctrina no es aplicable en principio a aseguradoras ubicadas en Estados terceros.</w:t>
      </w:r>
    </w:p>
    <w:p w14:paraId="7DA2DF8B" w14:textId="77777777" w:rsidR="00B53F6E" w:rsidRPr="00F64697" w:rsidRDefault="00B53F6E" w:rsidP="00E17EC6">
      <w:pPr>
        <w:pStyle w:val="Textonotapie"/>
        <w:spacing w:before="120" w:after="120"/>
        <w:jc w:val="both"/>
        <w:rPr>
          <w:rFonts w:cs="Times New Roman"/>
          <w:sz w:val="24"/>
          <w:szCs w:val="24"/>
          <w:lang w:val="es-ES"/>
        </w:rPr>
      </w:pPr>
    </w:p>
    <w:p w14:paraId="34FEB6F8" w14:textId="713D132E" w:rsidR="00583A33" w:rsidRPr="00F64697" w:rsidRDefault="00310FC1" w:rsidP="00EA779B">
      <w:pPr>
        <w:pStyle w:val="Textonotapie"/>
        <w:numPr>
          <w:ilvl w:val="0"/>
          <w:numId w:val="47"/>
        </w:numPr>
        <w:spacing w:before="120" w:after="120"/>
        <w:jc w:val="both"/>
        <w:rPr>
          <w:rFonts w:cs="Times New Roman"/>
          <w:caps/>
          <w:sz w:val="24"/>
          <w:szCs w:val="24"/>
        </w:rPr>
      </w:pPr>
      <w:r w:rsidRPr="00F64697">
        <w:rPr>
          <w:rFonts w:cs="Times New Roman"/>
          <w:b/>
          <w:bCs/>
          <w:caps/>
          <w:sz w:val="24"/>
          <w:szCs w:val="24"/>
        </w:rPr>
        <w:t>Nunca m</w:t>
      </w:r>
      <w:r w:rsidR="00DB56A9" w:rsidRPr="00F64697">
        <w:rPr>
          <w:rFonts w:cs="Times New Roman"/>
          <w:b/>
          <w:bCs/>
          <w:caps/>
          <w:sz w:val="24"/>
          <w:szCs w:val="24"/>
        </w:rPr>
        <w:t>á</w:t>
      </w:r>
      <w:r w:rsidRPr="00F64697">
        <w:rPr>
          <w:rFonts w:cs="Times New Roman"/>
          <w:b/>
          <w:bCs/>
          <w:caps/>
          <w:sz w:val="24"/>
          <w:szCs w:val="24"/>
        </w:rPr>
        <w:t>is?</w:t>
      </w:r>
      <w:r w:rsidR="00DB56A9" w:rsidRPr="00F64697">
        <w:rPr>
          <w:rFonts w:cs="Times New Roman"/>
          <w:b/>
          <w:bCs/>
          <w:caps/>
          <w:sz w:val="24"/>
          <w:szCs w:val="24"/>
        </w:rPr>
        <w:t xml:space="preserve"> </w:t>
      </w:r>
    </w:p>
    <w:p w14:paraId="3DDD0110" w14:textId="77777777" w:rsidR="00336B38" w:rsidRPr="00F64697" w:rsidRDefault="00336B38" w:rsidP="00336B38">
      <w:pPr>
        <w:pStyle w:val="Textonotapie"/>
        <w:spacing w:before="120" w:after="120"/>
        <w:jc w:val="both"/>
        <w:rPr>
          <w:rFonts w:cs="Times New Roman"/>
          <w:sz w:val="24"/>
          <w:szCs w:val="24"/>
          <w:lang w:val="es-ES"/>
        </w:rPr>
      </w:pPr>
      <w:r w:rsidRPr="00F64697">
        <w:rPr>
          <w:rFonts w:cs="Times New Roman"/>
          <w:sz w:val="24"/>
          <w:szCs w:val="24"/>
          <w:lang w:val="es-ES"/>
        </w:rPr>
        <w:t>El siniestro del buque “Prestige” ha favorecido dos cambios legales relevantes en la legislación comunitaria e internacional.</w:t>
      </w:r>
    </w:p>
    <w:p w14:paraId="627E95E8" w14:textId="77777777" w:rsidR="00336B38" w:rsidRPr="00F64697" w:rsidRDefault="00336B38" w:rsidP="00336B38">
      <w:pPr>
        <w:pStyle w:val="Textonotapie"/>
        <w:spacing w:before="120" w:after="120"/>
        <w:jc w:val="both"/>
        <w:rPr>
          <w:rFonts w:cs="Times New Roman"/>
          <w:sz w:val="24"/>
          <w:szCs w:val="24"/>
          <w:lang w:val="es-ES"/>
        </w:rPr>
      </w:pPr>
      <w:r w:rsidRPr="00F64697">
        <w:rPr>
          <w:rFonts w:cs="Times New Roman"/>
          <w:sz w:val="24"/>
          <w:szCs w:val="24"/>
          <w:lang w:val="es-ES"/>
        </w:rPr>
        <w:t xml:space="preserve">En primer lugar, en diciembre de 2003, como consecuencia del accidente, la Organización Marítima Internacional adopta nuevas enmiendas a la regla 13G del Convenio Convenio internacional para prevenir la contaminación por los buques (MARPOL) para acelerar el cronograma de </w:t>
      </w:r>
      <w:r w:rsidRPr="00F64697">
        <w:rPr>
          <w:rFonts w:cs="Times New Roman"/>
          <w:i/>
          <w:iCs/>
          <w:sz w:val="24"/>
          <w:szCs w:val="24"/>
          <w:lang w:val="es-ES"/>
        </w:rPr>
        <w:t>eliminación de los buques petroleros monocasco</w:t>
      </w:r>
      <w:r w:rsidRPr="00F64697">
        <w:rPr>
          <w:rFonts w:cs="Times New Roman"/>
          <w:sz w:val="24"/>
          <w:szCs w:val="24"/>
          <w:lang w:val="es-ES"/>
        </w:rPr>
        <w:t>, como era el “Prestige”. Estas enmiendas entran en vigor el 5 de abril de 2005. Un nuevo reglamento sobre la prevención de la contaminación por hidrocarburos de los petroleros que transportan petróleo pesado prohíbe su transporte en petroleros de casco único de 5.000 toneladas de peso muerto o más después de la fecha de entrada en vigor del Reglamento (5 de abril de 2005), y en los petroleros de casco único de 600 toneladas o más pero menos de 5.000 toneladas, a más tardar en el aniversario de su fecha de entrega en 2008</w:t>
      </w:r>
      <w:r w:rsidRPr="00F64697">
        <w:rPr>
          <w:rStyle w:val="Refdenotaalpie"/>
          <w:rFonts w:cs="Times New Roman"/>
          <w:sz w:val="24"/>
          <w:szCs w:val="24"/>
        </w:rPr>
        <w:footnoteReference w:id="44"/>
      </w:r>
      <w:r w:rsidRPr="00F64697">
        <w:rPr>
          <w:rFonts w:cs="Times New Roman"/>
          <w:sz w:val="24"/>
          <w:szCs w:val="24"/>
          <w:lang w:val="es-ES"/>
        </w:rPr>
        <w:t>.</w:t>
      </w:r>
    </w:p>
    <w:p w14:paraId="03BC9CD7" w14:textId="3522A569" w:rsidR="00336B38" w:rsidRPr="00F64697" w:rsidRDefault="00336B38" w:rsidP="00336B38">
      <w:pPr>
        <w:pStyle w:val="Textonotapie"/>
        <w:spacing w:before="120" w:after="120"/>
        <w:jc w:val="both"/>
        <w:rPr>
          <w:rFonts w:cs="Times New Roman"/>
          <w:sz w:val="24"/>
          <w:szCs w:val="24"/>
          <w:lang w:val="es-ES"/>
        </w:rPr>
      </w:pPr>
      <w:r w:rsidRPr="00F64697">
        <w:rPr>
          <w:rFonts w:cs="Times New Roman"/>
          <w:sz w:val="24"/>
          <w:szCs w:val="24"/>
          <w:lang w:val="es-ES"/>
        </w:rPr>
        <w:t>En segundo lugar, vista la inadaptación del sistema legal de limitación de responsabilidad compuesto por el Convenio de Responsabilidad Civil de 1992 y el Convenio del Fondo de 1992 para catástrofes de buques petroleros, algunos Estados adoptan el Protocolo de 2003 relativo al Convenio Internacional sobre la constitución de un Fondo Internacional de Indemnización de daños debidos a contaminación por hidrocarburos, 1992, hecho en Londres el 16 de mayo de 2003, del cual es parte España</w:t>
      </w:r>
      <w:r w:rsidRPr="00F64697">
        <w:rPr>
          <w:rStyle w:val="Refdenotaalpie"/>
          <w:rFonts w:cs="Times New Roman"/>
          <w:sz w:val="24"/>
          <w:szCs w:val="24"/>
          <w:lang w:val="es-ES"/>
        </w:rPr>
        <w:footnoteReference w:id="45"/>
      </w:r>
      <w:r w:rsidRPr="00F64697">
        <w:rPr>
          <w:rFonts w:cs="Times New Roman"/>
          <w:sz w:val="24"/>
          <w:szCs w:val="24"/>
          <w:lang w:val="es-ES"/>
        </w:rPr>
        <w:t xml:space="preserve">. Este Protocolo relativo al </w:t>
      </w:r>
      <w:r w:rsidRPr="00F64697">
        <w:rPr>
          <w:rFonts w:cs="Times New Roman"/>
          <w:sz w:val="24"/>
          <w:szCs w:val="24"/>
          <w:lang w:val="es-ES"/>
        </w:rPr>
        <w:lastRenderedPageBreak/>
        <w:t xml:space="preserve">Fondo Complementario brinda un </w:t>
      </w:r>
      <w:r w:rsidRPr="00F64697">
        <w:rPr>
          <w:rFonts w:cs="Times New Roman"/>
          <w:i/>
          <w:iCs/>
          <w:sz w:val="24"/>
          <w:szCs w:val="24"/>
          <w:lang w:val="es-ES"/>
        </w:rPr>
        <w:t>tercer nivel de indemnización</w:t>
      </w:r>
      <w:r w:rsidRPr="00F64697">
        <w:rPr>
          <w:rFonts w:cs="Times New Roman"/>
          <w:sz w:val="24"/>
          <w:szCs w:val="24"/>
          <w:lang w:val="es-ES"/>
        </w:rPr>
        <w:t xml:space="preserve"> estableciendo un Fondo complementario internacional de indemnización de daños debidos a contaminación por hidrocarburos (Fondo Complementario). La afiliación al Fondo Complementario es optativa y está abierta a todo Estado que sea Miembro del Fondo de 1992. La cuantía máxima pagadera por cualquier siniestro es 750 millones de Derechos Especiales de Giro, incluida la cuantía pagadera en virtud del Convenio de Responsabilidad Civil de 1992 y el Convenio del Fondo de 1992. El Fondo Complementario se financia de modo similar al Fondo de 1992, con las contribuciones de los Estados parte en función de la importación de hidrocarburos en su territorio. El Protocolo entró en vigor el 3 de marzo de 2005 y se aplica a siniestros que ocurran en esa fecha o posteriormente. Desde su constitución, no se ha utilizado. </w:t>
      </w:r>
    </w:p>
    <w:p w14:paraId="2E01F938" w14:textId="2FE73ECF" w:rsidR="00047FDA" w:rsidRPr="00F64697" w:rsidRDefault="00BB4E03" w:rsidP="00047FDA">
      <w:pPr>
        <w:pStyle w:val="Textonotapie"/>
        <w:spacing w:before="120" w:after="120"/>
        <w:jc w:val="both"/>
        <w:rPr>
          <w:rFonts w:cs="Times New Roman"/>
          <w:sz w:val="24"/>
          <w:szCs w:val="24"/>
          <w:lang w:val="es-ES"/>
        </w:rPr>
      </w:pPr>
      <w:r w:rsidRPr="00F64697">
        <w:rPr>
          <w:rFonts w:cs="Times New Roman"/>
          <w:sz w:val="24"/>
          <w:szCs w:val="24"/>
          <w:lang w:val="es-ES"/>
        </w:rPr>
        <w:t xml:space="preserve">Las estadísticas publicadas por el </w:t>
      </w:r>
      <w:bookmarkStart w:id="8" w:name="_Hlk138226883"/>
      <w:r w:rsidRPr="00F64697">
        <w:rPr>
          <w:rFonts w:cs="Times New Roman"/>
          <w:sz w:val="24"/>
          <w:szCs w:val="24"/>
          <w:lang w:val="es-ES"/>
        </w:rPr>
        <w:t xml:space="preserve">FIDAC </w:t>
      </w:r>
      <w:bookmarkEnd w:id="8"/>
      <w:r w:rsidRPr="00F64697">
        <w:rPr>
          <w:rFonts w:cs="Times New Roman"/>
          <w:sz w:val="24"/>
          <w:szCs w:val="24"/>
          <w:lang w:val="es-ES"/>
        </w:rPr>
        <w:t>revelan que, desde el siniestro del buque “Prestige”, no ha habido un vertido de similar índole catastrófica. En los incidentes que ha participado este organismo, los incidentes han supuesto vertidos de menos de 1.000 toneladas de hidrocarburos, en comparación con las 63.000 toneladas vertidas por el “Prestige”</w:t>
      </w:r>
      <w:r w:rsidRPr="00F64697">
        <w:rPr>
          <w:rStyle w:val="Refdenotaalpie"/>
          <w:rFonts w:cs="Times New Roman"/>
          <w:sz w:val="24"/>
          <w:szCs w:val="24"/>
        </w:rPr>
        <w:footnoteReference w:id="46"/>
      </w:r>
      <w:r w:rsidRPr="00F64697">
        <w:rPr>
          <w:rFonts w:cs="Times New Roman"/>
          <w:sz w:val="24"/>
          <w:szCs w:val="24"/>
          <w:lang w:val="es-ES"/>
        </w:rPr>
        <w:t xml:space="preserve">. </w:t>
      </w:r>
      <w:r w:rsidR="006847CF" w:rsidRPr="00F64697">
        <w:rPr>
          <w:rFonts w:cs="Times New Roman"/>
          <w:sz w:val="24"/>
          <w:szCs w:val="24"/>
          <w:lang w:val="es-ES"/>
        </w:rPr>
        <w:t>Si ocurriera de nuevo</w:t>
      </w:r>
      <w:r w:rsidR="00210569" w:rsidRPr="00F64697">
        <w:rPr>
          <w:rFonts w:cs="Times New Roman"/>
          <w:sz w:val="24"/>
          <w:szCs w:val="24"/>
          <w:lang w:val="es-ES"/>
        </w:rPr>
        <w:t xml:space="preserve"> otro siniestro similar al “Prestige”</w:t>
      </w:r>
      <w:r w:rsidR="006847CF" w:rsidRPr="00F64697">
        <w:rPr>
          <w:rFonts w:cs="Times New Roman"/>
          <w:sz w:val="24"/>
          <w:szCs w:val="24"/>
          <w:lang w:val="es-ES"/>
        </w:rPr>
        <w:t xml:space="preserve">, el asegurador de responsabilidad civil gozaría de los mismos límites de indemnización del Convenio de Responsabilidad Civil de 1992. </w:t>
      </w:r>
      <w:r w:rsidR="00A84CAD" w:rsidRPr="00F64697">
        <w:rPr>
          <w:rFonts w:cs="Times New Roman"/>
          <w:sz w:val="24"/>
          <w:szCs w:val="24"/>
          <w:lang w:val="es-ES"/>
        </w:rPr>
        <w:t xml:space="preserve">Igual ocurriría con </w:t>
      </w:r>
      <w:r w:rsidR="00210569" w:rsidRPr="00F64697">
        <w:rPr>
          <w:rFonts w:cs="Times New Roman"/>
          <w:sz w:val="24"/>
          <w:szCs w:val="24"/>
          <w:lang w:val="es-ES"/>
        </w:rPr>
        <w:t>el FIDAC</w:t>
      </w:r>
      <w:r w:rsidR="00A84CAD" w:rsidRPr="00F64697">
        <w:rPr>
          <w:rFonts w:cs="Times New Roman"/>
          <w:sz w:val="24"/>
          <w:szCs w:val="24"/>
          <w:lang w:val="es-ES"/>
        </w:rPr>
        <w:t xml:space="preserve">. La diferencia es la vigencia del </w:t>
      </w:r>
      <w:r w:rsidRPr="00F64697">
        <w:rPr>
          <w:rFonts w:cs="Times New Roman"/>
          <w:sz w:val="24"/>
          <w:szCs w:val="24"/>
          <w:lang w:val="es-ES"/>
        </w:rPr>
        <w:t xml:space="preserve">citado </w:t>
      </w:r>
      <w:r w:rsidR="00A84CAD" w:rsidRPr="00F64697">
        <w:rPr>
          <w:rFonts w:cs="Times New Roman"/>
          <w:sz w:val="24"/>
          <w:szCs w:val="24"/>
          <w:lang w:val="es-ES"/>
        </w:rPr>
        <w:t>Fondo Complementario</w:t>
      </w:r>
      <w:r w:rsidR="0022417E" w:rsidRPr="00F64697">
        <w:rPr>
          <w:rFonts w:cs="Times New Roman"/>
          <w:sz w:val="24"/>
          <w:szCs w:val="24"/>
          <w:lang w:val="es-ES"/>
        </w:rPr>
        <w:t xml:space="preserve"> de 2003</w:t>
      </w:r>
      <w:r w:rsidR="00A84CAD" w:rsidRPr="00F64697">
        <w:rPr>
          <w:rFonts w:cs="Times New Roman"/>
          <w:sz w:val="24"/>
          <w:szCs w:val="24"/>
          <w:lang w:val="es-ES"/>
        </w:rPr>
        <w:t xml:space="preserve">, que aún no ha debido ser utilizado, al no haber habido una catástrofe marítima en los Estados parte. </w:t>
      </w:r>
    </w:p>
    <w:p w14:paraId="77B6B07C" w14:textId="1D10E114" w:rsidR="00775F2E" w:rsidRPr="00F64697" w:rsidRDefault="00047FDA" w:rsidP="00775F2E">
      <w:pPr>
        <w:pStyle w:val="Textonotapie"/>
        <w:spacing w:before="120" w:after="120"/>
        <w:jc w:val="both"/>
        <w:rPr>
          <w:rFonts w:cs="Times New Roman"/>
          <w:sz w:val="24"/>
          <w:szCs w:val="24"/>
          <w:lang w:val="es-ES"/>
        </w:rPr>
      </w:pPr>
      <w:r w:rsidRPr="00F64697">
        <w:rPr>
          <w:rFonts w:cs="Times New Roman"/>
          <w:sz w:val="24"/>
          <w:szCs w:val="24"/>
          <w:lang w:val="es-ES"/>
        </w:rPr>
        <w:t xml:space="preserve">Sin embargo, si hubiera estado vigente este Fondo Complementario en el momento del siniestro del “Prestige”, tampoco hubiera hecho realidad la </w:t>
      </w:r>
      <w:r w:rsidRPr="00F64697">
        <w:rPr>
          <w:rFonts w:cs="Times New Roman"/>
          <w:i/>
          <w:iCs/>
          <w:sz w:val="24"/>
          <w:szCs w:val="24"/>
          <w:lang w:val="es-ES"/>
        </w:rPr>
        <w:t>restitutio in integrum</w:t>
      </w:r>
      <w:r w:rsidRPr="00F64697">
        <w:rPr>
          <w:rFonts w:cs="Times New Roman"/>
          <w:sz w:val="24"/>
          <w:szCs w:val="24"/>
          <w:lang w:val="es-ES"/>
        </w:rPr>
        <w:t xml:space="preserve">, por ser insuficiente. El Fondo Complementario cubre hasta 750 millones de unidades de cuenta que, al cambio actual de los Derechos Especiales de Giro, son unos 915 millones de euros. Compárese con los daños superiores a 2500 millones de euros acreditados en el siniestro del buque “Prestige” y se podrá comprobar que el sistema jurídico </w:t>
      </w:r>
      <w:r w:rsidR="00210569" w:rsidRPr="00F64697">
        <w:rPr>
          <w:rFonts w:cs="Times New Roman"/>
          <w:sz w:val="24"/>
          <w:szCs w:val="24"/>
          <w:lang w:val="es-ES"/>
        </w:rPr>
        <w:t xml:space="preserve">internacional </w:t>
      </w:r>
      <w:r w:rsidRPr="00F64697">
        <w:rPr>
          <w:rFonts w:cs="Times New Roman"/>
          <w:sz w:val="24"/>
          <w:szCs w:val="24"/>
          <w:lang w:val="es-ES"/>
        </w:rPr>
        <w:t xml:space="preserve">NO ofrece forma alguna para la reparación íntegra. </w:t>
      </w:r>
    </w:p>
    <w:p w14:paraId="5355B617" w14:textId="7EEDD61C" w:rsidR="00775F2E" w:rsidRPr="00F64697" w:rsidRDefault="00775F2E" w:rsidP="00775F2E">
      <w:pPr>
        <w:pStyle w:val="Textonotapie"/>
        <w:spacing w:before="120" w:after="120"/>
        <w:jc w:val="both"/>
        <w:rPr>
          <w:rFonts w:cs="Times New Roman"/>
          <w:sz w:val="24"/>
          <w:szCs w:val="24"/>
          <w:lang w:val="es-ES"/>
        </w:rPr>
      </w:pPr>
      <w:r w:rsidRPr="00F64697">
        <w:rPr>
          <w:rFonts w:cs="Times New Roman"/>
          <w:sz w:val="24"/>
          <w:szCs w:val="24"/>
          <w:lang w:val="es-ES"/>
        </w:rPr>
        <w:t xml:space="preserve">En situación peor se encuentran los afectados en Estados que no son parte del Fondo Complementario de 2003. El importe de la indemnización a cargo </w:t>
      </w:r>
      <w:r w:rsidR="00210569" w:rsidRPr="00F64697">
        <w:rPr>
          <w:rFonts w:cs="Times New Roman"/>
          <w:sz w:val="24"/>
          <w:szCs w:val="24"/>
          <w:lang w:val="es-ES"/>
        </w:rPr>
        <w:t>del FIDAC</w:t>
      </w:r>
      <w:r w:rsidRPr="00F64697">
        <w:rPr>
          <w:rFonts w:cs="Times New Roman"/>
          <w:sz w:val="24"/>
          <w:szCs w:val="24"/>
          <w:lang w:val="es-ES"/>
        </w:rPr>
        <w:t xml:space="preserve"> será más amplia si un desastre marítimo afecta a las aguas de un Estado signatario del Fondo Complementario. En caso de que el Estado no sea parte del Fondo Complementario, pero si del Fondo de 1992, por el mismo desastre marítimo en sus aguas, la compensación a cargo del FIDAC será notoriamente menor, como ocurrió con el caso “Prestige” cuando el Fondo Complementario no estaba en vigor.</w:t>
      </w:r>
    </w:p>
    <w:p w14:paraId="6627E23D" w14:textId="0FBB3525" w:rsidR="00A84CAD" w:rsidRPr="0057716B" w:rsidRDefault="00BB55C4" w:rsidP="00047FDA">
      <w:pPr>
        <w:pStyle w:val="Textonotapie"/>
        <w:spacing w:before="120" w:after="120"/>
        <w:jc w:val="both"/>
        <w:rPr>
          <w:rFonts w:cs="Times New Roman"/>
          <w:sz w:val="24"/>
          <w:szCs w:val="24"/>
          <w:lang w:val="es-ES"/>
        </w:rPr>
      </w:pPr>
      <w:r w:rsidRPr="00F64697">
        <w:rPr>
          <w:rFonts w:cs="Times New Roman"/>
          <w:sz w:val="24"/>
          <w:szCs w:val="24"/>
          <w:lang w:val="es-ES"/>
        </w:rPr>
        <w:t>L</w:t>
      </w:r>
      <w:r w:rsidR="00047FDA" w:rsidRPr="00F64697">
        <w:rPr>
          <w:rFonts w:cs="Times New Roman"/>
          <w:sz w:val="24"/>
          <w:szCs w:val="24"/>
          <w:lang w:val="es-ES"/>
        </w:rPr>
        <w:t>a responsabilidad ilimitada del capitán del buque o de sociedades propietarias de petroleros (muchas tienen como único patrimonio el buque y operan con banderas de conveniencia</w:t>
      </w:r>
      <w:r w:rsidR="00775F2E" w:rsidRPr="00F64697">
        <w:rPr>
          <w:rFonts w:cs="Times New Roman"/>
          <w:sz w:val="24"/>
          <w:szCs w:val="24"/>
          <w:lang w:val="es-ES"/>
        </w:rPr>
        <w:t>, de modo que se disuelven ocurrido el siniestro) hace ilusorio que las indemnizaciones sean abonadas, por más que haya condenas judiciales en este sentido.</w:t>
      </w:r>
      <w:r w:rsidR="00047FDA" w:rsidRPr="0057716B">
        <w:rPr>
          <w:rFonts w:cs="Times New Roman"/>
          <w:sz w:val="24"/>
          <w:szCs w:val="24"/>
          <w:lang w:val="es-ES"/>
        </w:rPr>
        <w:t xml:space="preserve"> </w:t>
      </w:r>
    </w:p>
    <w:p w14:paraId="3292E0A7" w14:textId="77777777" w:rsidR="00EB7B02" w:rsidRPr="0057716B" w:rsidRDefault="00EB7B02" w:rsidP="00047FDA">
      <w:pPr>
        <w:pStyle w:val="Textonotapie"/>
        <w:spacing w:before="120" w:after="120"/>
        <w:jc w:val="both"/>
        <w:rPr>
          <w:rFonts w:cs="Times New Roman"/>
          <w:sz w:val="24"/>
          <w:szCs w:val="24"/>
          <w:lang w:val="es-ES"/>
        </w:rPr>
      </w:pPr>
    </w:p>
    <w:bookmarkEnd w:id="0"/>
    <w:bookmarkEnd w:id="1"/>
    <w:bookmarkEnd w:id="7"/>
    <w:p w14:paraId="651767CC" w14:textId="77777777" w:rsidR="004C702B" w:rsidRPr="0057716B" w:rsidRDefault="004C702B" w:rsidP="00E17EC6">
      <w:pPr>
        <w:pStyle w:val="Textonotapie"/>
        <w:spacing w:before="120" w:after="120"/>
        <w:jc w:val="both"/>
        <w:rPr>
          <w:rFonts w:cs="Times New Roman"/>
          <w:sz w:val="24"/>
          <w:szCs w:val="24"/>
          <w:lang w:val="es-ES"/>
        </w:rPr>
      </w:pPr>
    </w:p>
    <w:bookmarkEnd w:id="2"/>
    <w:p w14:paraId="7AE47321" w14:textId="77777777" w:rsidR="006B4061" w:rsidRPr="0057716B" w:rsidRDefault="006B4061">
      <w:pPr>
        <w:pStyle w:val="Textonotapie"/>
        <w:spacing w:before="120" w:after="120"/>
        <w:jc w:val="both"/>
        <w:rPr>
          <w:rFonts w:cs="Times New Roman"/>
          <w:sz w:val="24"/>
          <w:szCs w:val="24"/>
          <w:lang w:val="es-ES"/>
        </w:rPr>
      </w:pPr>
    </w:p>
    <w:sectPr w:rsidR="006B4061" w:rsidRPr="0057716B" w:rsidSect="00C92CC1">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2BB2A" w14:textId="77777777" w:rsidR="005C2C04" w:rsidRDefault="005C2C04" w:rsidP="000624AB">
      <w:pPr>
        <w:spacing w:after="0" w:line="240" w:lineRule="auto"/>
      </w:pPr>
      <w:r>
        <w:separator/>
      </w:r>
    </w:p>
  </w:endnote>
  <w:endnote w:type="continuationSeparator" w:id="0">
    <w:p w14:paraId="6847B6F4" w14:textId="77777777" w:rsidR="005C2C04" w:rsidRDefault="005C2C04" w:rsidP="00062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7673072"/>
      <w:docPartObj>
        <w:docPartGallery w:val="Page Numbers (Bottom of Page)"/>
        <w:docPartUnique/>
      </w:docPartObj>
    </w:sdtPr>
    <w:sdtContent>
      <w:p w14:paraId="4411F77B" w14:textId="680837B3" w:rsidR="00797A19" w:rsidRDefault="00797A19" w:rsidP="000C09D6">
        <w:pPr>
          <w:pStyle w:val="Piedepgina"/>
          <w:jc w:val="center"/>
        </w:pPr>
        <w:r>
          <w:fldChar w:fldCharType="begin"/>
        </w:r>
        <w:r>
          <w:instrText>PAGE   \* MERGEFORMAT</w:instrText>
        </w:r>
        <w:r>
          <w:fldChar w:fldCharType="separate"/>
        </w:r>
        <w:r w:rsidR="00F92C14" w:rsidRPr="00F92C14">
          <w:rPr>
            <w:noProof/>
            <w:lang w:val="ca-ES"/>
          </w:rPr>
          <w:t>2</w:t>
        </w:r>
        <w:r>
          <w:fldChar w:fldCharType="end"/>
        </w:r>
      </w:p>
    </w:sdtContent>
  </w:sdt>
  <w:p w14:paraId="00500C38" w14:textId="77777777" w:rsidR="00797A19" w:rsidRDefault="00797A1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D754D" w14:textId="77777777" w:rsidR="005C2C04" w:rsidRDefault="005C2C04" w:rsidP="000624AB">
      <w:pPr>
        <w:spacing w:after="0" w:line="240" w:lineRule="auto"/>
      </w:pPr>
      <w:r>
        <w:separator/>
      </w:r>
    </w:p>
  </w:footnote>
  <w:footnote w:type="continuationSeparator" w:id="0">
    <w:p w14:paraId="746C8DED" w14:textId="77777777" w:rsidR="005C2C04" w:rsidRDefault="005C2C04" w:rsidP="000624AB">
      <w:pPr>
        <w:spacing w:after="0" w:line="240" w:lineRule="auto"/>
      </w:pPr>
      <w:r>
        <w:continuationSeparator/>
      </w:r>
    </w:p>
  </w:footnote>
  <w:footnote w:id="1">
    <w:p w14:paraId="0E993C58" w14:textId="67F9F05A" w:rsidR="008B7106" w:rsidRPr="00B43C4B" w:rsidRDefault="008B7106" w:rsidP="008B7106">
      <w:pPr>
        <w:pStyle w:val="Textonotapie"/>
        <w:jc w:val="both"/>
        <w:rPr>
          <w:lang w:val="es-ES"/>
        </w:rPr>
      </w:pPr>
      <w:r w:rsidRPr="00B43C4B">
        <w:rPr>
          <w:rStyle w:val="Refdenotaalpie"/>
        </w:rPr>
        <w:footnoteRef/>
      </w:r>
      <w:r w:rsidRPr="00B43C4B">
        <w:rPr>
          <w:lang w:val="es-ES"/>
        </w:rPr>
        <w:t xml:space="preserve"> La demanda contra la sociedad de clasificación del buque “Prestige”, American Bureau Shipping, ABS, también resultó infructuosa. La Corte de Apelación de los Estados Unidos de Norteamérica, segundo circuito, de Nueva York, mediante sentencia de 29 de agosto de 2012, desestimó el recurso de apelación presentado por el Reino de España contra ABS. La reclamación consistía en más de 1.000 millones de dólares por daños causados a raís del hundimiento del buque petrolero. La Corte de Apelación consideró que, a la vista de las pruebas presentadas, el Reino de España no había acreditado suficientemente el incump</w:t>
      </w:r>
      <w:r w:rsidR="00046639">
        <w:rPr>
          <w:lang w:val="es-ES"/>
        </w:rPr>
        <w:t>l</w:t>
      </w:r>
      <w:r w:rsidRPr="00B43C4B">
        <w:rPr>
          <w:lang w:val="es-ES"/>
        </w:rPr>
        <w:t>imiento de ninguna obligación que ABS pudiese asumir frente a España. La Corte de Apelación confirma así la sentencia recaída por el Tribunal de Distrito en el mismo sentido.</w:t>
      </w:r>
    </w:p>
  </w:footnote>
  <w:footnote w:id="2">
    <w:p w14:paraId="4BB9C30B" w14:textId="225D1A76" w:rsidR="00B54FFF" w:rsidRPr="00B43C4B" w:rsidRDefault="00B54FFF" w:rsidP="00B43C4B">
      <w:pPr>
        <w:pStyle w:val="Textonotapie"/>
        <w:jc w:val="both"/>
        <w:rPr>
          <w:rFonts w:cs="Times New Roman"/>
          <w:lang w:val="es-ES_tradnl"/>
        </w:rPr>
      </w:pPr>
      <w:r w:rsidRPr="00B43C4B">
        <w:rPr>
          <w:rStyle w:val="Refdenotaalpie"/>
          <w:rFonts w:cs="Times New Roman"/>
          <w:lang w:val="es-ES_tradnl"/>
        </w:rPr>
        <w:footnoteRef/>
      </w:r>
      <w:r w:rsidRPr="00B43C4B">
        <w:rPr>
          <w:rFonts w:cs="Times New Roman"/>
          <w:lang w:val="es-ES_tradnl"/>
        </w:rPr>
        <w:t xml:space="preserve"> La bibliografía española sobre clubs P&amp;I cuenta con las monografías de HILL</w:t>
      </w:r>
      <w:r w:rsidR="005B4CD8" w:rsidRPr="00B43C4B">
        <w:rPr>
          <w:rFonts w:cs="Times New Roman"/>
          <w:lang w:val="es-ES_tradnl"/>
        </w:rPr>
        <w:t xml:space="preserve"> PRADOS</w:t>
      </w:r>
      <w:r w:rsidRPr="00B43C4B">
        <w:rPr>
          <w:rFonts w:cs="Times New Roman"/>
          <w:lang w:val="es-ES_tradnl"/>
        </w:rPr>
        <w:t xml:space="preserve">, M. C. (1992), </w:t>
      </w:r>
      <w:r w:rsidRPr="00B43C4B">
        <w:rPr>
          <w:rFonts w:cs="Times New Roman"/>
          <w:i/>
          <w:lang w:val="es-ES_tradnl"/>
        </w:rPr>
        <w:t>Los clubs de protección e indemnización en el campo del seguro marítimo</w:t>
      </w:r>
      <w:r w:rsidRPr="00B43C4B">
        <w:rPr>
          <w:rFonts w:cs="Times New Roman"/>
          <w:lang w:val="es-ES_tradnl"/>
        </w:rPr>
        <w:t>, Barcelona: Bosch y CLAVERO</w:t>
      </w:r>
      <w:r w:rsidR="005B4CD8" w:rsidRPr="00B43C4B">
        <w:rPr>
          <w:rFonts w:cs="Times New Roman"/>
          <w:lang w:val="es-ES_tradnl"/>
        </w:rPr>
        <w:t xml:space="preserve"> TERNERO</w:t>
      </w:r>
      <w:r w:rsidRPr="00B43C4B">
        <w:rPr>
          <w:rFonts w:cs="Times New Roman"/>
          <w:lang w:val="es-ES_tradnl"/>
        </w:rPr>
        <w:t xml:space="preserve">, M. F. (1993) </w:t>
      </w:r>
      <w:r w:rsidRPr="00B43C4B">
        <w:rPr>
          <w:rFonts w:cs="Times New Roman"/>
          <w:i/>
          <w:lang w:val="es-ES_tradnl"/>
        </w:rPr>
        <w:t>Clubs de P&amp;I</w:t>
      </w:r>
      <w:r w:rsidRPr="00B43C4B">
        <w:rPr>
          <w:rFonts w:cs="Times New Roman"/>
          <w:lang w:val="es-ES_tradnl"/>
        </w:rPr>
        <w:t xml:space="preserve">, Madrid: Instituto Europeo de Estudios Marítimos, con algunos artículos sobre temas específicos, como la acción directa, y el tratamiento en los manuales de derecho marítimo. En la bibliografía extranjera, la obra de referencia es HAZELWOOD, S. J. y SEMARK, D. (2010), </w:t>
      </w:r>
      <w:r w:rsidRPr="00B43C4B">
        <w:rPr>
          <w:rFonts w:cs="Times New Roman"/>
          <w:i/>
          <w:lang w:val="es-ES_tradnl"/>
        </w:rPr>
        <w:t>Clubs P&amp;I. Law and Practice</w:t>
      </w:r>
      <w:r w:rsidRPr="00B43C4B">
        <w:rPr>
          <w:rFonts w:cs="Times New Roman"/>
          <w:lang w:val="es-ES_tradnl"/>
        </w:rPr>
        <w:t>, 4ª ed., Londres: Lloyd List. Entre la doctrina española, sin ánimo exhaustivo, puede consultarse GABALDÓN</w:t>
      </w:r>
      <w:r w:rsidR="005B4CD8" w:rsidRPr="00B43C4B">
        <w:rPr>
          <w:rFonts w:cs="Times New Roman"/>
          <w:lang w:val="es-ES_tradnl"/>
        </w:rPr>
        <w:t xml:space="preserve"> GARCÍA</w:t>
      </w:r>
      <w:r w:rsidRPr="00B43C4B">
        <w:rPr>
          <w:rFonts w:cs="Times New Roman"/>
          <w:lang w:val="es-ES_tradnl"/>
        </w:rPr>
        <w:t xml:space="preserve">, J. L. (2012), </w:t>
      </w:r>
      <w:r w:rsidRPr="00B43C4B">
        <w:rPr>
          <w:rFonts w:cs="Times New Roman"/>
          <w:i/>
          <w:lang w:val="es-ES_tradnl"/>
        </w:rPr>
        <w:t xml:space="preserve">Curso de derecho marítimo internacional. Derecho marítimo internacional público y privado y contratos marítimos internacionales, </w:t>
      </w:r>
      <w:r w:rsidRPr="00B43C4B">
        <w:rPr>
          <w:rFonts w:cs="Times New Roman"/>
          <w:lang w:val="es-ES_tradnl"/>
        </w:rPr>
        <w:t>Madrid-Barcelona-Buenos Aires: Marcial Pons, 2012, págs. 869-879; GARCÍA-PITA</w:t>
      </w:r>
      <w:r w:rsidR="005B4CD8" w:rsidRPr="00B43C4B">
        <w:rPr>
          <w:rFonts w:cs="Times New Roman"/>
          <w:lang w:val="es-ES_tradnl"/>
        </w:rPr>
        <w:t xml:space="preserve"> y LASTRES</w:t>
      </w:r>
      <w:r w:rsidRPr="00B43C4B">
        <w:rPr>
          <w:rFonts w:cs="Times New Roman"/>
          <w:lang w:val="es-ES_tradnl"/>
        </w:rPr>
        <w:t xml:space="preserve">, J. L. (2009), </w:t>
      </w:r>
      <w:r w:rsidRPr="00B43C4B">
        <w:rPr>
          <w:rFonts w:cs="Times New Roman"/>
          <w:i/>
          <w:lang w:val="es-ES_tradnl"/>
        </w:rPr>
        <w:t>Riesgos e intereses del naviero y cobertura asegurativa. Del Código de Comercio, a la reforma del Derecho de la navegación marítima</w:t>
      </w:r>
      <w:r w:rsidRPr="00B43C4B">
        <w:rPr>
          <w:rFonts w:cs="Times New Roman"/>
          <w:lang w:val="es-ES_tradnl"/>
        </w:rPr>
        <w:t xml:space="preserve">, Cizur Menor: Aranzadi-Thomson Reuters, págs. 249-266; RODRÍGUEZ CARRIÓN, J. L. (2003), </w:t>
      </w:r>
      <w:r w:rsidRPr="00B43C4B">
        <w:rPr>
          <w:rFonts w:cs="Times New Roman"/>
          <w:i/>
          <w:lang w:val="es-ES_tradnl"/>
        </w:rPr>
        <w:t>Derecho de la navegación. Los seguros marítimos y aéreos</w:t>
      </w:r>
      <w:r w:rsidRPr="00B43C4B">
        <w:rPr>
          <w:rFonts w:cs="Times New Roman"/>
          <w:lang w:val="es-ES_tradnl"/>
        </w:rPr>
        <w:t xml:space="preserve">, Madrid-Barcelona: Marcial Pons, págs. 463-500; ARROYO MARTÍNEZ, I. (2015), </w:t>
      </w:r>
      <w:r w:rsidRPr="00B43C4B">
        <w:rPr>
          <w:rFonts w:cs="Times New Roman"/>
          <w:i/>
          <w:iCs/>
          <w:lang w:val="es-ES_tradnl"/>
        </w:rPr>
        <w:t>Curso de Derecho Marítimo</w:t>
      </w:r>
      <w:r w:rsidRPr="00B43C4B">
        <w:rPr>
          <w:rFonts w:cs="Times New Roman"/>
          <w:lang w:val="es-ES_tradnl"/>
        </w:rPr>
        <w:t xml:space="preserve">, 3ª ed., Madrid: Civitas, págs. 843-851; PULIDO BEGINES, J. L. (2015), </w:t>
      </w:r>
      <w:r w:rsidRPr="00B43C4B">
        <w:rPr>
          <w:rFonts w:cs="Times New Roman"/>
          <w:i/>
          <w:lang w:val="es-ES_tradnl"/>
        </w:rPr>
        <w:t>Curso de Derecho de la navegación marítima</w:t>
      </w:r>
      <w:r w:rsidRPr="00B43C4B">
        <w:rPr>
          <w:rFonts w:cs="Times New Roman"/>
          <w:lang w:val="es-ES_tradnl"/>
        </w:rPr>
        <w:t xml:space="preserve">, Madrid: Tecnos, págs. 498-500, y; SALINAS ADELANTADO, C. (2021), </w:t>
      </w:r>
      <w:r w:rsidRPr="00B43C4B">
        <w:rPr>
          <w:rFonts w:cs="Times New Roman"/>
          <w:i/>
          <w:iCs/>
          <w:lang w:val="es-ES_tradnl"/>
        </w:rPr>
        <w:t>Manual de Derecho Marítimo</w:t>
      </w:r>
      <w:r w:rsidRPr="00B43C4B">
        <w:rPr>
          <w:rFonts w:cs="Times New Roman"/>
          <w:lang w:val="es-ES_tradnl"/>
        </w:rPr>
        <w:t xml:space="preserve">, Valencia: Tirant lo Blanch, págs. 789-809. También nuestra obra SIERRA NOGUERO, E. (2016), </w:t>
      </w:r>
      <w:r w:rsidRPr="00B43C4B">
        <w:rPr>
          <w:rFonts w:cs="Times New Roman"/>
          <w:i/>
          <w:lang w:val="es-ES_tradnl"/>
        </w:rPr>
        <w:t>El seguro de responsabilidad civil derivada de la navegación de buque</w:t>
      </w:r>
      <w:r w:rsidRPr="00B43C4B">
        <w:rPr>
          <w:rFonts w:cs="Times New Roman"/>
          <w:lang w:val="es-ES_tradnl"/>
        </w:rPr>
        <w:t>, Madrid: Fundación Mapfre, págs. 41-86.</w:t>
      </w:r>
    </w:p>
  </w:footnote>
  <w:footnote w:id="3">
    <w:p w14:paraId="73211962" w14:textId="34B47AFE" w:rsidR="00BB31A4" w:rsidRPr="00B43C4B" w:rsidRDefault="00BB31A4" w:rsidP="00B43C4B">
      <w:pPr>
        <w:pStyle w:val="Textonotapie"/>
        <w:jc w:val="both"/>
        <w:rPr>
          <w:lang w:val="es-ES"/>
        </w:rPr>
      </w:pPr>
      <w:r w:rsidRPr="00B43C4B">
        <w:rPr>
          <w:rStyle w:val="Refdenotaalpie"/>
        </w:rPr>
        <w:footnoteRef/>
      </w:r>
      <w:r w:rsidRPr="00B43C4B">
        <w:rPr>
          <w:lang w:val="es-ES"/>
        </w:rPr>
        <w:t xml:space="preserve"> De acuerdo con el Real Decreto-Ley 4/2003, de 20 de junio, sobre actuaciones para el abono de indemnizaciones en relación con los daños ocasionados por el accidente del buque “Prestige</w:t>
      </w:r>
      <w:r w:rsidR="00C508F6" w:rsidRPr="00B43C4B">
        <w:rPr>
          <w:lang w:val="es-ES"/>
        </w:rPr>
        <w:t>”,</w:t>
      </w:r>
      <w:r w:rsidRPr="00B43C4B">
        <w:rPr>
          <w:lang w:val="es-ES"/>
        </w:rPr>
        <w:t xml:space="preserve"> el Estado español anticipó a través del Instituto de Crédito Oficial (ICO) una indemnización a particulares y Administraciones Públicas, subrogándose el Estado en los derechos de los perjudicados por esta cuantía mediante la firma de acuerdos transaccionales. Este Real Decreto-Ley 2/2003 limitaba el importe global a 160 millones de euros (art. 1) y se condicionaba a recibir fondos del FIDAC u otros mecanismos de protección (art. 2). Luego, el Real Decreto-Ley 4/2004, de 2 de </w:t>
      </w:r>
      <w:r w:rsidR="00C508F6" w:rsidRPr="00B43C4B">
        <w:rPr>
          <w:lang w:val="es-ES"/>
        </w:rPr>
        <w:t>julio,</w:t>
      </w:r>
      <w:r w:rsidRPr="00B43C4B">
        <w:rPr>
          <w:lang w:val="es-ES"/>
        </w:rPr>
        <w:t xml:space="preserve"> suprimió tanto el límite de 160 millones de euros por ser notoriamente insuficiente, como la condición de que el ICO recibiese antes los fondos del FIDAC. De este modo, el Estado atendió por su cuenta los anticipos derivados de acuerdos y convenios transaccionales con los afectados que optaron por suscribirlos (art. 1). Además, el Estado español llegó a acuerdos transaccionales con las Comunidades Autónomas de Galicia, de Asturias, de Cantabria y del País Vasco para financiar los daños, así como con los Ayuntamientos de municipios de Galicia. Se han de sumar las subvenciones directas al sector pesquero. Todos estos importes y otros daños y perjuicios fueron reclamados por el Estado español a los demandados de responsabilidad civil en el proceso seguido ante la Audiencia Provincial de A Coruña.</w:t>
      </w:r>
    </w:p>
  </w:footnote>
  <w:footnote w:id="4">
    <w:p w14:paraId="6EBBD3AE" w14:textId="2FA6FD6A" w:rsidR="000C6FBE" w:rsidRPr="00B43C4B" w:rsidRDefault="000C6FBE" w:rsidP="00B43C4B">
      <w:pPr>
        <w:pStyle w:val="Textonotapie"/>
        <w:jc w:val="both"/>
        <w:rPr>
          <w:rFonts w:cs="Times New Roman"/>
          <w:lang w:val="es-ES_tradnl"/>
        </w:rPr>
      </w:pPr>
      <w:r w:rsidRPr="00B43C4B">
        <w:rPr>
          <w:rStyle w:val="Refdenotaalpie"/>
          <w:rFonts w:cs="Times New Roman"/>
          <w:lang w:val="es-ES_tradnl"/>
        </w:rPr>
        <w:footnoteRef/>
      </w:r>
      <w:r w:rsidRPr="00B43C4B">
        <w:rPr>
          <w:rFonts w:cs="Times New Roman"/>
          <w:lang w:val="es-ES_tradnl"/>
        </w:rPr>
        <w:t xml:space="preserve"> En </w:t>
      </w:r>
      <w:r w:rsidRPr="00B43C4B">
        <w:rPr>
          <w:rFonts w:cs="Times New Roman"/>
          <w:i/>
          <w:lang w:val="es-ES_tradnl"/>
        </w:rPr>
        <w:t>Cendoj</w:t>
      </w:r>
      <w:r w:rsidRPr="00B43C4B">
        <w:rPr>
          <w:rFonts w:cs="Times New Roman"/>
          <w:bCs/>
          <w:shd w:val="clear" w:color="auto" w:fill="FFFFFF"/>
          <w:lang w:val="es-ES_tradnl"/>
        </w:rPr>
        <w:t xml:space="preserve"> </w:t>
      </w:r>
      <w:r w:rsidRPr="00B43C4B">
        <w:rPr>
          <w:rFonts w:cs="Times New Roman"/>
          <w:lang w:val="es-ES_tradnl"/>
        </w:rPr>
        <w:t>15030370012013100477</w:t>
      </w:r>
      <w:r w:rsidR="007D430C" w:rsidRPr="00B43C4B">
        <w:rPr>
          <w:rFonts w:cs="Times New Roman"/>
          <w:lang w:val="es-ES_tradnl"/>
        </w:rPr>
        <w:t>.</w:t>
      </w:r>
    </w:p>
  </w:footnote>
  <w:footnote w:id="5">
    <w:p w14:paraId="7C560CE7" w14:textId="77777777" w:rsidR="004F75ED" w:rsidRPr="00B43C4B" w:rsidRDefault="004F75ED" w:rsidP="004F75ED">
      <w:pPr>
        <w:pStyle w:val="Textonotapie"/>
        <w:jc w:val="both"/>
        <w:rPr>
          <w:lang w:val="es-ES_tradnl"/>
        </w:rPr>
      </w:pPr>
      <w:r w:rsidRPr="00B43C4B">
        <w:rPr>
          <w:rStyle w:val="Refdenotaalpie"/>
          <w:lang w:val="es-ES_tradnl"/>
        </w:rPr>
        <w:footnoteRef/>
      </w:r>
      <w:r w:rsidRPr="00B43C4B">
        <w:rPr>
          <w:lang w:val="es-ES_tradnl"/>
        </w:rPr>
        <w:t xml:space="preserve"> Protocolo de 1992 al Convenio de Responsabilidad Civil de 1969, que enmienda el Protocolo. El art. 11.2 Protocolo señala que los artículos I al XII ter, incluido el modelo de certificado, del Convenio de Responsabilidad Civil de 1969, en su forma enmendada por el presente Protocolo, tendrán la designación de Convenio de Responsabilidad Civil, 1992. </w:t>
      </w:r>
      <w:r w:rsidRPr="00B43C4B">
        <w:rPr>
          <w:rFonts w:cs="Times New Roman"/>
          <w:lang w:val="es-ES"/>
        </w:rPr>
        <w:t>Es más conocido por su acrónimo en inglés CLC PROT 1992 (</w:t>
      </w:r>
      <w:r w:rsidRPr="00B43C4B">
        <w:rPr>
          <w:rFonts w:cs="Times New Roman"/>
          <w:i/>
          <w:iCs/>
          <w:lang w:val="es-ES"/>
        </w:rPr>
        <w:t>Civil Liability Convention Protocol 1992</w:t>
      </w:r>
      <w:r w:rsidRPr="00B43C4B">
        <w:rPr>
          <w:rFonts w:cs="Times New Roman"/>
          <w:lang w:val="es-ES"/>
        </w:rPr>
        <w:t>, o directamente</w:t>
      </w:r>
      <w:r w:rsidRPr="00B43C4B">
        <w:rPr>
          <w:rFonts w:cs="Times New Roman"/>
          <w:i/>
          <w:iCs/>
          <w:lang w:val="es-ES"/>
        </w:rPr>
        <w:t xml:space="preserve"> CLC 1992</w:t>
      </w:r>
      <w:r w:rsidRPr="00B43C4B">
        <w:rPr>
          <w:rFonts w:cs="Times New Roman"/>
          <w:lang w:val="es-ES"/>
        </w:rPr>
        <w:t>). En vigor desde el 3 de mayo de 1996, cuenta con 146 Estados parte, cuyos buques mercantes representan el 97,55% del tonelaje mundial</w:t>
      </w:r>
      <w:r w:rsidRPr="00B43C4B">
        <w:rPr>
          <w:lang w:val="es-ES_tradnl"/>
        </w:rPr>
        <w:t xml:space="preserve">, de acuerdo con la Organización Marítima Internacional, una agencia especial de las Naciones Unidas. Al respecto, véase su página web como organismo depositario de los Convenios en </w:t>
      </w:r>
      <w:hyperlink r:id="rId1" w:history="1">
        <w:r w:rsidRPr="00B43C4B">
          <w:rPr>
            <w:rStyle w:val="Hipervnculo"/>
            <w:color w:val="auto"/>
            <w:u w:val="none"/>
            <w:lang w:val="es-ES_tradnl"/>
          </w:rPr>
          <w:t>https://rb.gy/egzqi</w:t>
        </w:r>
      </w:hyperlink>
      <w:r w:rsidRPr="00B43C4B">
        <w:rPr>
          <w:lang w:val="es-ES_tradnl"/>
        </w:rPr>
        <w:t xml:space="preserve">, consultada el 13 de octubre de 2023. También sigue en vigor todavía el Convenio de Responsabilidad Civil de 1969, en 32 Estados, pero ha sido progresivamente sustituido como norma internacional de referencia por el Convenio de Responsabilidad Civil de 1992. </w:t>
      </w:r>
      <w:r w:rsidRPr="00B43C4B">
        <w:rPr>
          <w:rFonts w:cs="Times New Roman"/>
          <w:lang w:val="es-ES"/>
        </w:rPr>
        <w:t>España es parte del Convenio de Responsabilidad Civil de 1992 mediante instrumento de adhesión al Protocolo (</w:t>
      </w:r>
      <w:r w:rsidRPr="00B43C4B">
        <w:rPr>
          <w:i/>
          <w:iCs/>
          <w:lang w:val="es-ES_tradnl"/>
        </w:rPr>
        <w:t>Boletín Oficial del Estado</w:t>
      </w:r>
      <w:r w:rsidRPr="00B43C4B">
        <w:rPr>
          <w:lang w:val="es-ES_tradnl"/>
        </w:rPr>
        <w:t>, núm. 225, de 20 de septiembre de 1995)</w:t>
      </w:r>
      <w:r w:rsidRPr="00B43C4B">
        <w:rPr>
          <w:rFonts w:cs="Times New Roman"/>
          <w:lang w:val="es-ES"/>
        </w:rPr>
        <w:t>.</w:t>
      </w:r>
    </w:p>
  </w:footnote>
  <w:footnote w:id="6">
    <w:p w14:paraId="4303FA01" w14:textId="77777777" w:rsidR="004F75ED" w:rsidRPr="00B43C4B" w:rsidRDefault="004F75ED" w:rsidP="004F75ED">
      <w:pPr>
        <w:pStyle w:val="Textonotapie"/>
        <w:jc w:val="both"/>
        <w:rPr>
          <w:lang w:val="es-ES"/>
        </w:rPr>
      </w:pPr>
      <w:r w:rsidRPr="00B43C4B">
        <w:rPr>
          <w:rStyle w:val="Refdenotaalpie"/>
        </w:rPr>
        <w:footnoteRef/>
      </w:r>
      <w:r w:rsidRPr="00B43C4B">
        <w:rPr>
          <w:lang w:val="es-ES"/>
        </w:rPr>
        <w:t xml:space="preserve"> En particular, el art. V.1 del Convenio de Responsabilidad Civil de 1992 dispone que el propietario de un buque tendrá derecho a limitar la responsabilidad que le corresponda en virtud del presente Convenio, respecto de cada suceso, a una cuantía total que se calculará del modo siguiente: a) Tres millones de unidades de cuenta para buques cuyo arqueo no exceda de 5.000 unidades de arqueo. b) Para buques cuyo arqueo exceda del arriba indicado, por cada unidad de arqueo adicional se sumarán 420 unidades de cuenta a la cantidad mencionada en el subpárrafo a) si bien la cuantía total no excederá en ningún caso de 59,7 millones de unidades de cuenta.</w:t>
      </w:r>
    </w:p>
  </w:footnote>
  <w:footnote w:id="7">
    <w:p w14:paraId="141AE461" w14:textId="5857195A" w:rsidR="00AC6312" w:rsidRPr="00B43C4B" w:rsidRDefault="00AC6312" w:rsidP="00B43C4B">
      <w:pPr>
        <w:pStyle w:val="Textonotapie"/>
        <w:jc w:val="both"/>
        <w:rPr>
          <w:lang w:val="es-ES_tradnl"/>
        </w:rPr>
      </w:pPr>
      <w:r w:rsidRPr="00B43C4B">
        <w:rPr>
          <w:rStyle w:val="Refdenotaalpie"/>
          <w:lang w:val="es-ES_tradnl"/>
        </w:rPr>
        <w:footnoteRef/>
      </w:r>
      <w:r w:rsidRPr="00B43C4B">
        <w:rPr>
          <w:lang w:val="es-ES_tradnl"/>
        </w:rPr>
        <w:t xml:space="preserve"> Pág. 56 de la versión en </w:t>
      </w:r>
      <w:r w:rsidRPr="00B43C4B">
        <w:rPr>
          <w:i/>
          <w:iCs/>
          <w:lang w:val="es-ES_tradnl"/>
        </w:rPr>
        <w:t>Cendoj</w:t>
      </w:r>
      <w:r w:rsidRPr="00B43C4B">
        <w:rPr>
          <w:lang w:val="es-ES_tradnl"/>
        </w:rPr>
        <w:t xml:space="preserve"> de la sentencia</w:t>
      </w:r>
      <w:r w:rsidR="00E53898" w:rsidRPr="00B43C4B">
        <w:rPr>
          <w:lang w:val="es-ES_tradnl"/>
        </w:rPr>
        <w:t xml:space="preserve"> de la Audiencia Provincial de A Coruña</w:t>
      </w:r>
      <w:r w:rsidRPr="00B43C4B">
        <w:rPr>
          <w:lang w:val="es-ES_tradnl"/>
        </w:rPr>
        <w:t>.</w:t>
      </w:r>
      <w:r w:rsidR="007D430C" w:rsidRPr="00B43C4B">
        <w:rPr>
          <w:lang w:val="es-ES"/>
        </w:rPr>
        <w:t xml:space="preserve"> </w:t>
      </w:r>
    </w:p>
  </w:footnote>
  <w:footnote w:id="8">
    <w:p w14:paraId="5FEF83ED" w14:textId="0CA8B5CD" w:rsidR="00797A19" w:rsidRPr="00B43C4B" w:rsidRDefault="00797A19" w:rsidP="00B43C4B">
      <w:pPr>
        <w:pStyle w:val="Textonotapie"/>
        <w:jc w:val="both"/>
        <w:rPr>
          <w:rFonts w:cs="Times New Roman"/>
          <w:lang w:val="es-ES_tradnl"/>
        </w:rPr>
      </w:pPr>
      <w:r w:rsidRPr="00B43C4B">
        <w:rPr>
          <w:rStyle w:val="Refdenotaalpie"/>
          <w:rFonts w:cs="Times New Roman"/>
          <w:lang w:val="es-ES_tradnl"/>
        </w:rPr>
        <w:footnoteRef/>
      </w:r>
      <w:r w:rsidRPr="00B43C4B">
        <w:rPr>
          <w:rFonts w:cs="Times New Roman"/>
          <w:lang w:val="es-ES_tradnl"/>
        </w:rPr>
        <w:t xml:space="preserve"> </w:t>
      </w:r>
      <w:r w:rsidR="00E53898" w:rsidRPr="00B43C4B">
        <w:rPr>
          <w:rFonts w:cs="Times New Roman"/>
          <w:lang w:val="es-ES_tradnl"/>
        </w:rPr>
        <w:t xml:space="preserve">En </w:t>
      </w:r>
      <w:r w:rsidR="00E53898" w:rsidRPr="00B43C4B">
        <w:rPr>
          <w:rFonts w:cs="Times New Roman"/>
          <w:i/>
          <w:iCs/>
          <w:lang w:val="es-ES_tradnl"/>
        </w:rPr>
        <w:t xml:space="preserve">Cendoj </w:t>
      </w:r>
      <w:r w:rsidR="00E53898" w:rsidRPr="00B43C4B">
        <w:rPr>
          <w:lang w:val="es-ES"/>
        </w:rPr>
        <w:t>28079120012016100001.</w:t>
      </w:r>
      <w:r w:rsidR="00E53898" w:rsidRPr="00B43C4B">
        <w:rPr>
          <w:rFonts w:cs="Times New Roman"/>
          <w:lang w:val="es-ES_tradnl"/>
        </w:rPr>
        <w:t xml:space="preserve"> </w:t>
      </w:r>
      <w:r w:rsidR="00C70F63" w:rsidRPr="00B43C4B">
        <w:rPr>
          <w:rFonts w:cs="Times New Roman"/>
          <w:lang w:val="es-ES_tradnl"/>
        </w:rPr>
        <w:t xml:space="preserve">Sobre esta sentencia, </w:t>
      </w:r>
      <w:r w:rsidR="00C70F63" w:rsidRPr="00B43C4B">
        <w:rPr>
          <w:rFonts w:cs="Times New Roman"/>
          <w:i/>
          <w:iCs/>
          <w:lang w:val="es-ES_tradnl"/>
        </w:rPr>
        <w:t>vid</w:t>
      </w:r>
      <w:r w:rsidR="00C70F63" w:rsidRPr="00B43C4B">
        <w:rPr>
          <w:rFonts w:cs="Times New Roman"/>
          <w:lang w:val="es-ES_tradnl"/>
        </w:rPr>
        <w:t xml:space="preserve"> </w:t>
      </w:r>
      <w:r w:rsidRPr="00B43C4B">
        <w:rPr>
          <w:rFonts w:cs="Times New Roman"/>
          <w:lang w:val="es-ES_tradnl"/>
        </w:rPr>
        <w:t>ALBA, M. y GABALDÓN, J. L.</w:t>
      </w:r>
      <w:r w:rsidR="00E4410D" w:rsidRPr="00B43C4B">
        <w:rPr>
          <w:rFonts w:cs="Times New Roman"/>
          <w:lang w:val="es-ES_tradnl"/>
        </w:rPr>
        <w:t xml:space="preserve"> (2016)</w:t>
      </w:r>
      <w:r w:rsidR="00074479" w:rsidRPr="00B43C4B">
        <w:rPr>
          <w:rFonts w:cs="Times New Roman"/>
          <w:lang w:val="es-ES_tradnl"/>
        </w:rPr>
        <w:t>,</w:t>
      </w:r>
      <w:r w:rsidR="00095BFC" w:rsidRPr="00B43C4B">
        <w:rPr>
          <w:rFonts w:cs="Times New Roman"/>
          <w:lang w:val="es-ES_tradnl"/>
        </w:rPr>
        <w:t xml:space="preserve"> </w:t>
      </w:r>
      <w:r w:rsidR="00CF3CC0" w:rsidRPr="00B43C4B">
        <w:rPr>
          <w:rFonts w:eastAsia="Times New Roman" w:cs="Times New Roman"/>
          <w:bdr w:val="none" w:sz="0" w:space="0" w:color="auto" w:frame="1"/>
          <w:lang w:val="es-ES_tradnl" w:eastAsia="es-ES"/>
        </w:rPr>
        <w:t>“A</w:t>
      </w:r>
      <w:r w:rsidR="00074479" w:rsidRPr="00B43C4B">
        <w:rPr>
          <w:rFonts w:cs="Times New Roman"/>
          <w:lang w:val="es-ES_tradnl"/>
        </w:rPr>
        <w:t>ffaire</w:t>
      </w:r>
      <w:r w:rsidRPr="00B43C4B">
        <w:rPr>
          <w:rFonts w:cs="Times New Roman"/>
          <w:lang w:val="es-ES_tradnl"/>
        </w:rPr>
        <w:t xml:space="preserve"> du Prestige: Le capitaine est condamné pour délit d’imprudence contre l’environment et ne peut beneficier, tout comme l’armateur et en presence d’un “soupçon de dol”, de la limitation de responsabilité</w:t>
      </w:r>
      <w:r w:rsidR="00CF3CC0" w:rsidRPr="00B43C4B">
        <w:rPr>
          <w:rFonts w:eastAsia="Times New Roman" w:cs="Times New Roman"/>
          <w:bdr w:val="none" w:sz="0" w:space="0" w:color="auto" w:frame="1"/>
          <w:lang w:val="es-ES_tradnl" w:eastAsia="es-ES"/>
        </w:rPr>
        <w:t>”</w:t>
      </w:r>
      <w:r w:rsidR="006235FF" w:rsidRPr="00B43C4B">
        <w:rPr>
          <w:rFonts w:eastAsia="Times New Roman" w:cs="Times New Roman"/>
          <w:bdr w:val="none" w:sz="0" w:space="0" w:color="auto" w:frame="1"/>
          <w:lang w:val="es-ES_tradnl" w:eastAsia="es-ES"/>
        </w:rPr>
        <w:t>.</w:t>
      </w:r>
      <w:r w:rsidR="00CF3CC0" w:rsidRPr="00B43C4B">
        <w:rPr>
          <w:rFonts w:eastAsia="Times New Roman" w:cs="Times New Roman"/>
          <w:bdr w:val="none" w:sz="0" w:space="0" w:color="auto" w:frame="1"/>
          <w:lang w:val="es-ES_tradnl" w:eastAsia="es-ES"/>
        </w:rPr>
        <w:t xml:space="preserve"> </w:t>
      </w:r>
      <w:r w:rsidRPr="00B43C4B">
        <w:rPr>
          <w:rFonts w:cs="Times New Roman"/>
          <w:i/>
          <w:lang w:val="es-ES_tradnl"/>
        </w:rPr>
        <w:t>Le Droit Maritime Français</w:t>
      </w:r>
      <w:r w:rsidRPr="00B43C4B">
        <w:rPr>
          <w:rFonts w:cs="Times New Roman"/>
          <w:lang w:val="es-ES_tradnl"/>
        </w:rPr>
        <w:t xml:space="preserve">, núm. 779, págs. 338-351; </w:t>
      </w:r>
      <w:r w:rsidRPr="00B43C4B">
        <w:rPr>
          <w:rFonts w:eastAsia="Times New Roman" w:cs="Times New Roman"/>
          <w:bdr w:val="none" w:sz="0" w:space="0" w:color="auto" w:frame="1"/>
          <w:lang w:val="es-ES_tradnl" w:eastAsia="es-ES"/>
        </w:rPr>
        <w:t>BETANCOR RODRIGUEZ, A.</w:t>
      </w:r>
      <w:r w:rsidR="009A356D" w:rsidRPr="00B43C4B">
        <w:rPr>
          <w:rFonts w:eastAsia="Times New Roman" w:cs="Times New Roman"/>
          <w:bdr w:val="none" w:sz="0" w:space="0" w:color="auto" w:frame="1"/>
          <w:lang w:val="es-ES_tradnl" w:eastAsia="es-ES"/>
        </w:rPr>
        <w:t xml:space="preserve"> (2018)</w:t>
      </w:r>
      <w:r w:rsidRPr="00B43C4B">
        <w:rPr>
          <w:rFonts w:eastAsia="Times New Roman" w:cs="Times New Roman"/>
          <w:bdr w:val="none" w:sz="0" w:space="0" w:color="auto" w:frame="1"/>
          <w:lang w:val="es-ES_tradnl" w:eastAsia="es-ES"/>
        </w:rPr>
        <w:t xml:space="preserve">, </w:t>
      </w:r>
      <w:r w:rsidRPr="00B43C4B">
        <w:rPr>
          <w:rFonts w:eastAsia="Times New Roman" w:cs="Times New Roman"/>
          <w:i/>
          <w:bdr w:val="none" w:sz="0" w:space="0" w:color="auto" w:frame="1"/>
          <w:lang w:val="es-ES_tradnl" w:eastAsia="es-ES"/>
        </w:rPr>
        <w:t>Responsabilidad y aseguramiento por daños ambientales. El caso Prestige</w:t>
      </w:r>
      <w:r w:rsidR="009A356D" w:rsidRPr="00B43C4B">
        <w:rPr>
          <w:rFonts w:eastAsia="Times New Roman" w:cs="Times New Roman"/>
          <w:bdr w:val="none" w:sz="0" w:space="0" w:color="auto" w:frame="1"/>
          <w:lang w:val="es-ES_tradnl" w:eastAsia="es-ES"/>
        </w:rPr>
        <w:t xml:space="preserve">, </w:t>
      </w:r>
      <w:r w:rsidRPr="00B43C4B">
        <w:rPr>
          <w:rFonts w:eastAsia="Times New Roman" w:cs="Times New Roman"/>
          <w:bdr w:val="none" w:sz="0" w:space="0" w:color="auto" w:frame="1"/>
          <w:lang w:val="es-ES_tradnl" w:eastAsia="es-ES"/>
        </w:rPr>
        <w:t>Madrid</w:t>
      </w:r>
      <w:r w:rsidR="009A356D" w:rsidRPr="00B43C4B">
        <w:rPr>
          <w:rFonts w:eastAsia="Times New Roman" w:cs="Times New Roman"/>
          <w:bdr w:val="none" w:sz="0" w:space="0" w:color="auto" w:frame="1"/>
          <w:lang w:val="es-ES_tradnl" w:eastAsia="es-ES"/>
        </w:rPr>
        <w:t>: BOE</w:t>
      </w:r>
      <w:r w:rsidRPr="00B43C4B">
        <w:rPr>
          <w:rFonts w:eastAsia="Times New Roman" w:cs="Times New Roman"/>
          <w:bdr w:val="none" w:sz="0" w:space="0" w:color="auto" w:frame="1"/>
          <w:lang w:val="es-ES_tradnl" w:eastAsia="es-ES"/>
        </w:rPr>
        <w:t xml:space="preserve">; </w:t>
      </w:r>
      <w:r w:rsidRPr="00B43C4B">
        <w:rPr>
          <w:rFonts w:cs="Times New Roman"/>
          <w:lang w:val="es-ES_tradnl"/>
        </w:rPr>
        <w:t>GARCÍA-PITA</w:t>
      </w:r>
      <w:r w:rsidR="00CF3CC0" w:rsidRPr="00B43C4B">
        <w:rPr>
          <w:rFonts w:cs="Times New Roman"/>
          <w:lang w:val="es-ES_tradnl"/>
        </w:rPr>
        <w:t xml:space="preserve"> </w:t>
      </w:r>
      <w:r w:rsidR="005B4CD8" w:rsidRPr="00B43C4B">
        <w:rPr>
          <w:rFonts w:cs="Times New Roman"/>
          <w:lang w:val="es-ES_tradnl"/>
        </w:rPr>
        <w:t>y</w:t>
      </w:r>
      <w:r w:rsidR="00CF3CC0" w:rsidRPr="00B43C4B">
        <w:rPr>
          <w:rFonts w:cs="Times New Roman"/>
          <w:lang w:val="es-ES_tradnl"/>
        </w:rPr>
        <w:t xml:space="preserve"> LASTRES</w:t>
      </w:r>
      <w:r w:rsidRPr="00B43C4B">
        <w:rPr>
          <w:rFonts w:cs="Times New Roman"/>
          <w:lang w:val="es-ES_tradnl"/>
        </w:rPr>
        <w:t>, J. L.</w:t>
      </w:r>
      <w:r w:rsidR="009A356D" w:rsidRPr="00B43C4B">
        <w:rPr>
          <w:rFonts w:cs="Times New Roman"/>
          <w:lang w:val="es-ES_tradnl"/>
        </w:rPr>
        <w:t xml:space="preserve"> (2016)</w:t>
      </w:r>
      <w:r w:rsidRPr="00B43C4B">
        <w:rPr>
          <w:rFonts w:cs="Times New Roman"/>
          <w:lang w:val="es-ES_tradnl"/>
        </w:rPr>
        <w:t xml:space="preserve">, </w:t>
      </w:r>
      <w:r w:rsidR="00CF3CC0" w:rsidRPr="00B43C4B">
        <w:rPr>
          <w:rFonts w:cs="Times New Roman"/>
          <w:lang w:val="es-ES_tradnl"/>
        </w:rPr>
        <w:t>“</w:t>
      </w:r>
      <w:r w:rsidRPr="00B43C4B">
        <w:rPr>
          <w:rFonts w:cs="Times New Roman"/>
          <w:lang w:val="es-ES_tradnl"/>
        </w:rPr>
        <w:t>Las sentencias “Prestige”</w:t>
      </w:r>
      <w:r w:rsidRPr="00B43C4B">
        <w:rPr>
          <w:rFonts w:eastAsia="Times New Roman" w:cs="Times New Roman"/>
          <w:bdr w:val="none" w:sz="0" w:space="0" w:color="auto" w:frame="1"/>
          <w:lang w:val="es-ES_tradnl" w:eastAsia="es-ES"/>
        </w:rPr>
        <w:t xml:space="preserve"> último acto (¿una gloriosa primavera, un breve estío o el invierno de nuestro descontento?)</w:t>
      </w:r>
      <w:r w:rsidR="00CF3CC0" w:rsidRPr="00B43C4B">
        <w:rPr>
          <w:rFonts w:eastAsia="Times New Roman" w:cs="Times New Roman"/>
          <w:bdr w:val="none" w:sz="0" w:space="0" w:color="auto" w:frame="1"/>
          <w:lang w:val="es-ES_tradnl" w:eastAsia="es-ES"/>
        </w:rPr>
        <w:t>”</w:t>
      </w:r>
      <w:r w:rsidRPr="00B43C4B">
        <w:rPr>
          <w:rFonts w:eastAsia="Times New Roman" w:cs="Times New Roman"/>
          <w:bdr w:val="none" w:sz="0" w:space="0" w:color="auto" w:frame="1"/>
          <w:lang w:val="es-ES_tradnl" w:eastAsia="es-ES"/>
        </w:rPr>
        <w:t xml:space="preserve">, </w:t>
      </w:r>
      <w:r w:rsidRPr="00B43C4B">
        <w:rPr>
          <w:rFonts w:eastAsia="Times New Roman" w:cs="Times New Roman"/>
          <w:i/>
          <w:bdr w:val="none" w:sz="0" w:space="0" w:color="auto" w:frame="1"/>
          <w:lang w:val="es-ES_tradnl" w:eastAsia="es-ES"/>
        </w:rPr>
        <w:t>Revista de Derecho del Transporte: Terrestre, marítimo, aéreo y multimodal</w:t>
      </w:r>
      <w:r w:rsidRPr="00B43C4B">
        <w:rPr>
          <w:rFonts w:eastAsia="Times New Roman" w:cs="Times New Roman"/>
          <w:bdr w:val="none" w:sz="0" w:space="0" w:color="auto" w:frame="1"/>
          <w:lang w:val="es-ES_tradnl" w:eastAsia="es-ES"/>
        </w:rPr>
        <w:t>, núm. 17, 2016, págs. 11-57</w:t>
      </w:r>
      <w:r w:rsidR="00CF3CC0" w:rsidRPr="00B43C4B">
        <w:rPr>
          <w:rFonts w:eastAsia="Times New Roman" w:cs="Times New Roman"/>
          <w:bdr w:val="none" w:sz="0" w:space="0" w:color="auto" w:frame="1"/>
          <w:lang w:val="es-ES_tradnl" w:eastAsia="es-ES"/>
        </w:rPr>
        <w:t>;</w:t>
      </w:r>
      <w:r w:rsidRPr="00B43C4B">
        <w:rPr>
          <w:rFonts w:eastAsia="Times New Roman" w:cs="Times New Roman"/>
          <w:bdr w:val="none" w:sz="0" w:space="0" w:color="auto" w:frame="1"/>
          <w:lang w:val="es-ES_tradnl" w:eastAsia="es-ES"/>
        </w:rPr>
        <w:t xml:space="preserve"> </w:t>
      </w:r>
      <w:r w:rsidR="00C70F63" w:rsidRPr="00B43C4B">
        <w:rPr>
          <w:rFonts w:eastAsia="Times New Roman" w:cs="Times New Roman"/>
          <w:bdr w:val="none" w:sz="0" w:space="0" w:color="auto" w:frame="1"/>
          <w:lang w:val="es-ES_tradnl" w:eastAsia="es-ES"/>
        </w:rPr>
        <w:t xml:space="preserve">y, </w:t>
      </w:r>
      <w:r w:rsidRPr="00B43C4B">
        <w:rPr>
          <w:rFonts w:eastAsia="Times New Roman" w:cs="Times New Roman"/>
          <w:bdr w:val="none" w:sz="0" w:space="0" w:color="auto" w:frame="1"/>
          <w:lang w:val="es-ES_tradnl" w:eastAsia="es-ES"/>
        </w:rPr>
        <w:t>SIERRA NOGUERO, E.</w:t>
      </w:r>
      <w:r w:rsidR="00C70F63" w:rsidRPr="00B43C4B">
        <w:rPr>
          <w:rFonts w:eastAsia="Times New Roman" w:cs="Times New Roman"/>
          <w:bdr w:val="none" w:sz="0" w:space="0" w:color="auto" w:frame="1"/>
          <w:lang w:val="es-ES_tradnl" w:eastAsia="es-ES"/>
        </w:rPr>
        <w:t xml:space="preserve"> (2016)</w:t>
      </w:r>
      <w:r w:rsidRPr="00B43C4B">
        <w:rPr>
          <w:rFonts w:eastAsia="Times New Roman" w:cs="Times New Roman"/>
          <w:bdr w:val="none" w:sz="0" w:space="0" w:color="auto" w:frame="1"/>
          <w:lang w:val="es-ES_tradnl" w:eastAsia="es-ES"/>
        </w:rPr>
        <w:t xml:space="preserve">, </w:t>
      </w:r>
      <w:r w:rsidRPr="00B43C4B">
        <w:rPr>
          <w:rFonts w:eastAsia="Times New Roman" w:cs="Times New Roman"/>
          <w:i/>
          <w:bdr w:val="none" w:sz="0" w:space="0" w:color="auto" w:frame="1"/>
          <w:lang w:val="es-ES_tradnl" w:eastAsia="es-ES"/>
        </w:rPr>
        <w:t>El seguro</w:t>
      </w:r>
      <w:r w:rsidR="005F4E1D" w:rsidRPr="00B43C4B">
        <w:rPr>
          <w:rFonts w:eastAsia="Times New Roman" w:cs="Times New Roman"/>
          <w:i/>
          <w:bdr w:val="none" w:sz="0" w:space="0" w:color="auto" w:frame="1"/>
          <w:lang w:val="es-ES_tradnl" w:eastAsia="es-ES"/>
        </w:rPr>
        <w:t>...</w:t>
      </w:r>
      <w:r w:rsidR="005F4E1D" w:rsidRPr="00B43C4B">
        <w:rPr>
          <w:rFonts w:eastAsia="Times New Roman" w:cs="Times New Roman"/>
          <w:iCs/>
          <w:bdr w:val="none" w:sz="0" w:space="0" w:color="auto" w:frame="1"/>
          <w:lang w:val="es-ES_tradnl" w:eastAsia="es-ES"/>
        </w:rPr>
        <w:t>,</w:t>
      </w:r>
      <w:r w:rsidR="005F4E1D" w:rsidRPr="00B43C4B">
        <w:rPr>
          <w:rFonts w:eastAsia="Times New Roman" w:cs="Times New Roman"/>
          <w:i/>
          <w:bdr w:val="none" w:sz="0" w:space="0" w:color="auto" w:frame="1"/>
          <w:lang w:val="es-ES_tradnl" w:eastAsia="es-ES"/>
        </w:rPr>
        <w:t xml:space="preserve"> op. cit</w:t>
      </w:r>
      <w:r w:rsidR="007E45D7" w:rsidRPr="00B43C4B">
        <w:rPr>
          <w:rFonts w:eastAsia="Times New Roman" w:cs="Times New Roman"/>
          <w:i/>
          <w:bdr w:val="none" w:sz="0" w:space="0" w:color="auto" w:frame="1"/>
          <w:lang w:val="es-ES_tradnl" w:eastAsia="es-ES"/>
        </w:rPr>
        <w:t>.</w:t>
      </w:r>
      <w:r w:rsidR="005F4E1D" w:rsidRPr="00B43C4B">
        <w:rPr>
          <w:rFonts w:eastAsia="Times New Roman" w:cs="Times New Roman"/>
          <w:i/>
          <w:bdr w:val="none" w:sz="0" w:space="0" w:color="auto" w:frame="1"/>
          <w:lang w:val="es-ES_tradnl" w:eastAsia="es-ES"/>
        </w:rPr>
        <w:t xml:space="preserve">, </w:t>
      </w:r>
      <w:r w:rsidRPr="00B43C4B">
        <w:rPr>
          <w:rFonts w:eastAsia="Times New Roman" w:cs="Times New Roman"/>
          <w:bdr w:val="none" w:sz="0" w:space="0" w:color="auto" w:frame="1"/>
          <w:lang w:val="es-ES_tradnl" w:eastAsia="es-ES"/>
        </w:rPr>
        <w:t>págs.</w:t>
      </w:r>
      <w:r w:rsidRPr="00B43C4B">
        <w:rPr>
          <w:rFonts w:eastAsia="Times New Roman" w:cs="Times New Roman"/>
          <w:i/>
          <w:bdr w:val="none" w:sz="0" w:space="0" w:color="auto" w:frame="1"/>
          <w:lang w:val="es-ES_tradnl" w:eastAsia="es-ES"/>
        </w:rPr>
        <w:t xml:space="preserve"> </w:t>
      </w:r>
      <w:r w:rsidRPr="00B43C4B">
        <w:rPr>
          <w:rFonts w:eastAsia="Times New Roman" w:cs="Times New Roman"/>
          <w:bdr w:val="none" w:sz="0" w:space="0" w:color="auto" w:frame="1"/>
          <w:lang w:val="es-ES_tradnl" w:eastAsia="es-ES"/>
        </w:rPr>
        <w:t>233-236.</w:t>
      </w:r>
      <w:r w:rsidR="00CF3CC0" w:rsidRPr="00B43C4B">
        <w:rPr>
          <w:rFonts w:eastAsia="Times New Roman" w:cs="Times New Roman"/>
          <w:bdr w:val="none" w:sz="0" w:space="0" w:color="auto" w:frame="1"/>
          <w:lang w:val="es-ES_tradnl" w:eastAsia="es-ES"/>
        </w:rPr>
        <w:t xml:space="preserve"> </w:t>
      </w:r>
    </w:p>
  </w:footnote>
  <w:footnote w:id="9">
    <w:p w14:paraId="6F521532" w14:textId="77777777" w:rsidR="008B7106" w:rsidRPr="00B43C4B" w:rsidRDefault="008B7106" w:rsidP="008B7106">
      <w:pPr>
        <w:pStyle w:val="Textonotapie"/>
        <w:jc w:val="both"/>
        <w:rPr>
          <w:rFonts w:cs="Times New Roman"/>
          <w:lang w:val="es-ES_tradnl"/>
        </w:rPr>
      </w:pPr>
      <w:r w:rsidRPr="00B43C4B">
        <w:rPr>
          <w:rStyle w:val="Refdenotaalpie"/>
          <w:rFonts w:cs="Times New Roman"/>
          <w:lang w:val="es-ES_tradnl"/>
        </w:rPr>
        <w:footnoteRef/>
      </w:r>
      <w:r w:rsidRPr="00B43C4B">
        <w:rPr>
          <w:rFonts w:cs="Times New Roman"/>
          <w:lang w:val="es-ES_tradnl"/>
        </w:rPr>
        <w:t xml:space="preserve"> </w:t>
      </w:r>
      <w:r w:rsidRPr="00B43C4B">
        <w:rPr>
          <w:i/>
          <w:iCs/>
          <w:lang w:val="es-ES"/>
        </w:rPr>
        <w:t xml:space="preserve">Vid </w:t>
      </w:r>
      <w:r w:rsidRPr="00B43C4B">
        <w:rPr>
          <w:rFonts w:cs="Times New Roman"/>
          <w:lang w:val="es-ES_tradnl"/>
        </w:rPr>
        <w:t>SSTS 6 de febrero de 2003 (</w:t>
      </w:r>
      <w:r w:rsidRPr="00B43C4B">
        <w:rPr>
          <w:rFonts w:cs="Times New Roman"/>
          <w:i/>
          <w:iCs/>
          <w:lang w:val="es-ES_tradnl"/>
        </w:rPr>
        <w:t xml:space="preserve">Cendoj </w:t>
      </w:r>
      <w:r w:rsidRPr="00B43C4B">
        <w:rPr>
          <w:rFonts w:cs="Times New Roman"/>
          <w:lang w:val="es-ES_tradnl"/>
        </w:rPr>
        <w:t>28079110012003102108) y de 3 de julio de 2003, caso “Seabank” (</w:t>
      </w:r>
      <w:r w:rsidRPr="00B43C4B">
        <w:rPr>
          <w:rFonts w:cs="Times New Roman"/>
          <w:i/>
          <w:lang w:val="es-ES_tradnl"/>
        </w:rPr>
        <w:t>La Ley</w:t>
      </w:r>
      <w:r w:rsidRPr="00B43C4B">
        <w:rPr>
          <w:rFonts w:cs="Times New Roman"/>
          <w:lang w:val="es-ES_tradnl"/>
        </w:rPr>
        <w:t xml:space="preserve"> 2609/2003).</w:t>
      </w:r>
    </w:p>
  </w:footnote>
  <w:footnote w:id="10">
    <w:p w14:paraId="61C50315" w14:textId="77777777" w:rsidR="00BB31A4" w:rsidRPr="00B43C4B" w:rsidRDefault="00BB31A4" w:rsidP="00B43C4B">
      <w:pPr>
        <w:pStyle w:val="Textonotapie"/>
        <w:jc w:val="both"/>
        <w:rPr>
          <w:lang w:val="es-ES_tradnl"/>
        </w:rPr>
      </w:pPr>
      <w:r w:rsidRPr="00B43C4B">
        <w:rPr>
          <w:rStyle w:val="Refdenotaalpie"/>
          <w:lang w:val="es-ES_tradnl"/>
        </w:rPr>
        <w:footnoteRef/>
      </w:r>
      <w:r w:rsidRPr="00B43C4B">
        <w:rPr>
          <w:lang w:val="es-ES_tradnl"/>
        </w:rPr>
        <w:t xml:space="preserve"> Véase la web del FIDAC, </w:t>
      </w:r>
      <w:hyperlink r:id="rId2" w:history="1">
        <w:r w:rsidRPr="00B43C4B">
          <w:rPr>
            <w:rStyle w:val="Hipervnculo"/>
            <w:color w:val="auto"/>
            <w:u w:val="none"/>
            <w:lang w:val="es-ES_tradnl"/>
          </w:rPr>
          <w:t>https://rb.gy/pcccm</w:t>
        </w:r>
      </w:hyperlink>
      <w:r w:rsidRPr="00B43C4B">
        <w:rPr>
          <w:lang w:val="es-ES_tradnl"/>
        </w:rPr>
        <w:t>, consultada el 13 de octubre de 2023.</w:t>
      </w:r>
    </w:p>
  </w:footnote>
  <w:footnote w:id="11">
    <w:p w14:paraId="5E142F7E" w14:textId="77777777" w:rsidR="00BB31A4" w:rsidRPr="00B43C4B" w:rsidRDefault="00BB31A4" w:rsidP="00B43C4B">
      <w:pPr>
        <w:spacing w:after="0" w:line="240" w:lineRule="auto"/>
        <w:jc w:val="both"/>
      </w:pPr>
      <w:r w:rsidRPr="00B43C4B">
        <w:rPr>
          <w:rStyle w:val="Refdenotaalpie"/>
          <w:lang w:val="es-ES_tradnl"/>
        </w:rPr>
        <w:footnoteRef/>
      </w:r>
      <w:r w:rsidRPr="00B43C4B">
        <w:rPr>
          <w:lang w:val="es-ES_tradnl"/>
        </w:rPr>
        <w:t xml:space="preserve"> Conforme al art. 27.2 Protocolo de 1992 al Convenio del Fondo de 1971, éste es el nombre oficial del Convenio. </w:t>
      </w:r>
      <w:r w:rsidRPr="00B43C4B">
        <w:rPr>
          <w:rFonts w:cs="Times New Roman"/>
        </w:rPr>
        <w:t>El Convenio del Fondo de 1992 surge del Protocolo de 1992 al Convenio Internacional sobre la constitución de un fondo internacional de indemnización de daños debidos a contaminación por hidrocarburos, 1971. También en vigor desde el 30 de mayo de 1995, el Convenio del Fondo de 1992 dispone de 121 Estados parte, representativos del 94,45% del tonelaje mercante mundial</w:t>
      </w:r>
      <w:r w:rsidRPr="00B43C4B">
        <w:rPr>
          <w:lang w:val="es-ES_tradnl"/>
        </w:rPr>
        <w:t xml:space="preserve">. Véase la web de la Organización Marítima Internacional (OMI, o </w:t>
      </w:r>
      <w:r w:rsidRPr="00B43C4B">
        <w:rPr>
          <w:i/>
          <w:iCs/>
          <w:lang w:val="es-ES_tradnl"/>
        </w:rPr>
        <w:t>International Maritime Organization</w:t>
      </w:r>
      <w:r w:rsidRPr="00B43C4B">
        <w:rPr>
          <w:lang w:val="es-ES_tradnl"/>
        </w:rPr>
        <w:t xml:space="preserve">, IMO, en inglés) en </w:t>
      </w:r>
      <w:hyperlink r:id="rId3" w:history="1">
        <w:r w:rsidRPr="00B43C4B">
          <w:rPr>
            <w:rStyle w:val="Hipervnculo"/>
            <w:color w:val="auto"/>
            <w:u w:val="none"/>
            <w:lang w:val="es-ES_tradnl"/>
          </w:rPr>
          <w:t>https://rb.gy/egzqi</w:t>
        </w:r>
      </w:hyperlink>
      <w:r w:rsidRPr="00B43C4B">
        <w:rPr>
          <w:lang w:val="es-ES_tradnl"/>
        </w:rPr>
        <w:t>, consultada el 13 de octubre de 2023.</w:t>
      </w:r>
      <w:r w:rsidRPr="00B43C4B">
        <w:rPr>
          <w:rFonts w:cs="Times New Roman"/>
        </w:rPr>
        <w:t xml:space="preserve"> </w:t>
      </w:r>
    </w:p>
  </w:footnote>
  <w:footnote w:id="12">
    <w:p w14:paraId="3BC4E623" w14:textId="77777777" w:rsidR="005F4B13" w:rsidRPr="00B43C4B" w:rsidRDefault="005F4B13" w:rsidP="00B43C4B">
      <w:pPr>
        <w:pStyle w:val="Textonotapie"/>
        <w:jc w:val="both"/>
        <w:rPr>
          <w:rFonts w:cs="Times New Roman"/>
          <w:lang w:val="es-ES_tradnl"/>
        </w:rPr>
      </w:pPr>
      <w:r w:rsidRPr="00B43C4B">
        <w:rPr>
          <w:rStyle w:val="Refdenotaalpie"/>
          <w:rFonts w:cs="Times New Roman"/>
          <w:lang w:val="es-ES_tradnl"/>
        </w:rPr>
        <w:footnoteRef/>
      </w:r>
      <w:r w:rsidRPr="00B43C4B">
        <w:rPr>
          <w:rFonts w:cs="Times New Roman"/>
          <w:lang w:val="es-ES_tradnl"/>
        </w:rPr>
        <w:t xml:space="preserve"> Sobre el proceso ejecutivo, en mayor detalle, </w:t>
      </w:r>
      <w:r w:rsidRPr="00B43C4B">
        <w:rPr>
          <w:rFonts w:cs="Times New Roman"/>
          <w:i/>
          <w:iCs/>
          <w:lang w:val="es-ES_tradnl"/>
        </w:rPr>
        <w:t>vid</w:t>
      </w:r>
      <w:r w:rsidRPr="00B43C4B">
        <w:rPr>
          <w:rFonts w:cs="Times New Roman"/>
          <w:lang w:val="es-ES_tradnl"/>
        </w:rPr>
        <w:t xml:space="preserve"> SIERRA NOGUERO, E. (2021), “Proceso de ejecución de la sentencia del tribunal supremo frente al club P&amp;I del buque &lt;Prestige&gt; en el Reino Unido”. En GIRGADO PERANDONES, P. y GONZÁLES BUSTOS, J. P. (coords.), </w:t>
      </w:r>
      <w:r w:rsidRPr="00B43C4B">
        <w:rPr>
          <w:rFonts w:cs="Times New Roman"/>
          <w:i/>
          <w:iCs/>
          <w:lang w:val="es-ES_tradnl"/>
        </w:rPr>
        <w:t>Transparencia y competitividad en el mercado asegurador. Insurtech, distribución, protección del cliente, seguro marítimo y pandemia</w:t>
      </w:r>
      <w:r w:rsidRPr="00B43C4B">
        <w:rPr>
          <w:rFonts w:cs="Times New Roman"/>
          <w:lang w:val="es-ES_tradnl"/>
        </w:rPr>
        <w:t xml:space="preserve">, Granada: Comares, 2021, págs. 457-480 y SIERRA NOGUERO, E. (2019), “Valorisation judiciaire du montant des dommages et intéréts résultant du naufrage du Prestige”. </w:t>
      </w:r>
      <w:r w:rsidRPr="00B43C4B">
        <w:rPr>
          <w:rFonts w:cs="Times New Roman"/>
          <w:i/>
          <w:iCs/>
          <w:lang w:val="es-ES_tradnl"/>
        </w:rPr>
        <w:t>Le Droit Maritime Français</w:t>
      </w:r>
      <w:r w:rsidRPr="00B43C4B">
        <w:rPr>
          <w:rFonts w:cs="Times New Roman"/>
          <w:lang w:val="es-ES_tradnl"/>
        </w:rPr>
        <w:t>, núm. 816, págs. 687-696.</w:t>
      </w:r>
    </w:p>
  </w:footnote>
  <w:footnote w:id="13">
    <w:p w14:paraId="0BBD9D44" w14:textId="77777777" w:rsidR="005F4B13" w:rsidRPr="00B43C4B" w:rsidRDefault="005F4B13" w:rsidP="00B43C4B">
      <w:pPr>
        <w:pStyle w:val="Textonotapie"/>
        <w:jc w:val="both"/>
        <w:rPr>
          <w:rFonts w:cs="Times New Roman"/>
          <w:lang w:val="es-ES_tradnl"/>
        </w:rPr>
      </w:pPr>
      <w:r w:rsidRPr="00B43C4B">
        <w:rPr>
          <w:rStyle w:val="Refdenotaalpie"/>
          <w:rFonts w:cs="Times New Roman"/>
          <w:lang w:val="es-ES_tradnl"/>
        </w:rPr>
        <w:footnoteRef/>
      </w:r>
      <w:r w:rsidRPr="00B43C4B">
        <w:rPr>
          <w:rFonts w:cs="Times New Roman"/>
          <w:lang w:val="es-ES_tradnl"/>
        </w:rPr>
        <w:t xml:space="preserve"> </w:t>
      </w:r>
      <w:r w:rsidRPr="00B43C4B">
        <w:rPr>
          <w:rFonts w:cs="Times New Roman"/>
          <w:i/>
          <w:iCs/>
          <w:lang w:val="es-ES_tradnl"/>
        </w:rPr>
        <w:t>Cendoj</w:t>
      </w:r>
      <w:r w:rsidRPr="00B43C4B">
        <w:rPr>
          <w:rFonts w:cs="Times New Roman"/>
          <w:lang w:val="es-ES_tradnl"/>
        </w:rPr>
        <w:t xml:space="preserve"> </w:t>
      </w:r>
      <w:r w:rsidRPr="00B43C4B">
        <w:rPr>
          <w:lang w:val="es-ES"/>
        </w:rPr>
        <w:t>15030370012017200818.</w:t>
      </w:r>
    </w:p>
  </w:footnote>
  <w:footnote w:id="14">
    <w:p w14:paraId="0446F74C" w14:textId="77777777" w:rsidR="005F4B13" w:rsidRPr="00B43C4B" w:rsidRDefault="005F4B13" w:rsidP="00B43C4B">
      <w:pPr>
        <w:pStyle w:val="Textonotapie"/>
        <w:jc w:val="both"/>
        <w:rPr>
          <w:rFonts w:cs="Times New Roman"/>
          <w:lang w:val="es-ES_tradnl"/>
        </w:rPr>
      </w:pPr>
      <w:r w:rsidRPr="00B43C4B">
        <w:rPr>
          <w:rStyle w:val="Refdenotaalpie"/>
          <w:rFonts w:cs="Times New Roman"/>
          <w:lang w:val="es-ES_tradnl"/>
        </w:rPr>
        <w:footnoteRef/>
      </w:r>
      <w:r w:rsidRPr="00B43C4B">
        <w:rPr>
          <w:rFonts w:cs="Times New Roman"/>
          <w:lang w:val="es-ES_tradnl"/>
        </w:rPr>
        <w:t xml:space="preserve"> </w:t>
      </w:r>
      <w:r w:rsidRPr="00B43C4B">
        <w:rPr>
          <w:rFonts w:cs="Times New Roman"/>
          <w:i/>
          <w:iCs/>
          <w:lang w:val="es-ES_tradnl"/>
        </w:rPr>
        <w:t xml:space="preserve">Cendoj </w:t>
      </w:r>
      <w:r w:rsidRPr="00B43C4B">
        <w:rPr>
          <w:lang w:val="es-ES"/>
        </w:rPr>
        <w:t>28079120012018100627.</w:t>
      </w:r>
    </w:p>
  </w:footnote>
  <w:footnote w:id="15">
    <w:p w14:paraId="5A5E1C45" w14:textId="1047A1C3" w:rsidR="00B61EE3" w:rsidRPr="00B43C4B" w:rsidRDefault="00B61EE3" w:rsidP="00B43C4B">
      <w:pPr>
        <w:pStyle w:val="Textonotapie"/>
        <w:jc w:val="both"/>
        <w:rPr>
          <w:lang w:val="es-ES"/>
        </w:rPr>
      </w:pPr>
      <w:r w:rsidRPr="00B43C4B">
        <w:rPr>
          <w:rStyle w:val="Refdenotaalpie"/>
        </w:rPr>
        <w:footnoteRef/>
      </w:r>
      <w:r w:rsidRPr="00B43C4B">
        <w:rPr>
          <w:lang w:val="es-ES"/>
        </w:rPr>
        <w:t xml:space="preserve"> </w:t>
      </w:r>
      <w:r w:rsidR="005C4B61" w:rsidRPr="00B43C4B">
        <w:rPr>
          <w:i/>
          <w:iCs/>
          <w:lang w:val="es-ES"/>
        </w:rPr>
        <w:t>Cendoj</w:t>
      </w:r>
      <w:r w:rsidR="005C4B61" w:rsidRPr="00B43C4B">
        <w:rPr>
          <w:lang w:val="es-ES"/>
        </w:rPr>
        <w:t xml:space="preserve"> 15030370012019200616.</w:t>
      </w:r>
    </w:p>
  </w:footnote>
  <w:footnote w:id="16">
    <w:p w14:paraId="758F3959" w14:textId="0CD6C51F" w:rsidR="00682538" w:rsidRPr="00B43C4B" w:rsidRDefault="00682538" w:rsidP="00B43C4B">
      <w:pPr>
        <w:pStyle w:val="Textonotapie"/>
        <w:jc w:val="both"/>
        <w:rPr>
          <w:lang w:val="es-ES"/>
        </w:rPr>
      </w:pPr>
      <w:r w:rsidRPr="00B43C4B">
        <w:rPr>
          <w:rStyle w:val="Refdenotaalpie"/>
        </w:rPr>
        <w:footnoteRef/>
      </w:r>
      <w:r w:rsidRPr="00B43C4B">
        <w:rPr>
          <w:lang w:val="es-ES"/>
        </w:rPr>
        <w:t xml:space="preserve"> También </w:t>
      </w:r>
      <w:r w:rsidR="005C4B61" w:rsidRPr="00B43C4B">
        <w:rPr>
          <w:lang w:val="es-ES"/>
        </w:rPr>
        <w:t xml:space="preserve">advierte esta estrategia, </w:t>
      </w:r>
      <w:r w:rsidRPr="00B43C4B">
        <w:rPr>
          <w:lang w:val="es-ES"/>
        </w:rPr>
        <w:t xml:space="preserve">GÓMEZ JENE, M., “Prestige y arbitraje europeo: a propósito de la sentencia </w:t>
      </w:r>
      <w:r w:rsidR="005C4B61" w:rsidRPr="00B43C4B">
        <w:rPr>
          <w:lang w:val="es-ES"/>
        </w:rPr>
        <w:t xml:space="preserve">London Steam-ship del TJUE (asunto C-700/20), en </w:t>
      </w:r>
      <w:r w:rsidR="005C4B61" w:rsidRPr="00B43C4B">
        <w:rPr>
          <w:i/>
          <w:iCs/>
          <w:lang w:val="es-ES"/>
        </w:rPr>
        <w:t>Cuadernos de Derecho Transnacional</w:t>
      </w:r>
      <w:r w:rsidR="005C4B61" w:rsidRPr="00B43C4B">
        <w:rPr>
          <w:lang w:val="es-ES"/>
        </w:rPr>
        <w:t>, octubre 2022, vol. 14, nº 2, pág. 1090.</w:t>
      </w:r>
    </w:p>
  </w:footnote>
  <w:footnote w:id="17">
    <w:p w14:paraId="1C5F9A4F" w14:textId="77777777" w:rsidR="005F4B13" w:rsidRPr="00B43C4B" w:rsidRDefault="005F4B13" w:rsidP="00B43C4B">
      <w:pPr>
        <w:spacing w:after="0" w:line="240" w:lineRule="auto"/>
        <w:jc w:val="both"/>
      </w:pPr>
      <w:r w:rsidRPr="00B43C4B">
        <w:rPr>
          <w:rStyle w:val="Refdenotaalpie"/>
        </w:rPr>
        <w:footnoteRef/>
      </w:r>
      <w:r w:rsidRPr="00B43C4B">
        <w:t xml:space="preserve"> </w:t>
      </w:r>
      <w:r w:rsidRPr="00B43C4B">
        <w:rPr>
          <w:rFonts w:cs="Times New Roman"/>
        </w:rPr>
        <w:t>En cambio, el club P&amp;I no reclama en arbitraje contra los demás reclamantes en el proceso español. Esto es importante, pues todo el procedimiento inglés no les vincula.</w:t>
      </w:r>
    </w:p>
  </w:footnote>
  <w:footnote w:id="18">
    <w:p w14:paraId="244A49A0" w14:textId="00864752" w:rsidR="00110695" w:rsidRPr="00B43C4B" w:rsidRDefault="00110695" w:rsidP="00B43C4B">
      <w:pPr>
        <w:pStyle w:val="Textonotapie"/>
        <w:jc w:val="both"/>
        <w:rPr>
          <w:lang w:val="es-ES"/>
        </w:rPr>
      </w:pPr>
      <w:r w:rsidRPr="00B43C4B">
        <w:rPr>
          <w:rStyle w:val="Refdenotaalpie"/>
        </w:rPr>
        <w:footnoteRef/>
      </w:r>
      <w:r w:rsidRPr="00B43C4B">
        <w:rPr>
          <w:lang w:val="es-ES"/>
        </w:rPr>
        <w:t xml:space="preserve"> </w:t>
      </w:r>
      <w:r w:rsidR="00FC096A" w:rsidRPr="00B43C4B">
        <w:rPr>
          <w:lang w:val="es-ES"/>
        </w:rPr>
        <w:t xml:space="preserve">Las cláusulas de ley aplicable y sumisión a arbitraje son cláusulas de estilo siempre incluidas en las reglas del seguro P&amp;I de los clubs P&amp;I del </w:t>
      </w:r>
      <w:r w:rsidR="00FC096A" w:rsidRPr="00B43C4B">
        <w:rPr>
          <w:i/>
          <w:iCs/>
          <w:lang w:val="es-ES"/>
        </w:rPr>
        <w:t>International Group of P&amp;I Clubs</w:t>
      </w:r>
      <w:r w:rsidR="00FC096A" w:rsidRPr="00B43C4B">
        <w:rPr>
          <w:lang w:val="es-ES"/>
        </w:rPr>
        <w:t xml:space="preserve"> (IGP&amp;I) Los aseguradores quieren tener certeza jurídica de la ley aplicable a su contrato de seguro y de la sumisión de controversias a arbitraje y no a jurisdicción de los juzgados y tribunales. El arbitraje, en el organismo de su elección que imponen en las reglas del seguro P&amp;I, les garantiza confidencialidad, especialidad y rapidez en la resolución de controversias. Los laudos tampoco generan jurisprudencia. Al efecto, el club P&amp;I imponen a sus armadores y fletadores asegurados las cláusulas de arbitraje y ley aplicable, normalmente vinculadas y que dependen de su propia nacionalidad</w:t>
      </w:r>
      <w:r w:rsidR="00B43C4B">
        <w:rPr>
          <w:lang w:val="es-ES"/>
        </w:rPr>
        <w:t xml:space="preserve">. </w:t>
      </w:r>
      <w:r w:rsidRPr="00B43C4B">
        <w:rPr>
          <w:lang w:val="es-ES"/>
        </w:rPr>
        <w:t>Por ejemplo, el mayor club P&amp;I del mundo es el noruego Gard y en sus reglas de seguro P&amp;I, edición 2023, impone la ley noruega como Derecho rector del contrato (regla 90) y el arbitraje en Oslo (regla 91). Igualmente, el club P&amp;I The Swedish incluye la sumisión a la ley sueca y el arbitraje en Goteborg en sus reglas de seguro, edición 2023-2024 (regla 18). Lo mismo ocurre naturalmente con los clubs P&amp;I ingleses: sumisión de controversias derivadas del contrato de seguro a Derecho inglés y arbitraje en Londres.</w:t>
      </w:r>
    </w:p>
  </w:footnote>
  <w:footnote w:id="19">
    <w:p w14:paraId="2FBE90C0" w14:textId="6AB99B07" w:rsidR="00B43C4B" w:rsidRPr="00B43C4B" w:rsidRDefault="00B43C4B" w:rsidP="00B43C4B">
      <w:pPr>
        <w:pStyle w:val="Textonotapie"/>
        <w:jc w:val="both"/>
        <w:rPr>
          <w:lang w:val="es-ES"/>
        </w:rPr>
      </w:pPr>
      <w:r w:rsidRPr="00B43C4B">
        <w:rPr>
          <w:rStyle w:val="Refdenotaalpie"/>
        </w:rPr>
        <w:footnoteRef/>
      </w:r>
      <w:r w:rsidRPr="00B43C4B">
        <w:rPr>
          <w:lang w:val="es-ES"/>
        </w:rPr>
        <w:t xml:space="preserve"> Por ejemplo, la regla 3.1 de las Reglas de seguro P&amp;I, edición 2023-2024 del club P&amp;I The London.</w:t>
      </w:r>
    </w:p>
  </w:footnote>
  <w:footnote w:id="20">
    <w:p w14:paraId="5D96E9D7" w14:textId="4A825F94" w:rsidR="005F4B13" w:rsidRPr="00B43C4B" w:rsidRDefault="005F4B13" w:rsidP="00B43C4B">
      <w:pPr>
        <w:pStyle w:val="Textonotapie"/>
        <w:jc w:val="both"/>
        <w:rPr>
          <w:rFonts w:cs="Times New Roman"/>
          <w:lang w:val="es-ES_tradnl"/>
        </w:rPr>
      </w:pPr>
      <w:r w:rsidRPr="00B43C4B">
        <w:rPr>
          <w:rStyle w:val="Refdenotaalpie"/>
          <w:rFonts w:cs="Times New Roman"/>
          <w:lang w:val="es-ES_tradnl"/>
        </w:rPr>
        <w:footnoteRef/>
      </w:r>
      <w:r w:rsidRPr="00B43C4B">
        <w:rPr>
          <w:rFonts w:cs="Times New Roman"/>
          <w:lang w:val="en-US"/>
        </w:rPr>
        <w:t xml:space="preserve"> The London Steam-Ship Owners' Mutual Insurance Association Ltd v. The Kingdom of Spain and The French State [2013] EWHC 3188 (Comm). </w:t>
      </w:r>
      <w:r w:rsidRPr="00B43C4B">
        <w:rPr>
          <w:rFonts w:cs="Times New Roman"/>
          <w:lang w:val="es-ES_tradnl"/>
        </w:rPr>
        <w:t xml:space="preserve">Disponible en </w:t>
      </w:r>
      <w:hyperlink r:id="rId4" w:history="1">
        <w:r w:rsidRPr="00B43C4B">
          <w:rPr>
            <w:rStyle w:val="Hipervnculo"/>
            <w:rFonts w:cs="Times New Roman"/>
            <w:color w:val="auto"/>
            <w:u w:val="none"/>
            <w:lang w:val="es-ES_tradnl"/>
          </w:rPr>
          <w:t>https://rb.gy/su6hx</w:t>
        </w:r>
      </w:hyperlink>
      <w:r w:rsidRPr="00B43C4B">
        <w:rPr>
          <w:rFonts w:cs="Times New Roman"/>
          <w:lang w:val="es-ES_tradnl"/>
        </w:rPr>
        <w:t xml:space="preserve">, consultada el </w:t>
      </w:r>
      <w:r w:rsidR="003A262A" w:rsidRPr="00B43C4B">
        <w:rPr>
          <w:rFonts w:cs="Times New Roman"/>
          <w:lang w:val="es-ES_tradnl"/>
        </w:rPr>
        <w:t>13 de octubre</w:t>
      </w:r>
      <w:r w:rsidRPr="00B43C4B">
        <w:rPr>
          <w:rFonts w:cs="Times New Roman"/>
          <w:lang w:val="es-ES_tradnl"/>
        </w:rPr>
        <w:t xml:space="preserve"> de 2023.</w:t>
      </w:r>
    </w:p>
  </w:footnote>
  <w:footnote w:id="21">
    <w:p w14:paraId="0195C2CA" w14:textId="77777777" w:rsidR="005F4B13" w:rsidRPr="00B43C4B" w:rsidRDefault="005F4B13" w:rsidP="00B43C4B">
      <w:pPr>
        <w:pStyle w:val="Textonotapie"/>
        <w:jc w:val="both"/>
        <w:rPr>
          <w:rFonts w:cs="Times New Roman"/>
          <w:lang w:val="es-ES"/>
        </w:rPr>
      </w:pPr>
      <w:r w:rsidRPr="00B43C4B">
        <w:rPr>
          <w:rStyle w:val="Refdenotaalpie"/>
          <w:rFonts w:cs="Times New Roman"/>
          <w:lang w:val="es-ES_tradnl"/>
        </w:rPr>
        <w:footnoteRef/>
      </w:r>
      <w:r w:rsidRPr="00B43C4B">
        <w:rPr>
          <w:rFonts w:cs="Times New Roman"/>
          <w:lang w:val="es-ES_tradnl"/>
        </w:rPr>
        <w:t xml:space="preserve"> ALBA, M. y GABALDÓN, J. L., “Affaire…”, </w:t>
      </w:r>
      <w:r w:rsidRPr="00B43C4B">
        <w:rPr>
          <w:rFonts w:cs="Times New Roman"/>
          <w:i/>
          <w:lang w:val="es-ES_tradnl"/>
        </w:rPr>
        <w:t>op. cit.</w:t>
      </w:r>
      <w:r w:rsidRPr="00B43C4B">
        <w:rPr>
          <w:rFonts w:cs="Times New Roman"/>
          <w:lang w:val="es-ES_tradnl"/>
        </w:rPr>
        <w:t xml:space="preserve">, págs. </w:t>
      </w:r>
      <w:r w:rsidRPr="00B43C4B">
        <w:rPr>
          <w:rFonts w:cs="Times New Roman"/>
          <w:lang w:val="es-ES"/>
        </w:rPr>
        <w:t>349-351.</w:t>
      </w:r>
    </w:p>
  </w:footnote>
  <w:footnote w:id="22">
    <w:p w14:paraId="695E5F26" w14:textId="77777777" w:rsidR="005F4B13" w:rsidRPr="00B43C4B" w:rsidRDefault="005F4B13" w:rsidP="00B43C4B">
      <w:pPr>
        <w:pStyle w:val="Textonotapie"/>
        <w:jc w:val="both"/>
        <w:rPr>
          <w:lang w:val="es-ES"/>
        </w:rPr>
      </w:pPr>
      <w:r w:rsidRPr="00B43C4B">
        <w:rPr>
          <w:rStyle w:val="Refdenotaalpie"/>
        </w:rPr>
        <w:footnoteRef/>
      </w:r>
      <w:r w:rsidRPr="00B43C4B">
        <w:rPr>
          <w:lang w:val="es-ES"/>
        </w:rPr>
        <w:t xml:space="preserve"> Esta es también la posición mayoritaria de la jurisprudencia española en cuando a la acción directa. </w:t>
      </w:r>
    </w:p>
  </w:footnote>
  <w:footnote w:id="23">
    <w:p w14:paraId="7F9669D3" w14:textId="2F1D945F" w:rsidR="005F4B13" w:rsidRPr="00B43C4B" w:rsidRDefault="005F4B13" w:rsidP="00B43C4B">
      <w:pPr>
        <w:pStyle w:val="Textonotapie"/>
        <w:jc w:val="both"/>
        <w:rPr>
          <w:rFonts w:cs="Times New Roman"/>
          <w:lang w:val="en-US"/>
        </w:rPr>
      </w:pPr>
      <w:r w:rsidRPr="00B43C4B">
        <w:rPr>
          <w:rStyle w:val="Refdenotaalpie"/>
          <w:rFonts w:cs="Times New Roman"/>
          <w:lang w:val="es-ES_tradnl"/>
        </w:rPr>
        <w:footnoteRef/>
      </w:r>
      <w:r w:rsidRPr="00B43C4B">
        <w:rPr>
          <w:rFonts w:cs="Times New Roman"/>
          <w:lang w:val="en-US"/>
        </w:rPr>
        <w:t xml:space="preserve"> </w:t>
      </w:r>
      <w:bookmarkStart w:id="4" w:name="_Hlk148590728"/>
      <w:r w:rsidRPr="00B43C4B">
        <w:rPr>
          <w:rFonts w:cs="Times New Roman"/>
          <w:lang w:val="en-US"/>
        </w:rPr>
        <w:t xml:space="preserve">The London Steamship Owners’ Mutual Insurance Association Ltd </w:t>
      </w:r>
      <w:bookmarkEnd w:id="4"/>
      <w:r w:rsidRPr="00B43C4B">
        <w:rPr>
          <w:rFonts w:cs="Times New Roman"/>
          <w:lang w:val="en-US"/>
        </w:rPr>
        <w:t xml:space="preserve">and (1) The Kingdom of Spain (2) The French State, The "Prestige" [2015] EWCA Civ 333, disponible en </w:t>
      </w:r>
      <w:hyperlink r:id="rId5" w:history="1">
        <w:r w:rsidRPr="00B43C4B">
          <w:rPr>
            <w:rStyle w:val="Hipervnculo"/>
            <w:rFonts w:cs="Times New Roman"/>
            <w:color w:val="auto"/>
            <w:u w:val="none"/>
            <w:lang w:val="en-US"/>
          </w:rPr>
          <w:t>https://bit.ly/3cTxCvO</w:t>
        </w:r>
      </w:hyperlink>
      <w:r w:rsidRPr="00B43C4B">
        <w:rPr>
          <w:rFonts w:cs="Times New Roman"/>
          <w:lang w:val="en-US"/>
        </w:rPr>
        <w:t xml:space="preserve">, consultada el </w:t>
      </w:r>
      <w:r w:rsidR="003A262A" w:rsidRPr="00B43C4B">
        <w:rPr>
          <w:rFonts w:cs="Times New Roman"/>
          <w:lang w:val="en-US"/>
        </w:rPr>
        <w:t>13</w:t>
      </w:r>
      <w:r w:rsidRPr="00B43C4B">
        <w:rPr>
          <w:rFonts w:cs="Times New Roman"/>
          <w:lang w:val="en-US"/>
        </w:rPr>
        <w:t xml:space="preserve"> de </w:t>
      </w:r>
      <w:r w:rsidR="003A262A" w:rsidRPr="00B43C4B">
        <w:rPr>
          <w:rFonts w:cs="Times New Roman"/>
          <w:lang w:val="en-US"/>
        </w:rPr>
        <w:t>octubre</w:t>
      </w:r>
      <w:r w:rsidRPr="00B43C4B">
        <w:rPr>
          <w:rFonts w:cs="Times New Roman"/>
          <w:lang w:val="en-US"/>
        </w:rPr>
        <w:t xml:space="preserve"> de 2023.</w:t>
      </w:r>
    </w:p>
  </w:footnote>
  <w:footnote w:id="24">
    <w:p w14:paraId="54F9F9A1" w14:textId="77777777" w:rsidR="009116B5" w:rsidRPr="00B43C4B" w:rsidRDefault="009116B5" w:rsidP="00B43C4B">
      <w:pPr>
        <w:pStyle w:val="Textonotapie"/>
        <w:jc w:val="both"/>
        <w:rPr>
          <w:rFonts w:cs="Times New Roman"/>
          <w:lang w:val="es-ES_tradnl"/>
        </w:rPr>
      </w:pPr>
      <w:r w:rsidRPr="00B43C4B">
        <w:rPr>
          <w:rStyle w:val="Refdenotaalpie"/>
          <w:rFonts w:cs="Times New Roman"/>
          <w:lang w:val="es-ES_tradnl"/>
        </w:rPr>
        <w:footnoteRef/>
      </w:r>
      <w:r w:rsidRPr="00B43C4B">
        <w:rPr>
          <w:rFonts w:cs="Times New Roman"/>
          <w:lang w:val="es-ES_tradnl"/>
        </w:rPr>
        <w:t xml:space="preserve"> </w:t>
      </w:r>
      <w:r w:rsidRPr="00B43C4B">
        <w:rPr>
          <w:rFonts w:cs="Times New Roman"/>
          <w:i/>
          <w:lang w:val="es-ES_tradnl"/>
        </w:rPr>
        <w:t>Diario Oficial de las Comunidades Europeas</w:t>
      </w:r>
      <w:r w:rsidRPr="00B43C4B">
        <w:rPr>
          <w:rFonts w:cs="Times New Roman"/>
          <w:lang w:val="es-ES_tradnl"/>
        </w:rPr>
        <w:t xml:space="preserve">, L 12/1, de 16 de enero de 2001. </w:t>
      </w:r>
    </w:p>
  </w:footnote>
  <w:footnote w:id="25">
    <w:p w14:paraId="71E42765" w14:textId="3F53442D" w:rsidR="00004CF9" w:rsidRPr="00B43C4B" w:rsidRDefault="00004CF9" w:rsidP="00B43C4B">
      <w:pPr>
        <w:pStyle w:val="Textonotapie"/>
        <w:jc w:val="both"/>
        <w:rPr>
          <w:lang w:val="es-ES_tradnl"/>
        </w:rPr>
      </w:pPr>
      <w:r w:rsidRPr="00B43C4B">
        <w:rPr>
          <w:rStyle w:val="Refdenotaalpie"/>
          <w:lang w:val="es-ES_tradnl"/>
        </w:rPr>
        <w:footnoteRef/>
      </w:r>
      <w:r w:rsidRPr="00B43C4B">
        <w:rPr>
          <w:lang w:val="es-ES_tradnl"/>
        </w:rPr>
        <w:t xml:space="preserve"> Actualmente está derogado y sustituido por el nuevo Reglamento (UE) n ° 1215/2012 del Parlamento Europeo y del Consejo, de 12 de diciembre de 2012, relativo a la competencia judicial, el reconocimiento y la ejecución de resoluciones judiciales en materia civil y mercantil (versión refundida) (Bruselas I bis), pero el Reglamento (CE) 44/2001</w:t>
      </w:r>
      <w:r w:rsidR="005B4CD8" w:rsidRPr="00B43C4B">
        <w:rPr>
          <w:lang w:val="es-ES_tradnl"/>
        </w:rPr>
        <w:t>.</w:t>
      </w:r>
    </w:p>
  </w:footnote>
  <w:footnote w:id="26">
    <w:p w14:paraId="35CF5298" w14:textId="77777777" w:rsidR="00823532" w:rsidRPr="00B43C4B" w:rsidRDefault="00823532" w:rsidP="00B43C4B">
      <w:pPr>
        <w:pStyle w:val="Textonotapie"/>
        <w:jc w:val="both"/>
        <w:rPr>
          <w:rFonts w:cs="Times New Roman"/>
          <w:lang w:val="en-US"/>
        </w:rPr>
      </w:pPr>
      <w:r w:rsidRPr="00B43C4B">
        <w:rPr>
          <w:rStyle w:val="Refdenotaalpie"/>
          <w:rFonts w:cs="Times New Roman"/>
          <w:lang w:val="es-ES_tradnl"/>
        </w:rPr>
        <w:footnoteRef/>
      </w:r>
      <w:r w:rsidRPr="00B43C4B">
        <w:rPr>
          <w:rFonts w:cs="Times New Roman"/>
          <w:lang w:val="en-US"/>
        </w:rPr>
        <w:t xml:space="preserve"> The London Steam-Ship Mutual Insurance Association Limited and The Kingdom of Spain, M/T 'Prestige' [2021] EWHC 1247 (Comm), </w:t>
      </w:r>
      <w:r w:rsidRPr="00B43C4B">
        <w:rPr>
          <w:rFonts w:cs="Times New Roman"/>
          <w:i/>
          <w:lang w:val="en-US"/>
        </w:rPr>
        <w:t>introducción</w:t>
      </w:r>
      <w:r w:rsidRPr="00B43C4B">
        <w:rPr>
          <w:rFonts w:cs="Times New Roman"/>
          <w:lang w:val="en-US"/>
        </w:rPr>
        <w:t>, párrafos 32 y 33.</w:t>
      </w:r>
    </w:p>
  </w:footnote>
  <w:footnote w:id="27">
    <w:p w14:paraId="29D56AD2" w14:textId="27EAAAEB" w:rsidR="00911F70" w:rsidRPr="003F23B0" w:rsidRDefault="00911F70" w:rsidP="00B43C4B">
      <w:pPr>
        <w:pStyle w:val="Textonotapie"/>
        <w:jc w:val="both"/>
        <w:rPr>
          <w:rFonts w:cs="Times New Roman"/>
          <w:lang w:val="es-ES"/>
        </w:rPr>
      </w:pPr>
      <w:r w:rsidRPr="00B43C4B">
        <w:rPr>
          <w:rStyle w:val="Refdenotaalpie"/>
          <w:rFonts w:cs="Times New Roman"/>
          <w:lang w:val="es-ES_tradnl"/>
        </w:rPr>
        <w:footnoteRef/>
      </w:r>
      <w:r w:rsidRPr="00AD4990">
        <w:rPr>
          <w:rFonts w:cs="Times New Roman"/>
          <w:lang w:val="es-ES"/>
        </w:rPr>
        <w:t xml:space="preserve"> </w:t>
      </w:r>
      <w:r w:rsidR="00AD4990" w:rsidRPr="00AD4990">
        <w:rPr>
          <w:rFonts w:cs="Times New Roman"/>
          <w:lang w:val="es-ES"/>
        </w:rPr>
        <w:t xml:space="preserve">También alegaba </w:t>
      </w:r>
      <w:r w:rsidR="00AD4990">
        <w:rPr>
          <w:rFonts w:cs="Times New Roman"/>
          <w:lang w:val="es-ES"/>
        </w:rPr>
        <w:t>la vulneración de los derechos humanos del club P&amp;I. Argumento que es p</w:t>
      </w:r>
      <w:r w:rsidRPr="00AD4990">
        <w:rPr>
          <w:rFonts w:cs="Times New Roman"/>
          <w:lang w:val="es-ES"/>
        </w:rPr>
        <w:t>osteriormente rechazad</w:t>
      </w:r>
      <w:r w:rsidR="00AD4990">
        <w:rPr>
          <w:rFonts w:cs="Times New Roman"/>
          <w:lang w:val="es-ES"/>
        </w:rPr>
        <w:t>o</w:t>
      </w:r>
      <w:r w:rsidRPr="00AD4990">
        <w:rPr>
          <w:rFonts w:cs="Times New Roman"/>
          <w:lang w:val="es-ES"/>
        </w:rPr>
        <w:t xml:space="preserve"> por la </w:t>
      </w:r>
      <w:r w:rsidRPr="00AD4990">
        <w:rPr>
          <w:rFonts w:cs="Times New Roman"/>
          <w:i/>
          <w:lang w:val="es-ES"/>
        </w:rPr>
        <w:t>Court of Appeal</w:t>
      </w:r>
      <w:r w:rsidRPr="00AD4990">
        <w:rPr>
          <w:rFonts w:cs="Times New Roman"/>
          <w:lang w:val="es-ES"/>
        </w:rPr>
        <w:t xml:space="preserve">, </w:t>
      </w:r>
      <w:r w:rsidR="00AD4990">
        <w:rPr>
          <w:rFonts w:cs="Times New Roman"/>
          <w:lang w:val="es-ES"/>
        </w:rPr>
        <w:t xml:space="preserve">al estimar </w:t>
      </w:r>
      <w:r w:rsidRPr="00AD4990">
        <w:rPr>
          <w:rFonts w:cs="Times New Roman"/>
          <w:lang w:val="es-ES"/>
        </w:rPr>
        <w:t xml:space="preserve">que no ha habido vulneración de </w:t>
      </w:r>
      <w:r w:rsidR="00AD4990">
        <w:rPr>
          <w:rFonts w:cs="Times New Roman"/>
          <w:lang w:val="es-ES"/>
        </w:rPr>
        <w:t xml:space="preserve">dichos </w:t>
      </w:r>
      <w:r w:rsidRPr="00AD4990">
        <w:rPr>
          <w:rFonts w:cs="Times New Roman"/>
          <w:lang w:val="es-ES"/>
        </w:rPr>
        <w:t xml:space="preserve">derechos en The London Steam-Ship Mutual Insurance Association Limited and the Kingdom of Spain, M/T 'Prestige' </w:t>
      </w:r>
      <w:r w:rsidRPr="00AD4990">
        <w:rPr>
          <w:rFonts w:cs="Times New Roman"/>
          <w:bCs/>
          <w:lang w:val="es-ES"/>
        </w:rPr>
        <w:t>[2021] EWHC 1247 (Comm)</w:t>
      </w:r>
      <w:r w:rsidR="003F23B0">
        <w:rPr>
          <w:rFonts w:cs="Times New Roman"/>
          <w:bCs/>
          <w:lang w:val="es-ES"/>
        </w:rPr>
        <w:t xml:space="preserve">, en </w:t>
      </w:r>
      <w:hyperlink r:id="rId6" w:history="1">
        <w:r w:rsidR="003F23B0" w:rsidRPr="003F23B0">
          <w:rPr>
            <w:rStyle w:val="Hipervnculo"/>
            <w:rFonts w:cs="Times New Roman"/>
            <w:bCs/>
            <w:color w:val="auto"/>
            <w:u w:val="none"/>
            <w:lang w:val="es-ES"/>
          </w:rPr>
          <w:t>https://bitly.ws/XJqp</w:t>
        </w:r>
      </w:hyperlink>
      <w:r w:rsidR="003F23B0" w:rsidRPr="003F23B0">
        <w:rPr>
          <w:rFonts w:cs="Times New Roman"/>
          <w:bCs/>
          <w:lang w:val="es-ES"/>
        </w:rPr>
        <w:t>,</w:t>
      </w:r>
      <w:r w:rsidR="003F23B0">
        <w:rPr>
          <w:rFonts w:cs="Times New Roman"/>
          <w:bCs/>
          <w:lang w:val="es-ES"/>
        </w:rPr>
        <w:t xml:space="preserve"> consultada el 13 de octubre de 2023.</w:t>
      </w:r>
    </w:p>
  </w:footnote>
  <w:footnote w:id="28">
    <w:p w14:paraId="73D54425" w14:textId="77777777" w:rsidR="003F16B6" w:rsidRPr="00B43C4B" w:rsidRDefault="003F16B6" w:rsidP="00B43C4B">
      <w:pPr>
        <w:pStyle w:val="Textonotapie"/>
        <w:jc w:val="both"/>
        <w:rPr>
          <w:lang w:val="es-ES_tradnl"/>
        </w:rPr>
      </w:pPr>
      <w:r w:rsidRPr="00B43C4B">
        <w:rPr>
          <w:rStyle w:val="Refdenotaalpie"/>
          <w:lang w:val="es-ES_tradnl"/>
        </w:rPr>
        <w:footnoteRef/>
      </w:r>
      <w:r w:rsidRPr="00B43C4B">
        <w:rPr>
          <w:lang w:val="es-ES_tradnl"/>
        </w:rPr>
        <w:t xml:space="preserve"> Asunto C‑700/20, disponibles en </w:t>
      </w:r>
      <w:hyperlink r:id="rId7" w:history="1">
        <w:r w:rsidRPr="00B43C4B">
          <w:rPr>
            <w:rStyle w:val="Hipervnculo"/>
            <w:color w:val="auto"/>
            <w:u w:val="none"/>
            <w:lang w:val="es-ES_tradnl"/>
          </w:rPr>
          <w:t>https://rb.gy/os88d</w:t>
        </w:r>
      </w:hyperlink>
      <w:r w:rsidRPr="00B43C4B">
        <w:rPr>
          <w:lang w:val="es-ES_tradnl"/>
        </w:rPr>
        <w:t>, consultadas el 20 de junio de 2023.</w:t>
      </w:r>
    </w:p>
  </w:footnote>
  <w:footnote w:id="29">
    <w:p w14:paraId="57A42F15" w14:textId="64D71170" w:rsidR="003F16B6" w:rsidRPr="00B43C4B" w:rsidRDefault="003F16B6" w:rsidP="00B43C4B">
      <w:pPr>
        <w:pStyle w:val="Textonotapie"/>
        <w:jc w:val="both"/>
        <w:rPr>
          <w:lang w:val="es-ES_tradnl"/>
        </w:rPr>
      </w:pPr>
      <w:r w:rsidRPr="00B43C4B">
        <w:rPr>
          <w:rStyle w:val="Refdenotaalpie"/>
          <w:lang w:val="es-ES_tradnl"/>
        </w:rPr>
        <w:footnoteRef/>
      </w:r>
      <w:r w:rsidRPr="00B43C4B">
        <w:rPr>
          <w:lang w:val="es-ES_tradnl"/>
        </w:rPr>
        <w:t xml:space="preserve"> Sentencia del Tribunal de Justicia (Gran Sala) de 20 de junio de 2022. </w:t>
      </w:r>
      <w:r w:rsidRPr="00B43C4B">
        <w:rPr>
          <w:lang w:val="en-US"/>
        </w:rPr>
        <w:t xml:space="preserve">London Steam-Ship Owners’ Mutual Insurance Association Limited contra Kingdom of Spain. </w:t>
      </w:r>
      <w:r w:rsidRPr="00B43C4B">
        <w:rPr>
          <w:lang w:val="es-ES_tradnl"/>
        </w:rPr>
        <w:t xml:space="preserve">Petición de decisión prejudicial planteada por la </w:t>
      </w:r>
      <w:r w:rsidRPr="00B43C4B">
        <w:rPr>
          <w:i/>
          <w:iCs/>
          <w:lang w:val="es-ES_tradnl"/>
        </w:rPr>
        <w:t>High Court of Justice (England &amp; Wales), Queen’s Bench Division</w:t>
      </w:r>
      <w:r w:rsidRPr="00B43C4B">
        <w:rPr>
          <w:lang w:val="es-ES_tradnl"/>
        </w:rPr>
        <w:t xml:space="preserve">. Asunto C-700/20, disponible en </w:t>
      </w:r>
      <w:hyperlink r:id="rId8" w:history="1">
        <w:r w:rsidRPr="00B43C4B">
          <w:rPr>
            <w:rStyle w:val="Hipervnculo"/>
            <w:color w:val="auto"/>
            <w:u w:val="none"/>
            <w:lang w:val="es-ES_tradnl"/>
          </w:rPr>
          <w:t>https://rb.gy/53yzu</w:t>
        </w:r>
      </w:hyperlink>
      <w:r w:rsidRPr="00B43C4B">
        <w:rPr>
          <w:lang w:val="es-ES_tradnl"/>
        </w:rPr>
        <w:t xml:space="preserve">, consultada el </w:t>
      </w:r>
      <w:r w:rsidR="003A262A" w:rsidRPr="00B43C4B">
        <w:rPr>
          <w:lang w:val="es-ES_tradnl"/>
        </w:rPr>
        <w:t>13</w:t>
      </w:r>
      <w:r w:rsidRPr="00B43C4B">
        <w:rPr>
          <w:lang w:val="es-ES_tradnl"/>
        </w:rPr>
        <w:t xml:space="preserve"> de </w:t>
      </w:r>
      <w:r w:rsidR="003A262A" w:rsidRPr="00B43C4B">
        <w:rPr>
          <w:lang w:val="es-ES_tradnl"/>
        </w:rPr>
        <w:t>octubre</w:t>
      </w:r>
      <w:r w:rsidRPr="00B43C4B">
        <w:rPr>
          <w:lang w:val="es-ES_tradnl"/>
        </w:rPr>
        <w:t xml:space="preserve"> de 2023.</w:t>
      </w:r>
    </w:p>
  </w:footnote>
  <w:footnote w:id="30">
    <w:p w14:paraId="50AF2B58" w14:textId="77777777" w:rsidR="003F16B6" w:rsidRPr="00B43C4B" w:rsidRDefault="003F16B6" w:rsidP="00B43C4B">
      <w:pPr>
        <w:spacing w:after="0" w:line="240" w:lineRule="auto"/>
        <w:jc w:val="both"/>
        <w:rPr>
          <w:rFonts w:cs="Times New Roman"/>
        </w:rPr>
      </w:pPr>
      <w:r w:rsidRPr="00B43C4B">
        <w:rPr>
          <w:rStyle w:val="Refdenotaalpie"/>
          <w:rFonts w:cs="Times New Roman"/>
        </w:rPr>
        <w:footnoteRef/>
      </w:r>
      <w:r w:rsidRPr="00B43C4B">
        <w:rPr>
          <w:rFonts w:cs="Times New Roman"/>
        </w:rPr>
        <w:t xml:space="preserve"> </w:t>
      </w:r>
      <w:r w:rsidRPr="00B43C4B">
        <w:rPr>
          <w:rFonts w:eastAsia="Times New Roman" w:cs="Times New Roman"/>
          <w:lang w:eastAsia="es-ES"/>
        </w:rPr>
        <w:t>En este sentido, cita la Sentencia del Tribunal de Justicia de la Unión Europea (Sala Octava) de 13 de julio de 2017.</w:t>
      </w:r>
    </w:p>
  </w:footnote>
  <w:footnote w:id="31">
    <w:p w14:paraId="49182AF2" w14:textId="3AEDBD37" w:rsidR="003F67FC" w:rsidRPr="00B43C4B" w:rsidRDefault="003F67FC" w:rsidP="00B43C4B">
      <w:pPr>
        <w:pStyle w:val="Textonotapie"/>
        <w:jc w:val="both"/>
        <w:rPr>
          <w:rFonts w:cs="Times New Roman"/>
          <w:lang w:val="en-US"/>
        </w:rPr>
      </w:pPr>
      <w:r w:rsidRPr="00B43C4B">
        <w:rPr>
          <w:rStyle w:val="Refdenotaalpie"/>
          <w:rFonts w:cs="Times New Roman"/>
          <w:lang w:val="es-ES_tradnl"/>
        </w:rPr>
        <w:footnoteRef/>
      </w:r>
      <w:r w:rsidRPr="00B43C4B">
        <w:rPr>
          <w:rFonts w:cs="Times New Roman"/>
          <w:lang w:val="en-US"/>
        </w:rPr>
        <w:t xml:space="preserve"> The London Steamship Owners’ Mutual Insurance Association Ltd and The Kingdom of Spain, M/T "Prestige" (No. 5) [2022] EWCA Civ 238, disponible en </w:t>
      </w:r>
      <w:hyperlink r:id="rId9" w:history="1">
        <w:r w:rsidRPr="00B43C4B">
          <w:rPr>
            <w:rStyle w:val="Hipervnculo"/>
            <w:rFonts w:cs="Times New Roman"/>
            <w:color w:val="auto"/>
            <w:u w:val="none"/>
            <w:lang w:val="en-US"/>
          </w:rPr>
          <w:t>https://rb.gy/o71p4</w:t>
        </w:r>
      </w:hyperlink>
      <w:r w:rsidRPr="00B43C4B">
        <w:rPr>
          <w:rFonts w:cs="Times New Roman"/>
          <w:lang w:val="en-US"/>
        </w:rPr>
        <w:t xml:space="preserve">, consultada el </w:t>
      </w:r>
      <w:r w:rsidR="003A262A" w:rsidRPr="00B43C4B">
        <w:rPr>
          <w:rFonts w:cs="Times New Roman"/>
          <w:lang w:val="en-US"/>
        </w:rPr>
        <w:t>13 de octubre</w:t>
      </w:r>
      <w:r w:rsidRPr="00B43C4B">
        <w:rPr>
          <w:rFonts w:cs="Times New Roman"/>
          <w:lang w:val="en-US"/>
        </w:rPr>
        <w:t xml:space="preserve"> de 2023.</w:t>
      </w:r>
    </w:p>
  </w:footnote>
  <w:footnote w:id="32">
    <w:p w14:paraId="229CA021" w14:textId="21DB7B8B" w:rsidR="00AB2051" w:rsidRPr="00F200CC" w:rsidRDefault="00AB2051" w:rsidP="00B43C4B">
      <w:pPr>
        <w:pStyle w:val="Textonotapie"/>
        <w:jc w:val="both"/>
        <w:rPr>
          <w:lang w:val="es-ES"/>
        </w:rPr>
      </w:pPr>
      <w:r w:rsidRPr="00B43C4B">
        <w:rPr>
          <w:rStyle w:val="Refdenotaalpie"/>
        </w:rPr>
        <w:footnoteRef/>
      </w:r>
      <w:r w:rsidRPr="00F200CC">
        <w:rPr>
          <w:lang w:val="es-ES"/>
        </w:rPr>
        <w:t xml:space="preserve"> </w:t>
      </w:r>
      <w:r w:rsidR="00F200CC" w:rsidRPr="00F200CC">
        <w:rPr>
          <w:lang w:val="es-ES"/>
        </w:rPr>
        <w:t>Informac</w:t>
      </w:r>
      <w:r w:rsidR="00F200CC">
        <w:rPr>
          <w:lang w:val="es-ES"/>
        </w:rPr>
        <w:t>ión extraída del a</w:t>
      </w:r>
      <w:r w:rsidRPr="00F200CC">
        <w:rPr>
          <w:lang w:val="es-ES"/>
        </w:rPr>
        <w:t>partado 36 de la sentenc</w:t>
      </w:r>
      <w:r w:rsidR="00D45770" w:rsidRPr="00F200CC">
        <w:rPr>
          <w:lang w:val="es-ES"/>
        </w:rPr>
        <w:t>i</w:t>
      </w:r>
      <w:r w:rsidRPr="00F200CC">
        <w:rPr>
          <w:lang w:val="es-ES"/>
        </w:rPr>
        <w:t xml:space="preserve">a de la </w:t>
      </w:r>
      <w:r w:rsidRPr="00F200CC">
        <w:rPr>
          <w:i/>
          <w:iCs/>
          <w:lang w:val="es-ES"/>
        </w:rPr>
        <w:t>High Court</w:t>
      </w:r>
      <w:r w:rsidRPr="00F200CC">
        <w:rPr>
          <w:lang w:val="es-ES"/>
        </w:rPr>
        <w:t xml:space="preserve"> </w:t>
      </w:r>
      <w:r w:rsidRPr="00F200CC">
        <w:rPr>
          <w:i/>
          <w:iCs/>
          <w:lang w:val="es-ES"/>
        </w:rPr>
        <w:t>of Justice Business and Property Courts of England and Wales Commercial Court (KBD</w:t>
      </w:r>
      <w:r w:rsidRPr="00F200CC">
        <w:rPr>
          <w:lang w:val="es-ES"/>
        </w:rPr>
        <w:t xml:space="preserve">), de 6 de octubre de 2023, [2023] EWHC 2473 (Comm), disponible en </w:t>
      </w:r>
      <w:hyperlink r:id="rId10" w:history="1">
        <w:r w:rsidRPr="00F200CC">
          <w:rPr>
            <w:rStyle w:val="Hipervnculo"/>
            <w:color w:val="auto"/>
            <w:u w:val="none"/>
            <w:lang w:val="es-ES"/>
          </w:rPr>
          <w:t>https://bitly.ws/X8WK</w:t>
        </w:r>
      </w:hyperlink>
      <w:r w:rsidRPr="00F200CC">
        <w:rPr>
          <w:lang w:val="es-ES"/>
        </w:rPr>
        <w:t>, consultada el 13 de octubre de 2023.</w:t>
      </w:r>
    </w:p>
  </w:footnote>
  <w:footnote w:id="33">
    <w:p w14:paraId="6CE6F2D7" w14:textId="7F28AB29" w:rsidR="00FE1B75" w:rsidRPr="00FE1B75" w:rsidRDefault="00FE1B75" w:rsidP="00FE1B75">
      <w:pPr>
        <w:pStyle w:val="Textonotapie"/>
        <w:jc w:val="both"/>
        <w:rPr>
          <w:lang w:val="es-ES"/>
        </w:rPr>
      </w:pPr>
      <w:r>
        <w:rPr>
          <w:rStyle w:val="Refdenotaalpie"/>
        </w:rPr>
        <w:footnoteRef/>
      </w:r>
      <w:r w:rsidRPr="00FE1B75">
        <w:rPr>
          <w:lang w:val="es-ES"/>
        </w:rPr>
        <w:t xml:space="preserve"> </w:t>
      </w:r>
      <w:r>
        <w:rPr>
          <w:lang w:val="es-ES"/>
        </w:rPr>
        <w:t xml:space="preserve">Según se informa en el apartado 4(8) de la sentencia de la </w:t>
      </w:r>
      <w:r w:rsidRPr="00F3324E">
        <w:rPr>
          <w:i/>
          <w:iCs/>
          <w:lang w:val="es-ES"/>
        </w:rPr>
        <w:t>High Court</w:t>
      </w:r>
      <w:r>
        <w:rPr>
          <w:lang w:val="es-ES"/>
        </w:rPr>
        <w:t xml:space="preserve"> </w:t>
      </w:r>
      <w:r w:rsidRPr="00FE1B75">
        <w:rPr>
          <w:lang w:val="es-ES"/>
        </w:rPr>
        <w:t>T</w:t>
      </w:r>
      <w:r>
        <w:rPr>
          <w:lang w:val="es-ES"/>
        </w:rPr>
        <w:t xml:space="preserve">he French State and </w:t>
      </w:r>
      <w:r w:rsidRPr="00FE1B75">
        <w:rPr>
          <w:rFonts w:cs="Times New Roman"/>
          <w:lang w:val="es-ES_tradnl"/>
        </w:rPr>
        <w:t>The London Steamship Owners’ Mutual Insurance Association Ltd</w:t>
      </w:r>
      <w:r>
        <w:rPr>
          <w:lang w:val="es-ES"/>
        </w:rPr>
        <w:t xml:space="preserve"> </w:t>
      </w:r>
      <w:r w:rsidRPr="00FE1B75">
        <w:rPr>
          <w:lang w:val="es-ES"/>
        </w:rPr>
        <w:t>[2023] EWHC 2474 (Comm)</w:t>
      </w:r>
      <w:r>
        <w:rPr>
          <w:lang w:val="es-ES"/>
        </w:rPr>
        <w:t xml:space="preserve">, de 8-9 de agosto de 2023, disponible en </w:t>
      </w:r>
      <w:hyperlink r:id="rId11" w:history="1">
        <w:r w:rsidRPr="00FE1B75">
          <w:rPr>
            <w:rStyle w:val="Hipervnculo"/>
            <w:color w:val="auto"/>
            <w:u w:val="none"/>
            <w:lang w:val="es-ES"/>
          </w:rPr>
          <w:t>https://bitly.ws/XL8M</w:t>
        </w:r>
      </w:hyperlink>
      <w:r>
        <w:rPr>
          <w:lang w:val="es-ES"/>
        </w:rPr>
        <w:t>, consultada el 19 de octubre de 2023.</w:t>
      </w:r>
    </w:p>
  </w:footnote>
  <w:footnote w:id="34">
    <w:p w14:paraId="48EC4AF2" w14:textId="77777777" w:rsidR="006840E4" w:rsidRPr="00B43C4B" w:rsidRDefault="006840E4" w:rsidP="00B43C4B">
      <w:pPr>
        <w:pStyle w:val="Textonotapie"/>
        <w:jc w:val="both"/>
        <w:rPr>
          <w:rFonts w:cs="Times New Roman"/>
          <w:lang w:val="es-ES_tradnl"/>
        </w:rPr>
      </w:pPr>
      <w:r w:rsidRPr="00B43C4B">
        <w:rPr>
          <w:rStyle w:val="Refdenotaalpie"/>
          <w:rFonts w:cs="Times New Roman"/>
          <w:lang w:val="es-ES_tradnl"/>
        </w:rPr>
        <w:footnoteRef/>
      </w:r>
      <w:r w:rsidRPr="00B43C4B">
        <w:rPr>
          <w:rFonts w:cs="Times New Roman"/>
          <w:lang w:val="es-ES_tradnl"/>
        </w:rPr>
        <w:t xml:space="preserve"> Véase </w:t>
      </w:r>
      <w:hyperlink r:id="rId12" w:history="1">
        <w:r w:rsidRPr="00B43C4B">
          <w:rPr>
            <w:rStyle w:val="Hipervnculo"/>
            <w:rFonts w:cs="Times New Roman"/>
            <w:color w:val="auto"/>
            <w:u w:val="none"/>
            <w:lang w:val="es-ES_tradnl"/>
          </w:rPr>
          <w:t>https://www.igpandi.org/</w:t>
        </w:r>
      </w:hyperlink>
      <w:r w:rsidRPr="00B43C4B">
        <w:rPr>
          <w:rFonts w:cs="Times New Roman"/>
          <w:lang w:val="es-ES_tradnl"/>
        </w:rPr>
        <w:t xml:space="preserve">, consultada el 13 de octubre de 2023. </w:t>
      </w:r>
    </w:p>
  </w:footnote>
  <w:footnote w:id="35">
    <w:p w14:paraId="2807B873" w14:textId="503A23EC" w:rsidR="006840E4" w:rsidRPr="00B43C4B" w:rsidRDefault="006840E4" w:rsidP="00B43C4B">
      <w:pPr>
        <w:pStyle w:val="Textonotapie"/>
        <w:jc w:val="both"/>
        <w:rPr>
          <w:rFonts w:cs="Times New Roman"/>
          <w:lang w:val="es-ES_tradnl"/>
        </w:rPr>
      </w:pPr>
      <w:r w:rsidRPr="00B43C4B">
        <w:rPr>
          <w:rStyle w:val="Refdenotaalpie"/>
          <w:rFonts w:cs="Times New Roman"/>
          <w:lang w:val="es-ES_tradnl"/>
        </w:rPr>
        <w:footnoteRef/>
      </w:r>
      <w:r w:rsidRPr="00B43C4B">
        <w:rPr>
          <w:rFonts w:cs="Times New Roman"/>
          <w:lang w:val="es-ES_tradnl"/>
        </w:rPr>
        <w:t xml:space="preserve"> Véase la web de la OMI, en </w:t>
      </w:r>
      <w:hyperlink r:id="rId13" w:history="1">
        <w:r w:rsidRPr="00B43C4B">
          <w:rPr>
            <w:rStyle w:val="Hipervnculo"/>
            <w:rFonts w:cs="Times New Roman"/>
            <w:color w:val="auto"/>
            <w:u w:val="none"/>
            <w:lang w:val="es-ES_tradnl"/>
          </w:rPr>
          <w:t>https://bit.ly/3HWkGnr</w:t>
        </w:r>
      </w:hyperlink>
      <w:r w:rsidRPr="00B43C4B">
        <w:rPr>
          <w:rFonts w:cs="Times New Roman"/>
          <w:lang w:val="es-ES_tradnl"/>
        </w:rPr>
        <w:t xml:space="preserve">, consultada el 13 de octubre de 2023. </w:t>
      </w:r>
    </w:p>
  </w:footnote>
  <w:footnote w:id="36">
    <w:p w14:paraId="04F67182" w14:textId="7D6D33C2" w:rsidR="008404B8" w:rsidRPr="00B43C4B" w:rsidRDefault="008404B8" w:rsidP="008404B8">
      <w:pPr>
        <w:spacing w:after="0" w:line="240" w:lineRule="auto"/>
        <w:jc w:val="both"/>
      </w:pPr>
      <w:r w:rsidRPr="008404B8">
        <w:rPr>
          <w:rStyle w:val="Refdenotaalpie"/>
        </w:rPr>
        <w:footnoteRef/>
      </w:r>
      <w:r w:rsidRPr="008404B8">
        <w:t xml:space="preserve"> </w:t>
      </w:r>
      <w:r w:rsidRPr="008404B8">
        <w:rPr>
          <w:rFonts w:cs="Times New Roman"/>
        </w:rPr>
        <w:t xml:space="preserve">Hay un mercado alternativo al de los clubs </w:t>
      </w:r>
      <w:r w:rsidRPr="00B43C4B">
        <w:rPr>
          <w:rFonts w:cs="Times New Roman"/>
        </w:rPr>
        <w:t xml:space="preserve">P&amp;I del IGP&amp;I, pero sus aseguradores no tienen tanta capacidad de cobertura y solvencia. </w:t>
      </w:r>
    </w:p>
  </w:footnote>
  <w:footnote w:id="37">
    <w:p w14:paraId="6CE487E6" w14:textId="0F65AD6B" w:rsidR="00CB058F" w:rsidRPr="008404B8" w:rsidRDefault="00CB058F" w:rsidP="008404B8">
      <w:pPr>
        <w:pStyle w:val="Textonotapie"/>
        <w:jc w:val="both"/>
        <w:rPr>
          <w:lang w:val="es-ES"/>
        </w:rPr>
      </w:pPr>
      <w:r>
        <w:rPr>
          <w:rStyle w:val="Refdenotaalpie"/>
        </w:rPr>
        <w:footnoteRef/>
      </w:r>
      <w:r w:rsidRPr="00CB058F">
        <w:rPr>
          <w:lang w:val="en-US"/>
        </w:rPr>
        <w:t xml:space="preserve"> EQUASIS, </w:t>
      </w:r>
      <w:r w:rsidRPr="00CB058F">
        <w:rPr>
          <w:i/>
          <w:iCs/>
          <w:lang w:val="en-US"/>
        </w:rPr>
        <w:t xml:space="preserve">The 2021 world merchant </w:t>
      </w:r>
      <w:r w:rsidRPr="008404B8">
        <w:rPr>
          <w:i/>
          <w:iCs/>
          <w:lang w:val="en-US"/>
        </w:rPr>
        <w:t xml:space="preserve">fleet. </w:t>
      </w:r>
      <w:r w:rsidRPr="008404B8">
        <w:rPr>
          <w:i/>
          <w:iCs/>
          <w:lang w:val="es-ES"/>
        </w:rPr>
        <w:t>Statistics from Equasis</w:t>
      </w:r>
      <w:r w:rsidRPr="008404B8">
        <w:rPr>
          <w:lang w:val="es-ES"/>
        </w:rPr>
        <w:t xml:space="preserve">, disponible en </w:t>
      </w:r>
      <w:hyperlink r:id="rId14" w:history="1">
        <w:r w:rsidR="008404B8" w:rsidRPr="008404B8">
          <w:rPr>
            <w:rStyle w:val="Hipervnculo"/>
            <w:color w:val="auto"/>
            <w:u w:val="none"/>
            <w:lang w:val="es-ES"/>
          </w:rPr>
          <w:t>https://bitly.ws/XMEP</w:t>
        </w:r>
      </w:hyperlink>
      <w:r w:rsidR="008404B8" w:rsidRPr="008404B8">
        <w:rPr>
          <w:lang w:val="es-ES"/>
        </w:rPr>
        <w:t>, consultado el 18 de octubre de 2023.</w:t>
      </w:r>
    </w:p>
  </w:footnote>
  <w:footnote w:id="38">
    <w:p w14:paraId="0D501A1F" w14:textId="77777777" w:rsidR="00D11319" w:rsidRPr="00B43C4B" w:rsidRDefault="00D11319" w:rsidP="00B43C4B">
      <w:pPr>
        <w:pStyle w:val="Textonotapie"/>
        <w:jc w:val="both"/>
        <w:rPr>
          <w:rFonts w:cs="Times New Roman"/>
          <w:lang w:val="es-ES_tradnl"/>
        </w:rPr>
      </w:pPr>
      <w:r w:rsidRPr="00B43C4B">
        <w:rPr>
          <w:rStyle w:val="Refdenotaalpie"/>
          <w:rFonts w:cs="Times New Roman"/>
          <w:lang w:val="es-ES_tradnl"/>
        </w:rPr>
        <w:footnoteRef/>
      </w:r>
      <w:r w:rsidRPr="00B43C4B">
        <w:rPr>
          <w:rFonts w:cs="Times New Roman"/>
          <w:lang w:val="es-ES_tradnl"/>
        </w:rPr>
        <w:t xml:space="preserve"> Véase SIERRA NOGUERO, E. (2013), “El grupo internacional de clubes de protección e indemnización”. En PETIT LAVALL, M. V. y MARTÍNEZ SANZ, F. (dirs.) y PUETZ, A. (coord.), </w:t>
      </w:r>
      <w:r w:rsidRPr="00B43C4B">
        <w:rPr>
          <w:rFonts w:cs="Times New Roman"/>
          <w:i/>
          <w:lang w:val="es-ES_tradnl"/>
        </w:rPr>
        <w:t>La nueva ordenación del mercado de transporte</w:t>
      </w:r>
      <w:r w:rsidRPr="00B43C4B">
        <w:rPr>
          <w:rFonts w:cs="Times New Roman"/>
          <w:lang w:val="es-ES_tradnl"/>
        </w:rPr>
        <w:t>, Barcelona-Madrid: Marcial Pons, págs. 789-807.</w:t>
      </w:r>
    </w:p>
  </w:footnote>
  <w:footnote w:id="39">
    <w:p w14:paraId="0D2960F8" w14:textId="082DFF97" w:rsidR="009666AA" w:rsidRPr="009666AA" w:rsidRDefault="009666AA">
      <w:pPr>
        <w:pStyle w:val="Textonotapie"/>
        <w:rPr>
          <w:lang w:val="es-ES"/>
        </w:rPr>
      </w:pPr>
      <w:r>
        <w:rPr>
          <w:rStyle w:val="Refdenotaalpie"/>
        </w:rPr>
        <w:footnoteRef/>
      </w:r>
      <w:r w:rsidRPr="009666AA">
        <w:rPr>
          <w:lang w:val="es-ES"/>
        </w:rPr>
        <w:t xml:space="preserve"> </w:t>
      </w:r>
      <w:r>
        <w:rPr>
          <w:lang w:val="es-ES"/>
        </w:rPr>
        <w:t xml:space="preserve">Disponibles </w:t>
      </w:r>
      <w:r w:rsidRPr="009666AA">
        <w:rPr>
          <w:lang w:val="es-ES"/>
        </w:rPr>
        <w:t xml:space="preserve">en </w:t>
      </w:r>
      <w:hyperlink r:id="rId15" w:history="1">
        <w:r w:rsidRPr="009666AA">
          <w:rPr>
            <w:rStyle w:val="Hipervnculo"/>
            <w:color w:val="auto"/>
            <w:u w:val="none"/>
            <w:lang w:val="es-ES"/>
          </w:rPr>
          <w:t>https://bitly.ws/XMMf</w:t>
        </w:r>
      </w:hyperlink>
      <w:r w:rsidRPr="009666AA">
        <w:rPr>
          <w:lang w:val="es-ES"/>
        </w:rPr>
        <w:t xml:space="preserve">, consultada </w:t>
      </w:r>
      <w:r>
        <w:rPr>
          <w:lang w:val="es-ES"/>
        </w:rPr>
        <w:t>el 18 de octubre de 2023.</w:t>
      </w:r>
    </w:p>
  </w:footnote>
  <w:footnote w:id="40">
    <w:p w14:paraId="6D3C626B" w14:textId="2092BB4A" w:rsidR="00C508F6" w:rsidRPr="00C508F6" w:rsidRDefault="00C508F6" w:rsidP="00C508F6">
      <w:pPr>
        <w:pStyle w:val="Textonotapie"/>
        <w:jc w:val="both"/>
        <w:rPr>
          <w:lang w:val="es-ES"/>
        </w:rPr>
      </w:pPr>
      <w:r>
        <w:rPr>
          <w:rStyle w:val="Refdenotaalpie"/>
        </w:rPr>
        <w:footnoteRef/>
      </w:r>
      <w:r w:rsidRPr="00C508F6">
        <w:rPr>
          <w:lang w:val="es-ES"/>
        </w:rPr>
        <w:t xml:space="preserve"> Sentencia del Tribunal de Justicia (Sala Octava) de 13 de julio de 2017.</w:t>
      </w:r>
      <w:r>
        <w:rPr>
          <w:lang w:val="es-ES"/>
        </w:rPr>
        <w:t xml:space="preserve"> </w:t>
      </w:r>
      <w:r w:rsidRPr="00C508F6">
        <w:rPr>
          <w:lang w:val="es-ES"/>
        </w:rPr>
        <w:t>Assens Havn contra Navigators Management (UK) Limited. Asunto C-368/16</w:t>
      </w:r>
      <w:r>
        <w:rPr>
          <w:lang w:val="es-ES"/>
        </w:rPr>
        <w:t xml:space="preserve">, </w:t>
      </w:r>
      <w:r w:rsidRPr="00C508F6">
        <w:rPr>
          <w:lang w:val="es-ES"/>
        </w:rPr>
        <w:t xml:space="preserve">disponible en </w:t>
      </w:r>
      <w:hyperlink r:id="rId16" w:history="1">
        <w:r w:rsidRPr="00C508F6">
          <w:rPr>
            <w:rStyle w:val="Hipervnculo"/>
            <w:color w:val="auto"/>
            <w:u w:val="none"/>
            <w:lang w:val="es-ES"/>
          </w:rPr>
          <w:t>https://bitly.ws/XN4J</w:t>
        </w:r>
      </w:hyperlink>
      <w:r w:rsidRPr="00C508F6">
        <w:rPr>
          <w:lang w:val="es-ES"/>
        </w:rPr>
        <w:t>, consultada el 18 de octubre de 2023.</w:t>
      </w:r>
    </w:p>
  </w:footnote>
  <w:footnote w:id="41">
    <w:p w14:paraId="44A6A539" w14:textId="6EE6AC8B" w:rsidR="0068748E" w:rsidRPr="00B43C4B" w:rsidRDefault="0068748E" w:rsidP="00B43C4B">
      <w:pPr>
        <w:pStyle w:val="Textonotapie"/>
        <w:jc w:val="both"/>
        <w:rPr>
          <w:lang w:val="es-ES"/>
        </w:rPr>
      </w:pPr>
      <w:r w:rsidRPr="00B43C4B">
        <w:rPr>
          <w:rStyle w:val="Refdenotaalpie"/>
        </w:rPr>
        <w:footnoteRef/>
      </w:r>
      <w:r w:rsidRPr="00B43C4B">
        <w:rPr>
          <w:lang w:val="es-ES"/>
        </w:rPr>
        <w:t xml:space="preserve"> Véase la página web de BIMCO, en </w:t>
      </w:r>
      <w:hyperlink r:id="rId17" w:history="1">
        <w:r w:rsidRPr="00B43C4B">
          <w:rPr>
            <w:rStyle w:val="Hipervnculo"/>
            <w:color w:val="auto"/>
            <w:u w:val="none"/>
            <w:lang w:val="es-ES"/>
          </w:rPr>
          <w:t>https://bitly.ws/XiCU</w:t>
        </w:r>
      </w:hyperlink>
      <w:r w:rsidRPr="00B43C4B">
        <w:rPr>
          <w:lang w:val="es-ES"/>
        </w:rPr>
        <w:t>, consultada el 13 de octubre de 2023.</w:t>
      </w:r>
    </w:p>
  </w:footnote>
  <w:footnote w:id="42">
    <w:p w14:paraId="7EB61098" w14:textId="77777777" w:rsidR="009E257B" w:rsidRPr="00B43C4B" w:rsidRDefault="009E257B" w:rsidP="009E257B">
      <w:pPr>
        <w:pStyle w:val="Textonotapie"/>
        <w:jc w:val="both"/>
        <w:rPr>
          <w:lang w:val="en-US"/>
        </w:rPr>
      </w:pPr>
      <w:r w:rsidRPr="00B43C4B">
        <w:rPr>
          <w:rStyle w:val="Refdenotaalpie"/>
        </w:rPr>
        <w:footnoteRef/>
      </w:r>
      <w:r w:rsidRPr="00B43C4B">
        <w:t xml:space="preserve"> The Fanti and the Padre Island [1991] 2 AC 1.</w:t>
      </w:r>
    </w:p>
  </w:footnote>
  <w:footnote w:id="43">
    <w:p w14:paraId="0BE7C6D1" w14:textId="77777777" w:rsidR="009E257B" w:rsidRPr="00B43C4B" w:rsidRDefault="009E257B" w:rsidP="009E257B">
      <w:pPr>
        <w:pStyle w:val="Textonotapie"/>
        <w:jc w:val="both"/>
        <w:rPr>
          <w:lang w:val="es-ES"/>
        </w:rPr>
      </w:pPr>
      <w:r w:rsidRPr="00B43C4B">
        <w:rPr>
          <w:rStyle w:val="Refdenotaalpie"/>
        </w:rPr>
        <w:footnoteRef/>
      </w:r>
      <w:r w:rsidRPr="00B43C4B">
        <w:rPr>
          <w:lang w:val="es-ES"/>
        </w:rPr>
        <w:t xml:space="preserve"> </w:t>
      </w:r>
      <w:r w:rsidRPr="00B43C4B">
        <w:rPr>
          <w:rFonts w:cs="Times New Roman"/>
          <w:lang w:val="es-ES"/>
        </w:rPr>
        <w:t xml:space="preserve">West Tankers v Allianz [2012] EWCA Civ 27, disponible en </w:t>
      </w:r>
      <w:hyperlink r:id="rId18" w:history="1">
        <w:r w:rsidRPr="00B43C4B">
          <w:rPr>
            <w:rStyle w:val="Hipervnculo"/>
            <w:rFonts w:cs="Times New Roman"/>
            <w:color w:val="auto"/>
            <w:u w:val="none"/>
            <w:lang w:val="es-ES"/>
          </w:rPr>
          <w:t>https://bitly.ws/XiFo</w:t>
        </w:r>
      </w:hyperlink>
      <w:r w:rsidRPr="00B43C4B">
        <w:rPr>
          <w:rFonts w:cs="Times New Roman"/>
          <w:lang w:val="es-ES"/>
        </w:rPr>
        <w:t>, consultada el 13 de octubre de 2023.</w:t>
      </w:r>
    </w:p>
  </w:footnote>
  <w:footnote w:id="44">
    <w:p w14:paraId="75D9909C" w14:textId="136216BD" w:rsidR="00336B38" w:rsidRPr="00B43C4B" w:rsidRDefault="00336B38" w:rsidP="00B43C4B">
      <w:pPr>
        <w:pStyle w:val="Textonotapie"/>
        <w:jc w:val="both"/>
        <w:rPr>
          <w:lang w:val="es-ES_tradnl"/>
        </w:rPr>
      </w:pPr>
      <w:r w:rsidRPr="00B43C4B">
        <w:rPr>
          <w:rStyle w:val="Refdenotaalpie"/>
          <w:lang w:val="es-ES_tradnl"/>
        </w:rPr>
        <w:footnoteRef/>
      </w:r>
      <w:r w:rsidRPr="00B43C4B">
        <w:rPr>
          <w:lang w:val="es-ES_tradnl"/>
        </w:rPr>
        <w:t xml:space="preserve"> En la web de la Organización Marítima Internacional, véase </w:t>
      </w:r>
      <w:hyperlink r:id="rId19" w:history="1">
        <w:r w:rsidRPr="00B43C4B">
          <w:rPr>
            <w:rStyle w:val="Hipervnculo"/>
            <w:color w:val="auto"/>
            <w:u w:val="none"/>
            <w:lang w:val="es-ES_tradnl"/>
          </w:rPr>
          <w:t>http://bitly.ws/J3rUm</w:t>
        </w:r>
      </w:hyperlink>
      <w:r w:rsidRPr="00B43C4B">
        <w:rPr>
          <w:lang w:val="es-ES_tradnl"/>
        </w:rPr>
        <w:t xml:space="preserve">, consultada el </w:t>
      </w:r>
      <w:r w:rsidR="006E69FA">
        <w:rPr>
          <w:lang w:val="es-ES_tradnl"/>
        </w:rPr>
        <w:t>15</w:t>
      </w:r>
      <w:r w:rsidRPr="00B43C4B">
        <w:rPr>
          <w:lang w:val="es-ES_tradnl"/>
        </w:rPr>
        <w:t xml:space="preserve"> de </w:t>
      </w:r>
      <w:r w:rsidR="006E69FA">
        <w:rPr>
          <w:lang w:val="es-ES_tradnl"/>
        </w:rPr>
        <w:t>octubre</w:t>
      </w:r>
      <w:r w:rsidRPr="00B43C4B">
        <w:rPr>
          <w:lang w:val="es-ES_tradnl"/>
        </w:rPr>
        <w:t xml:space="preserve"> de 2023. Más ampliamente sobre esta medida legislativa, también GARCÍA PÉREZ, M. y SANZ LARRUGA, J. (Coords.), </w:t>
      </w:r>
      <w:r w:rsidRPr="00B43C4B">
        <w:rPr>
          <w:i/>
          <w:iCs/>
          <w:lang w:val="es-ES_tradnl"/>
        </w:rPr>
        <w:t>Seguridad marítima y medio ambiente</w:t>
      </w:r>
      <w:r w:rsidRPr="00B43C4B">
        <w:rPr>
          <w:lang w:val="es-ES_tradnl"/>
        </w:rPr>
        <w:t xml:space="preserve">. A Coruña: Netbiblo, 2016, pág. 19. </w:t>
      </w:r>
    </w:p>
  </w:footnote>
  <w:footnote w:id="45">
    <w:p w14:paraId="368DACD4" w14:textId="77777777" w:rsidR="00336B38" w:rsidRPr="00B43C4B" w:rsidRDefault="00336B38" w:rsidP="00B43C4B">
      <w:pPr>
        <w:pStyle w:val="Textonotapie"/>
        <w:jc w:val="both"/>
        <w:rPr>
          <w:rFonts w:cs="Times New Roman"/>
          <w:lang w:val="es-ES_tradnl"/>
        </w:rPr>
      </w:pPr>
      <w:r w:rsidRPr="00B43C4B">
        <w:rPr>
          <w:rStyle w:val="Refdenotaalpie"/>
          <w:rFonts w:cs="Times New Roman"/>
          <w:lang w:val="es-ES_tradnl"/>
        </w:rPr>
        <w:footnoteRef/>
      </w:r>
      <w:r w:rsidRPr="00B43C4B">
        <w:rPr>
          <w:rFonts w:cs="Times New Roman"/>
          <w:lang w:val="es-ES_tradnl"/>
        </w:rPr>
        <w:t xml:space="preserve"> </w:t>
      </w:r>
      <w:r w:rsidRPr="00B43C4B">
        <w:rPr>
          <w:rFonts w:cs="Times New Roman"/>
          <w:i/>
          <w:lang w:val="es-ES_tradnl"/>
        </w:rPr>
        <w:t>Boletín Oficial del Estado</w:t>
      </w:r>
      <w:r w:rsidRPr="00B43C4B">
        <w:rPr>
          <w:rFonts w:cs="Times New Roman"/>
          <w:lang w:val="es-ES_tradnl"/>
        </w:rPr>
        <w:t>, núm. 28, de 2 de febrero de 2005.</w:t>
      </w:r>
    </w:p>
  </w:footnote>
  <w:footnote w:id="46">
    <w:p w14:paraId="3699C1D3" w14:textId="3A25161B" w:rsidR="00BB4E03" w:rsidRPr="00B43C4B" w:rsidRDefault="00BB4E03" w:rsidP="00B43C4B">
      <w:pPr>
        <w:pStyle w:val="Textonotapie"/>
        <w:jc w:val="both"/>
        <w:rPr>
          <w:lang w:val="es-ES_tradnl"/>
        </w:rPr>
      </w:pPr>
      <w:r w:rsidRPr="00B43C4B">
        <w:rPr>
          <w:rStyle w:val="Refdenotaalpie"/>
          <w:lang w:val="es-ES_tradnl"/>
        </w:rPr>
        <w:footnoteRef/>
      </w:r>
      <w:r w:rsidRPr="00B43C4B">
        <w:rPr>
          <w:lang w:val="es-ES_tradnl"/>
        </w:rPr>
        <w:t xml:space="preserve"> </w:t>
      </w:r>
      <w:r w:rsidR="00673801">
        <w:rPr>
          <w:lang w:val="es-ES_tradnl"/>
        </w:rPr>
        <w:t xml:space="preserve">Disponible en </w:t>
      </w:r>
      <w:r w:rsidR="00673801" w:rsidRPr="00673801">
        <w:rPr>
          <w:lang w:val="es-ES_tradnl"/>
        </w:rPr>
        <w:t>https://bitly.ws/XMWQ</w:t>
      </w:r>
      <w:r w:rsidRPr="00B43C4B">
        <w:rPr>
          <w:lang w:val="es-ES_tradnl"/>
        </w:rPr>
        <w:t xml:space="preserve">, consultada el 13 de octubre de 2023.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1AB8"/>
    <w:multiLevelType w:val="hybridMultilevel"/>
    <w:tmpl w:val="C07AB62E"/>
    <w:lvl w:ilvl="0" w:tplc="86142D96">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0BB2469"/>
    <w:multiLevelType w:val="hybridMultilevel"/>
    <w:tmpl w:val="CF627BFC"/>
    <w:lvl w:ilvl="0" w:tplc="F50C68C6">
      <w:start w:val="1"/>
      <w:numFmt w:val="decimal"/>
      <w:lvlText w:val="%1."/>
      <w:lvlJc w:val="left"/>
      <w:pPr>
        <w:ind w:left="720" w:hanging="360"/>
      </w:pPr>
      <w:rPr>
        <w:rFonts w:hint="default"/>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23F5505"/>
    <w:multiLevelType w:val="hybridMultilevel"/>
    <w:tmpl w:val="3D241FCC"/>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4D20FAC"/>
    <w:multiLevelType w:val="hybridMultilevel"/>
    <w:tmpl w:val="F282144E"/>
    <w:lvl w:ilvl="0" w:tplc="563A78D6">
      <w:start w:val="1"/>
      <w:numFmt w:val="decimal"/>
      <w:lvlText w:val="%1)"/>
      <w:lvlJc w:val="left"/>
      <w:pPr>
        <w:ind w:left="720"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4DB6462"/>
    <w:multiLevelType w:val="multilevel"/>
    <w:tmpl w:val="FE12BE0A"/>
    <w:lvl w:ilvl="0">
      <w:start w:val="1"/>
      <w:numFmt w:val="upperRoman"/>
      <w:lvlText w:val="%1."/>
      <w:lvlJc w:val="left"/>
      <w:pPr>
        <w:ind w:left="1080" w:hanging="720"/>
      </w:pPr>
      <w:rPr>
        <w:rFonts w:eastAsia="Times New Roman"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4F55460"/>
    <w:multiLevelType w:val="multilevel"/>
    <w:tmpl w:val="D21869A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5BE064D"/>
    <w:multiLevelType w:val="hybridMultilevel"/>
    <w:tmpl w:val="0FFC9092"/>
    <w:lvl w:ilvl="0" w:tplc="1EFE48D2">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821032D"/>
    <w:multiLevelType w:val="multilevel"/>
    <w:tmpl w:val="7CEA8BCE"/>
    <w:lvl w:ilvl="0">
      <w:start w:val="1"/>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440"/>
      </w:pPr>
      <w:rPr>
        <w:rFonts w:hint="default"/>
      </w:rPr>
    </w:lvl>
    <w:lvl w:ilvl="4">
      <w:start w:val="1"/>
      <w:numFmt w:val="decimal"/>
      <w:isLgl/>
      <w:lvlText w:val="%1.%2.%3.%4.%5."/>
      <w:lvlJc w:val="left"/>
      <w:pPr>
        <w:ind w:left="2880" w:hanging="1800"/>
      </w:pPr>
      <w:rPr>
        <w:rFonts w:hint="default"/>
      </w:rPr>
    </w:lvl>
    <w:lvl w:ilvl="5">
      <w:start w:val="1"/>
      <w:numFmt w:val="decimal"/>
      <w:isLgl/>
      <w:lvlText w:val="%1.%2.%3.%4.%5.%6."/>
      <w:lvlJc w:val="left"/>
      <w:pPr>
        <w:ind w:left="2880" w:hanging="1800"/>
      </w:pPr>
      <w:rPr>
        <w:rFonts w:hint="default"/>
      </w:rPr>
    </w:lvl>
    <w:lvl w:ilvl="6">
      <w:start w:val="1"/>
      <w:numFmt w:val="decimal"/>
      <w:isLgl/>
      <w:lvlText w:val="%1.%2.%3.%4.%5.%6.%7."/>
      <w:lvlJc w:val="left"/>
      <w:pPr>
        <w:ind w:left="3240" w:hanging="2160"/>
      </w:pPr>
      <w:rPr>
        <w:rFonts w:hint="default"/>
      </w:rPr>
    </w:lvl>
    <w:lvl w:ilvl="7">
      <w:start w:val="1"/>
      <w:numFmt w:val="decimal"/>
      <w:isLgl/>
      <w:lvlText w:val="%1.%2.%3.%4.%5.%6.%7.%8."/>
      <w:lvlJc w:val="left"/>
      <w:pPr>
        <w:ind w:left="3600" w:hanging="2520"/>
      </w:pPr>
      <w:rPr>
        <w:rFonts w:hint="default"/>
      </w:rPr>
    </w:lvl>
    <w:lvl w:ilvl="8">
      <w:start w:val="1"/>
      <w:numFmt w:val="decimal"/>
      <w:isLgl/>
      <w:lvlText w:val="%1.%2.%3.%4.%5.%6.%7.%8.%9."/>
      <w:lvlJc w:val="left"/>
      <w:pPr>
        <w:ind w:left="3960" w:hanging="2880"/>
      </w:pPr>
      <w:rPr>
        <w:rFonts w:hint="default"/>
      </w:rPr>
    </w:lvl>
  </w:abstractNum>
  <w:abstractNum w:abstractNumId="8" w15:restartNumberingAfterBreak="0">
    <w:nsid w:val="09355AC8"/>
    <w:multiLevelType w:val="hybridMultilevel"/>
    <w:tmpl w:val="571E746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16B70F9"/>
    <w:multiLevelType w:val="hybridMultilevel"/>
    <w:tmpl w:val="EAFA1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329305E"/>
    <w:multiLevelType w:val="hybridMultilevel"/>
    <w:tmpl w:val="83DC3920"/>
    <w:lvl w:ilvl="0" w:tplc="6FE65648">
      <w:start w:val="1"/>
      <w:numFmt w:val="decimal"/>
      <w:lvlText w:val="%1."/>
      <w:lvlJc w:val="left"/>
      <w:pPr>
        <w:ind w:left="1437" w:hanging="360"/>
      </w:pPr>
      <w:rPr>
        <w:rFonts w:hint="default"/>
      </w:rPr>
    </w:lvl>
    <w:lvl w:ilvl="1" w:tplc="0C0A0019" w:tentative="1">
      <w:start w:val="1"/>
      <w:numFmt w:val="lowerLetter"/>
      <w:lvlText w:val="%2."/>
      <w:lvlJc w:val="left"/>
      <w:pPr>
        <w:ind w:left="2157" w:hanging="360"/>
      </w:pPr>
    </w:lvl>
    <w:lvl w:ilvl="2" w:tplc="0C0A001B" w:tentative="1">
      <w:start w:val="1"/>
      <w:numFmt w:val="lowerRoman"/>
      <w:lvlText w:val="%3."/>
      <w:lvlJc w:val="right"/>
      <w:pPr>
        <w:ind w:left="2877" w:hanging="180"/>
      </w:pPr>
    </w:lvl>
    <w:lvl w:ilvl="3" w:tplc="0C0A000F" w:tentative="1">
      <w:start w:val="1"/>
      <w:numFmt w:val="decimal"/>
      <w:lvlText w:val="%4."/>
      <w:lvlJc w:val="left"/>
      <w:pPr>
        <w:ind w:left="3597" w:hanging="360"/>
      </w:pPr>
    </w:lvl>
    <w:lvl w:ilvl="4" w:tplc="0C0A0019" w:tentative="1">
      <w:start w:val="1"/>
      <w:numFmt w:val="lowerLetter"/>
      <w:lvlText w:val="%5."/>
      <w:lvlJc w:val="left"/>
      <w:pPr>
        <w:ind w:left="4317" w:hanging="360"/>
      </w:pPr>
    </w:lvl>
    <w:lvl w:ilvl="5" w:tplc="0C0A001B" w:tentative="1">
      <w:start w:val="1"/>
      <w:numFmt w:val="lowerRoman"/>
      <w:lvlText w:val="%6."/>
      <w:lvlJc w:val="right"/>
      <w:pPr>
        <w:ind w:left="5037" w:hanging="180"/>
      </w:pPr>
    </w:lvl>
    <w:lvl w:ilvl="6" w:tplc="0C0A000F" w:tentative="1">
      <w:start w:val="1"/>
      <w:numFmt w:val="decimal"/>
      <w:lvlText w:val="%7."/>
      <w:lvlJc w:val="left"/>
      <w:pPr>
        <w:ind w:left="5757" w:hanging="360"/>
      </w:pPr>
    </w:lvl>
    <w:lvl w:ilvl="7" w:tplc="0C0A0019" w:tentative="1">
      <w:start w:val="1"/>
      <w:numFmt w:val="lowerLetter"/>
      <w:lvlText w:val="%8."/>
      <w:lvlJc w:val="left"/>
      <w:pPr>
        <w:ind w:left="6477" w:hanging="360"/>
      </w:pPr>
    </w:lvl>
    <w:lvl w:ilvl="8" w:tplc="0C0A001B" w:tentative="1">
      <w:start w:val="1"/>
      <w:numFmt w:val="lowerRoman"/>
      <w:lvlText w:val="%9."/>
      <w:lvlJc w:val="right"/>
      <w:pPr>
        <w:ind w:left="7197" w:hanging="180"/>
      </w:pPr>
    </w:lvl>
  </w:abstractNum>
  <w:abstractNum w:abstractNumId="11" w15:restartNumberingAfterBreak="0">
    <w:nsid w:val="141653B7"/>
    <w:multiLevelType w:val="hybridMultilevel"/>
    <w:tmpl w:val="537ADBD6"/>
    <w:lvl w:ilvl="0" w:tplc="3BBCF68E">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4F5230B"/>
    <w:multiLevelType w:val="hybridMultilevel"/>
    <w:tmpl w:val="5D04D6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79A3080"/>
    <w:multiLevelType w:val="hybridMultilevel"/>
    <w:tmpl w:val="874AC240"/>
    <w:lvl w:ilvl="0" w:tplc="A5A2CE1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BE43596"/>
    <w:multiLevelType w:val="hybridMultilevel"/>
    <w:tmpl w:val="38686ADC"/>
    <w:lvl w:ilvl="0" w:tplc="65C22A12">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D1A2A16"/>
    <w:multiLevelType w:val="hybridMultilevel"/>
    <w:tmpl w:val="5B52F318"/>
    <w:lvl w:ilvl="0" w:tplc="D76260EA">
      <w:start w:val="1"/>
      <w:numFmt w:val="decimal"/>
      <w:lvlText w:val="%1."/>
      <w:lvlJc w:val="left"/>
      <w:pPr>
        <w:ind w:left="1440" w:hanging="360"/>
      </w:pPr>
      <w:rPr>
        <w:rFonts w:hint="default"/>
      </w:rPr>
    </w:lvl>
    <w:lvl w:ilvl="1" w:tplc="0C0A0019">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6" w15:restartNumberingAfterBreak="0">
    <w:nsid w:val="1E875744"/>
    <w:multiLevelType w:val="multilevel"/>
    <w:tmpl w:val="DCB0E190"/>
    <w:lvl w:ilvl="0">
      <w:start w:val="1"/>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17" w15:restartNumberingAfterBreak="0">
    <w:nsid w:val="1FDE3BE4"/>
    <w:multiLevelType w:val="hybridMultilevel"/>
    <w:tmpl w:val="5AC2568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9A555EE"/>
    <w:multiLevelType w:val="multilevel"/>
    <w:tmpl w:val="9A1CAB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D04668"/>
    <w:multiLevelType w:val="multilevel"/>
    <w:tmpl w:val="7FEE2F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1F54ADD"/>
    <w:multiLevelType w:val="hybridMultilevel"/>
    <w:tmpl w:val="B128BD6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60A693D"/>
    <w:multiLevelType w:val="multilevel"/>
    <w:tmpl w:val="6AC0E376"/>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7864796"/>
    <w:multiLevelType w:val="multilevel"/>
    <w:tmpl w:val="69ECFB3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3" w15:restartNumberingAfterBreak="0">
    <w:nsid w:val="382932B3"/>
    <w:multiLevelType w:val="hybridMultilevel"/>
    <w:tmpl w:val="C1B024AE"/>
    <w:lvl w:ilvl="0" w:tplc="5C6611D6">
      <w:start w:val="1"/>
      <w:numFmt w:val="decimal"/>
      <w:lvlText w:val="%1)"/>
      <w:lvlJc w:val="left"/>
      <w:pPr>
        <w:ind w:left="720" w:hanging="360"/>
      </w:pPr>
      <w:rPr>
        <w:rFonts w:eastAsia="Times New Roman"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8C23539"/>
    <w:multiLevelType w:val="hybridMultilevel"/>
    <w:tmpl w:val="FD74EF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E837607"/>
    <w:multiLevelType w:val="hybridMultilevel"/>
    <w:tmpl w:val="9906F750"/>
    <w:lvl w:ilvl="0" w:tplc="92C2CA54">
      <w:start w:val="1"/>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0530412"/>
    <w:multiLevelType w:val="hybridMultilevel"/>
    <w:tmpl w:val="B0DEBAEE"/>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7" w15:restartNumberingAfterBreak="0">
    <w:nsid w:val="41FD4FAC"/>
    <w:multiLevelType w:val="hybridMultilevel"/>
    <w:tmpl w:val="534ABAC0"/>
    <w:lvl w:ilvl="0" w:tplc="ADC27C06">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48021EE"/>
    <w:multiLevelType w:val="hybridMultilevel"/>
    <w:tmpl w:val="E6C25CBE"/>
    <w:lvl w:ilvl="0" w:tplc="4A7AAF76">
      <w:start w:val="1"/>
      <w:numFmt w:val="decimal"/>
      <w:lvlText w:val="%1)"/>
      <w:lvlJc w:val="left"/>
      <w:pPr>
        <w:ind w:left="720" w:hanging="360"/>
      </w:pPr>
      <w:rPr>
        <w:rFonts w:ascii="Times New Roman" w:eastAsia="Times New Roman" w:hAnsi="Times New Roman" w:cs="Times New Roman"/>
        <w:i w:val="0"/>
        <w:iCs w:val="0"/>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710718D"/>
    <w:multiLevelType w:val="hybridMultilevel"/>
    <w:tmpl w:val="280A8B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47CD449D"/>
    <w:multiLevelType w:val="hybridMultilevel"/>
    <w:tmpl w:val="4E3849C0"/>
    <w:lvl w:ilvl="0" w:tplc="62E429AE">
      <w:start w:val="3"/>
      <w:numFmt w:val="upperRoman"/>
      <w:lvlText w:val="%1."/>
      <w:lvlJc w:val="left"/>
      <w:pPr>
        <w:ind w:left="960" w:hanging="720"/>
      </w:pPr>
      <w:rPr>
        <w:rFonts w:hint="default"/>
      </w:rPr>
    </w:lvl>
    <w:lvl w:ilvl="1" w:tplc="0C0A0019" w:tentative="1">
      <w:start w:val="1"/>
      <w:numFmt w:val="lowerLetter"/>
      <w:lvlText w:val="%2."/>
      <w:lvlJc w:val="left"/>
      <w:pPr>
        <w:ind w:left="1320" w:hanging="360"/>
      </w:pPr>
    </w:lvl>
    <w:lvl w:ilvl="2" w:tplc="0C0A001B" w:tentative="1">
      <w:start w:val="1"/>
      <w:numFmt w:val="lowerRoman"/>
      <w:lvlText w:val="%3."/>
      <w:lvlJc w:val="right"/>
      <w:pPr>
        <w:ind w:left="2040" w:hanging="180"/>
      </w:pPr>
    </w:lvl>
    <w:lvl w:ilvl="3" w:tplc="0C0A000F" w:tentative="1">
      <w:start w:val="1"/>
      <w:numFmt w:val="decimal"/>
      <w:lvlText w:val="%4."/>
      <w:lvlJc w:val="left"/>
      <w:pPr>
        <w:ind w:left="2760" w:hanging="360"/>
      </w:pPr>
    </w:lvl>
    <w:lvl w:ilvl="4" w:tplc="0C0A0019" w:tentative="1">
      <w:start w:val="1"/>
      <w:numFmt w:val="lowerLetter"/>
      <w:lvlText w:val="%5."/>
      <w:lvlJc w:val="left"/>
      <w:pPr>
        <w:ind w:left="3480" w:hanging="360"/>
      </w:pPr>
    </w:lvl>
    <w:lvl w:ilvl="5" w:tplc="0C0A001B" w:tentative="1">
      <w:start w:val="1"/>
      <w:numFmt w:val="lowerRoman"/>
      <w:lvlText w:val="%6."/>
      <w:lvlJc w:val="right"/>
      <w:pPr>
        <w:ind w:left="4200" w:hanging="180"/>
      </w:pPr>
    </w:lvl>
    <w:lvl w:ilvl="6" w:tplc="0C0A000F" w:tentative="1">
      <w:start w:val="1"/>
      <w:numFmt w:val="decimal"/>
      <w:lvlText w:val="%7."/>
      <w:lvlJc w:val="left"/>
      <w:pPr>
        <w:ind w:left="4920" w:hanging="360"/>
      </w:pPr>
    </w:lvl>
    <w:lvl w:ilvl="7" w:tplc="0C0A0019" w:tentative="1">
      <w:start w:val="1"/>
      <w:numFmt w:val="lowerLetter"/>
      <w:lvlText w:val="%8."/>
      <w:lvlJc w:val="left"/>
      <w:pPr>
        <w:ind w:left="5640" w:hanging="360"/>
      </w:pPr>
    </w:lvl>
    <w:lvl w:ilvl="8" w:tplc="0C0A001B" w:tentative="1">
      <w:start w:val="1"/>
      <w:numFmt w:val="lowerRoman"/>
      <w:lvlText w:val="%9."/>
      <w:lvlJc w:val="right"/>
      <w:pPr>
        <w:ind w:left="6360" w:hanging="180"/>
      </w:pPr>
    </w:lvl>
  </w:abstractNum>
  <w:abstractNum w:abstractNumId="31" w15:restartNumberingAfterBreak="0">
    <w:nsid w:val="4CA06BD8"/>
    <w:multiLevelType w:val="hybridMultilevel"/>
    <w:tmpl w:val="E5C0AEF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1766721"/>
    <w:multiLevelType w:val="hybridMultilevel"/>
    <w:tmpl w:val="4D3C464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71D3820"/>
    <w:multiLevelType w:val="hybridMultilevel"/>
    <w:tmpl w:val="C99E6A9E"/>
    <w:lvl w:ilvl="0" w:tplc="0A7EF460">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9090999"/>
    <w:multiLevelType w:val="hybridMultilevel"/>
    <w:tmpl w:val="B44E8752"/>
    <w:lvl w:ilvl="0" w:tplc="7ECA70B0">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AD735EC"/>
    <w:multiLevelType w:val="hybridMultilevel"/>
    <w:tmpl w:val="C8FE397C"/>
    <w:lvl w:ilvl="0" w:tplc="C48265A4">
      <w:start w:val="4"/>
      <w:numFmt w:val="lowerRoman"/>
      <w:lvlText w:val="%1."/>
      <w:lvlJc w:val="left"/>
      <w:pPr>
        <w:ind w:left="1080" w:hanging="720"/>
      </w:pPr>
      <w:rPr>
        <w:rFonts w:ascii="Times New Roman" w:hAnsi="Times New Roman" w:cs="Times New Roman"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C4B7290"/>
    <w:multiLevelType w:val="hybridMultilevel"/>
    <w:tmpl w:val="B304564E"/>
    <w:lvl w:ilvl="0" w:tplc="805E0CFE">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5C7536A9"/>
    <w:multiLevelType w:val="hybridMultilevel"/>
    <w:tmpl w:val="A8CE8B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C980E92"/>
    <w:multiLevelType w:val="hybridMultilevel"/>
    <w:tmpl w:val="280A8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E036DB5"/>
    <w:multiLevelType w:val="hybridMultilevel"/>
    <w:tmpl w:val="1E1217E8"/>
    <w:lvl w:ilvl="0" w:tplc="6E2E6AA2">
      <w:start w:val="1"/>
      <w:numFmt w:val="upperRoman"/>
      <w:lvlText w:val="%1."/>
      <w:lvlJc w:val="left"/>
      <w:pPr>
        <w:ind w:left="312" w:hanging="196"/>
      </w:pPr>
      <w:rPr>
        <w:rFonts w:ascii="Times New Roman" w:eastAsia="Times New Roman" w:hAnsi="Times New Roman" w:cs="Times New Roman" w:hint="default"/>
        <w:b/>
        <w:bCs/>
        <w:spacing w:val="-1"/>
        <w:w w:val="100"/>
        <w:sz w:val="22"/>
        <w:szCs w:val="22"/>
        <w:lang w:val="es-ES" w:eastAsia="en-US" w:bidi="ar-SA"/>
      </w:rPr>
    </w:lvl>
    <w:lvl w:ilvl="1" w:tplc="6AFA61E8">
      <w:start w:val="1"/>
      <w:numFmt w:val="decimal"/>
      <w:lvlText w:val="%2."/>
      <w:lvlJc w:val="left"/>
      <w:pPr>
        <w:ind w:left="117" w:hanging="216"/>
      </w:pPr>
      <w:rPr>
        <w:rFonts w:ascii="Times New Roman" w:eastAsia="Times New Roman" w:hAnsi="Times New Roman" w:cs="Times New Roman" w:hint="default"/>
        <w:b/>
        <w:bCs/>
        <w:w w:val="100"/>
        <w:sz w:val="22"/>
        <w:szCs w:val="22"/>
        <w:lang w:val="es-ES" w:eastAsia="en-US" w:bidi="ar-SA"/>
      </w:rPr>
    </w:lvl>
    <w:lvl w:ilvl="2" w:tplc="8460DC66">
      <w:numFmt w:val="bullet"/>
      <w:lvlText w:val="•"/>
      <w:lvlJc w:val="left"/>
      <w:pPr>
        <w:ind w:left="1318" w:hanging="216"/>
      </w:pPr>
      <w:rPr>
        <w:rFonts w:hint="default"/>
        <w:lang w:val="es-ES" w:eastAsia="en-US" w:bidi="ar-SA"/>
      </w:rPr>
    </w:lvl>
    <w:lvl w:ilvl="3" w:tplc="F2BA8D30">
      <w:numFmt w:val="bullet"/>
      <w:lvlText w:val="•"/>
      <w:lvlJc w:val="left"/>
      <w:pPr>
        <w:ind w:left="2316" w:hanging="216"/>
      </w:pPr>
      <w:rPr>
        <w:rFonts w:hint="default"/>
        <w:lang w:val="es-ES" w:eastAsia="en-US" w:bidi="ar-SA"/>
      </w:rPr>
    </w:lvl>
    <w:lvl w:ilvl="4" w:tplc="CF268530">
      <w:numFmt w:val="bullet"/>
      <w:lvlText w:val="•"/>
      <w:lvlJc w:val="left"/>
      <w:pPr>
        <w:ind w:left="3315" w:hanging="216"/>
      </w:pPr>
      <w:rPr>
        <w:rFonts w:hint="default"/>
        <w:lang w:val="es-ES" w:eastAsia="en-US" w:bidi="ar-SA"/>
      </w:rPr>
    </w:lvl>
    <w:lvl w:ilvl="5" w:tplc="003075CA">
      <w:numFmt w:val="bullet"/>
      <w:lvlText w:val="•"/>
      <w:lvlJc w:val="left"/>
      <w:pPr>
        <w:ind w:left="4313" w:hanging="216"/>
      </w:pPr>
      <w:rPr>
        <w:rFonts w:hint="default"/>
        <w:lang w:val="es-ES" w:eastAsia="en-US" w:bidi="ar-SA"/>
      </w:rPr>
    </w:lvl>
    <w:lvl w:ilvl="6" w:tplc="4488A3DA">
      <w:numFmt w:val="bullet"/>
      <w:lvlText w:val="•"/>
      <w:lvlJc w:val="left"/>
      <w:pPr>
        <w:ind w:left="5311" w:hanging="216"/>
      </w:pPr>
      <w:rPr>
        <w:rFonts w:hint="default"/>
        <w:lang w:val="es-ES" w:eastAsia="en-US" w:bidi="ar-SA"/>
      </w:rPr>
    </w:lvl>
    <w:lvl w:ilvl="7" w:tplc="68D88C32">
      <w:numFmt w:val="bullet"/>
      <w:lvlText w:val="•"/>
      <w:lvlJc w:val="left"/>
      <w:pPr>
        <w:ind w:left="6310" w:hanging="216"/>
      </w:pPr>
      <w:rPr>
        <w:rFonts w:hint="default"/>
        <w:lang w:val="es-ES" w:eastAsia="en-US" w:bidi="ar-SA"/>
      </w:rPr>
    </w:lvl>
    <w:lvl w:ilvl="8" w:tplc="DF42804C">
      <w:numFmt w:val="bullet"/>
      <w:lvlText w:val="•"/>
      <w:lvlJc w:val="left"/>
      <w:pPr>
        <w:ind w:left="7308" w:hanging="216"/>
      </w:pPr>
      <w:rPr>
        <w:rFonts w:hint="default"/>
        <w:lang w:val="es-ES" w:eastAsia="en-US" w:bidi="ar-SA"/>
      </w:rPr>
    </w:lvl>
  </w:abstractNum>
  <w:abstractNum w:abstractNumId="40" w15:restartNumberingAfterBreak="0">
    <w:nsid w:val="61A71D0E"/>
    <w:multiLevelType w:val="hybridMultilevel"/>
    <w:tmpl w:val="DCBA541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37C5A68"/>
    <w:multiLevelType w:val="multilevel"/>
    <w:tmpl w:val="DCB0E190"/>
    <w:lvl w:ilvl="0">
      <w:start w:val="1"/>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42" w15:restartNumberingAfterBreak="0">
    <w:nsid w:val="652F0716"/>
    <w:multiLevelType w:val="hybridMultilevel"/>
    <w:tmpl w:val="6FE65A94"/>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B50258B"/>
    <w:multiLevelType w:val="hybridMultilevel"/>
    <w:tmpl w:val="F876711A"/>
    <w:lvl w:ilvl="0" w:tplc="7D545DC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725755DB"/>
    <w:multiLevelType w:val="hybridMultilevel"/>
    <w:tmpl w:val="329604D4"/>
    <w:lvl w:ilvl="0" w:tplc="33DCC904">
      <w:start w:val="3"/>
      <w:numFmt w:val="bullet"/>
      <w:lvlText w:val="-"/>
      <w:lvlJc w:val="left"/>
      <w:pPr>
        <w:ind w:left="720" w:hanging="360"/>
      </w:pPr>
      <w:rPr>
        <w:rFonts w:ascii="Times New Roman" w:eastAsiaTheme="minorHAnsi" w:hAnsi="Times New Roman" w:cs="Times New Roman"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31005A6"/>
    <w:multiLevelType w:val="hybridMultilevel"/>
    <w:tmpl w:val="E5767F4A"/>
    <w:lvl w:ilvl="0" w:tplc="7FB4887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75D70B9F"/>
    <w:multiLevelType w:val="multilevel"/>
    <w:tmpl w:val="1EA02152"/>
    <w:lvl w:ilvl="0">
      <w:start w:val="1"/>
      <w:numFmt w:val="decimal"/>
      <w:pStyle w:val="ParaLevel1"/>
      <w:lvlText w:val="%1."/>
      <w:lvlJc w:val="left"/>
      <w:pPr>
        <w:tabs>
          <w:tab w:val="num" w:pos="960"/>
        </w:tabs>
        <w:ind w:left="960" w:hanging="720"/>
      </w:pPr>
      <w:rPr>
        <w:rFonts w:cs="Times New Roman" w:hint="default"/>
        <w:b w:val="0"/>
        <w:i w:val="0"/>
        <w:u w:val="none"/>
      </w:rPr>
    </w:lvl>
    <w:lvl w:ilvl="1">
      <w:start w:val="1"/>
      <w:numFmt w:val="lowerRoman"/>
      <w:pStyle w:val="ParaLevel2"/>
      <w:lvlText w:val="%2)"/>
      <w:lvlJc w:val="left"/>
      <w:pPr>
        <w:tabs>
          <w:tab w:val="num" w:pos="1418"/>
        </w:tabs>
        <w:ind w:left="1418" w:hanging="709"/>
      </w:pPr>
      <w:rPr>
        <w:rFonts w:ascii="Times New Roman" w:eastAsia="Times New Roman" w:hAnsi="Times New Roman" w:cs="Times New Roman" w:hint="default"/>
        <w:b w:val="0"/>
        <w:i w:val="0"/>
      </w:rPr>
    </w:lvl>
    <w:lvl w:ilvl="2">
      <w:start w:val="1"/>
      <w:numFmt w:val="lowerLetter"/>
      <w:pStyle w:val="ParaLevel3"/>
      <w:lvlText w:val="%3)"/>
      <w:lvlJc w:val="left"/>
      <w:pPr>
        <w:tabs>
          <w:tab w:val="num" w:pos="2127"/>
        </w:tabs>
        <w:ind w:left="2127" w:hanging="709"/>
      </w:pPr>
      <w:rPr>
        <w:rFonts w:cs="Times New Roman" w:hint="default"/>
      </w:rPr>
    </w:lvl>
    <w:lvl w:ilvl="3">
      <w:start w:val="1"/>
      <w:numFmt w:val="lowerRoman"/>
      <w:pStyle w:val="ParaLevel4"/>
      <w:lvlText w:val="%4)"/>
      <w:lvlJc w:val="left"/>
      <w:pPr>
        <w:tabs>
          <w:tab w:val="num" w:pos="3207"/>
        </w:tabs>
        <w:ind w:left="2836" w:hanging="709"/>
      </w:pPr>
      <w:rPr>
        <w:rFonts w:cs="Times New Roman" w:hint="default"/>
      </w:rPr>
    </w:lvl>
    <w:lvl w:ilvl="4">
      <w:start w:val="1"/>
      <w:numFmt w:val="lowerLetter"/>
      <w:pStyle w:val="ParaLevel5"/>
      <w:lvlText w:val="(%5)"/>
      <w:lvlJc w:val="left"/>
      <w:pPr>
        <w:tabs>
          <w:tab w:val="num" w:pos="3545"/>
        </w:tabs>
        <w:ind w:left="3545" w:hanging="709"/>
      </w:pPr>
      <w:rPr>
        <w:rFonts w:cs="Times New Roman" w:hint="default"/>
      </w:rPr>
    </w:lvl>
    <w:lvl w:ilvl="5">
      <w:start w:val="1"/>
      <w:numFmt w:val="lowerRoman"/>
      <w:pStyle w:val="ParaLevel6"/>
      <w:lvlText w:val="(%6)"/>
      <w:lvlJc w:val="left"/>
      <w:pPr>
        <w:tabs>
          <w:tab w:val="num" w:pos="4625"/>
        </w:tabs>
        <w:ind w:left="4254" w:hanging="709"/>
      </w:pPr>
      <w:rPr>
        <w:rFonts w:cs="Times New Roman" w:hint="default"/>
      </w:rPr>
    </w:lvl>
    <w:lvl w:ilvl="6">
      <w:start w:val="1"/>
      <w:numFmt w:val="lowerLetter"/>
      <w:pStyle w:val="ParaLevel7"/>
      <w:lvlText w:val="(%7)"/>
      <w:lvlJc w:val="left"/>
      <w:pPr>
        <w:tabs>
          <w:tab w:val="num" w:pos="4963"/>
        </w:tabs>
        <w:ind w:left="4963" w:hanging="709"/>
      </w:pPr>
      <w:rPr>
        <w:rFonts w:cs="Times New Roman" w:hint="default"/>
      </w:rPr>
    </w:lvl>
    <w:lvl w:ilvl="7">
      <w:start w:val="1"/>
      <w:numFmt w:val="lowerRoman"/>
      <w:pStyle w:val="ParaLevel8"/>
      <w:lvlText w:val="(%8)"/>
      <w:lvlJc w:val="left"/>
      <w:pPr>
        <w:tabs>
          <w:tab w:val="num" w:pos="6043"/>
        </w:tabs>
        <w:ind w:left="5672" w:hanging="709"/>
      </w:pPr>
      <w:rPr>
        <w:rFonts w:cs="Times New Roman" w:hint="default"/>
      </w:rPr>
    </w:lvl>
    <w:lvl w:ilvl="8">
      <w:start w:val="1"/>
      <w:numFmt w:val="lowerLetter"/>
      <w:pStyle w:val="ParaLevel9"/>
      <w:lvlText w:val="(%9)"/>
      <w:lvlJc w:val="left"/>
      <w:pPr>
        <w:tabs>
          <w:tab w:val="num" w:pos="6381"/>
        </w:tabs>
        <w:ind w:left="6381" w:hanging="709"/>
      </w:pPr>
      <w:rPr>
        <w:rFonts w:cs="Times New Roman" w:hint="default"/>
      </w:rPr>
    </w:lvl>
  </w:abstractNum>
  <w:abstractNum w:abstractNumId="47" w15:restartNumberingAfterBreak="0">
    <w:nsid w:val="780947BB"/>
    <w:multiLevelType w:val="hybridMultilevel"/>
    <w:tmpl w:val="1D602E42"/>
    <w:lvl w:ilvl="0" w:tplc="E5AC7956">
      <w:start w:val="1"/>
      <w:numFmt w:val="upperLetter"/>
      <w:lvlText w:val="%1)"/>
      <w:lvlJc w:val="left"/>
      <w:pPr>
        <w:ind w:left="720" w:hanging="360"/>
      </w:pPr>
      <w:rPr>
        <w:rFonts w:hint="default"/>
        <w:lang w:val="es-E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7B3A4433"/>
    <w:multiLevelType w:val="multilevel"/>
    <w:tmpl w:val="79A87CCA"/>
    <w:lvl w:ilvl="0">
      <w:start w:val="1"/>
      <w:numFmt w:val="upperRoman"/>
      <w:lvlText w:val="%1."/>
      <w:lvlJc w:val="left"/>
      <w:pPr>
        <w:ind w:left="1080" w:hanging="72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91846062">
    <w:abstractNumId w:val="46"/>
  </w:num>
  <w:num w:numId="2" w16cid:durableId="789081979">
    <w:abstractNumId w:val="48"/>
  </w:num>
  <w:num w:numId="3" w16cid:durableId="1588802590">
    <w:abstractNumId w:val="21"/>
  </w:num>
  <w:num w:numId="4" w16cid:durableId="1488015704">
    <w:abstractNumId w:val="30"/>
  </w:num>
  <w:num w:numId="5" w16cid:durableId="1330060449">
    <w:abstractNumId w:val="22"/>
  </w:num>
  <w:num w:numId="6" w16cid:durableId="674843631">
    <w:abstractNumId w:val="0"/>
  </w:num>
  <w:num w:numId="7" w16cid:durableId="595287838">
    <w:abstractNumId w:val="37"/>
  </w:num>
  <w:num w:numId="8" w16cid:durableId="895047329">
    <w:abstractNumId w:val="14"/>
  </w:num>
  <w:num w:numId="9" w16cid:durableId="2103792876">
    <w:abstractNumId w:val="27"/>
  </w:num>
  <w:num w:numId="10" w16cid:durableId="17894698">
    <w:abstractNumId w:val="24"/>
  </w:num>
  <w:num w:numId="11" w16cid:durableId="438795713">
    <w:abstractNumId w:val="9"/>
  </w:num>
  <w:num w:numId="12" w16cid:durableId="447089953">
    <w:abstractNumId w:val="16"/>
  </w:num>
  <w:num w:numId="13" w16cid:durableId="175777600">
    <w:abstractNumId w:val="35"/>
  </w:num>
  <w:num w:numId="14" w16cid:durableId="809908977">
    <w:abstractNumId w:val="10"/>
  </w:num>
  <w:num w:numId="15" w16cid:durableId="1789009100">
    <w:abstractNumId w:val="32"/>
  </w:num>
  <w:num w:numId="16" w16cid:durableId="1070733605">
    <w:abstractNumId w:val="17"/>
  </w:num>
  <w:num w:numId="17" w16cid:durableId="1956400852">
    <w:abstractNumId w:val="12"/>
  </w:num>
  <w:num w:numId="18" w16cid:durableId="766585560">
    <w:abstractNumId w:val="25"/>
  </w:num>
  <w:num w:numId="19" w16cid:durableId="1720592752">
    <w:abstractNumId w:val="36"/>
  </w:num>
  <w:num w:numId="20" w16cid:durableId="559826991">
    <w:abstractNumId w:val="44"/>
  </w:num>
  <w:num w:numId="21" w16cid:durableId="2058770856">
    <w:abstractNumId w:val="41"/>
  </w:num>
  <w:num w:numId="22" w16cid:durableId="408502310">
    <w:abstractNumId w:val="47"/>
  </w:num>
  <w:num w:numId="23" w16cid:durableId="53160163">
    <w:abstractNumId w:val="4"/>
  </w:num>
  <w:num w:numId="24" w16cid:durableId="1999653773">
    <w:abstractNumId w:val="29"/>
  </w:num>
  <w:num w:numId="25" w16cid:durableId="144855398">
    <w:abstractNumId w:val="6"/>
  </w:num>
  <w:num w:numId="26" w16cid:durableId="1845050392">
    <w:abstractNumId w:val="42"/>
  </w:num>
  <w:num w:numId="27" w16cid:durableId="1854494665">
    <w:abstractNumId w:val="18"/>
  </w:num>
  <w:num w:numId="28" w16cid:durableId="940723219">
    <w:abstractNumId w:val="5"/>
  </w:num>
  <w:num w:numId="29" w16cid:durableId="920869187">
    <w:abstractNumId w:val="38"/>
  </w:num>
  <w:num w:numId="30" w16cid:durableId="907038815">
    <w:abstractNumId w:val="33"/>
  </w:num>
  <w:num w:numId="31" w16cid:durableId="1254818165">
    <w:abstractNumId w:val="19"/>
  </w:num>
  <w:num w:numId="32" w16cid:durableId="1923373266">
    <w:abstractNumId w:val="34"/>
  </w:num>
  <w:num w:numId="33" w16cid:durableId="1430196971">
    <w:abstractNumId w:val="13"/>
  </w:num>
  <w:num w:numId="34" w16cid:durableId="10763851">
    <w:abstractNumId w:val="31"/>
  </w:num>
  <w:num w:numId="35" w16cid:durableId="1724022221">
    <w:abstractNumId w:val="15"/>
  </w:num>
  <w:num w:numId="36" w16cid:durableId="1827741418">
    <w:abstractNumId w:val="2"/>
  </w:num>
  <w:num w:numId="37" w16cid:durableId="189995968">
    <w:abstractNumId w:val="43"/>
  </w:num>
  <w:num w:numId="38" w16cid:durableId="2063866232">
    <w:abstractNumId w:val="45"/>
  </w:num>
  <w:num w:numId="39" w16cid:durableId="1612083448">
    <w:abstractNumId w:val="7"/>
  </w:num>
  <w:num w:numId="40" w16cid:durableId="1371102729">
    <w:abstractNumId w:val="20"/>
  </w:num>
  <w:num w:numId="41" w16cid:durableId="2031376874">
    <w:abstractNumId w:val="11"/>
  </w:num>
  <w:num w:numId="42" w16cid:durableId="1282301380">
    <w:abstractNumId w:val="40"/>
  </w:num>
  <w:num w:numId="43" w16cid:durableId="160901023">
    <w:abstractNumId w:val="8"/>
  </w:num>
  <w:num w:numId="44" w16cid:durableId="1794857986">
    <w:abstractNumId w:val="28"/>
  </w:num>
  <w:num w:numId="45" w16cid:durableId="478964487">
    <w:abstractNumId w:val="23"/>
  </w:num>
  <w:num w:numId="46" w16cid:durableId="412706799">
    <w:abstractNumId w:val="3"/>
  </w:num>
  <w:num w:numId="47" w16cid:durableId="269439631">
    <w:abstractNumId w:val="1"/>
  </w:num>
  <w:num w:numId="48" w16cid:durableId="905609132">
    <w:abstractNumId w:val="26"/>
  </w:num>
  <w:num w:numId="49" w16cid:durableId="1144085584">
    <w:abstractNumId w:val="3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1"/>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0"/>
  <w:activeWritingStyle w:appName="MSWord" w:lang="es-ES" w:vendorID="64" w:dllVersion="0" w:nlCheck="1" w:checkStyle="0"/>
  <w:activeWritingStyle w:appName="MSWord" w:lang="es-ES_tradnl"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5BB"/>
    <w:rsid w:val="000005F9"/>
    <w:rsid w:val="00001B10"/>
    <w:rsid w:val="00001E9C"/>
    <w:rsid w:val="00002749"/>
    <w:rsid w:val="0000432F"/>
    <w:rsid w:val="00004537"/>
    <w:rsid w:val="00004CF9"/>
    <w:rsid w:val="00005167"/>
    <w:rsid w:val="0000783A"/>
    <w:rsid w:val="00007AFC"/>
    <w:rsid w:val="00010D13"/>
    <w:rsid w:val="00011F2C"/>
    <w:rsid w:val="00014051"/>
    <w:rsid w:val="000145AB"/>
    <w:rsid w:val="00015D7D"/>
    <w:rsid w:val="000230B9"/>
    <w:rsid w:val="00023B50"/>
    <w:rsid w:val="00024F08"/>
    <w:rsid w:val="00025DAD"/>
    <w:rsid w:val="00026B4B"/>
    <w:rsid w:val="00031244"/>
    <w:rsid w:val="00032E43"/>
    <w:rsid w:val="000351F5"/>
    <w:rsid w:val="0003673E"/>
    <w:rsid w:val="000415AB"/>
    <w:rsid w:val="0004215D"/>
    <w:rsid w:val="00042857"/>
    <w:rsid w:val="0004285C"/>
    <w:rsid w:val="0004286D"/>
    <w:rsid w:val="0004439B"/>
    <w:rsid w:val="0004514D"/>
    <w:rsid w:val="00045FD3"/>
    <w:rsid w:val="00046639"/>
    <w:rsid w:val="00047383"/>
    <w:rsid w:val="00047FDA"/>
    <w:rsid w:val="00050526"/>
    <w:rsid w:val="00052D62"/>
    <w:rsid w:val="0005512E"/>
    <w:rsid w:val="00056FA5"/>
    <w:rsid w:val="00057CE3"/>
    <w:rsid w:val="000614D9"/>
    <w:rsid w:val="000624AB"/>
    <w:rsid w:val="000632C6"/>
    <w:rsid w:val="00064AA3"/>
    <w:rsid w:val="000650A9"/>
    <w:rsid w:val="00065AB0"/>
    <w:rsid w:val="000709C3"/>
    <w:rsid w:val="00072564"/>
    <w:rsid w:val="00072919"/>
    <w:rsid w:val="0007361B"/>
    <w:rsid w:val="00073ECE"/>
    <w:rsid w:val="000740A2"/>
    <w:rsid w:val="00074479"/>
    <w:rsid w:val="00077355"/>
    <w:rsid w:val="00077CF9"/>
    <w:rsid w:val="00082857"/>
    <w:rsid w:val="00083C99"/>
    <w:rsid w:val="00086351"/>
    <w:rsid w:val="00086C36"/>
    <w:rsid w:val="00087560"/>
    <w:rsid w:val="00090E94"/>
    <w:rsid w:val="000912A2"/>
    <w:rsid w:val="00092E61"/>
    <w:rsid w:val="000942C0"/>
    <w:rsid w:val="00095BFC"/>
    <w:rsid w:val="00095E03"/>
    <w:rsid w:val="000A0755"/>
    <w:rsid w:val="000A132C"/>
    <w:rsid w:val="000A14B2"/>
    <w:rsid w:val="000A66EA"/>
    <w:rsid w:val="000A6D40"/>
    <w:rsid w:val="000A7CF8"/>
    <w:rsid w:val="000B14F9"/>
    <w:rsid w:val="000B43D6"/>
    <w:rsid w:val="000B4B74"/>
    <w:rsid w:val="000B4BCA"/>
    <w:rsid w:val="000B4CDC"/>
    <w:rsid w:val="000B5899"/>
    <w:rsid w:val="000B680F"/>
    <w:rsid w:val="000B79B9"/>
    <w:rsid w:val="000C023D"/>
    <w:rsid w:val="000C09D6"/>
    <w:rsid w:val="000C1FA2"/>
    <w:rsid w:val="000C2B94"/>
    <w:rsid w:val="000C4058"/>
    <w:rsid w:val="000C4C93"/>
    <w:rsid w:val="000C6FBE"/>
    <w:rsid w:val="000C7C23"/>
    <w:rsid w:val="000D04BA"/>
    <w:rsid w:val="000D09DA"/>
    <w:rsid w:val="000D40E3"/>
    <w:rsid w:val="000D5900"/>
    <w:rsid w:val="000D5C79"/>
    <w:rsid w:val="000E1C05"/>
    <w:rsid w:val="000E2BCB"/>
    <w:rsid w:val="000E5B2C"/>
    <w:rsid w:val="000E5B86"/>
    <w:rsid w:val="000E6CC8"/>
    <w:rsid w:val="000F0282"/>
    <w:rsid w:val="000F0AE8"/>
    <w:rsid w:val="000F0B97"/>
    <w:rsid w:val="000F4882"/>
    <w:rsid w:val="000F51F3"/>
    <w:rsid w:val="000F5B54"/>
    <w:rsid w:val="000F75B4"/>
    <w:rsid w:val="00100E67"/>
    <w:rsid w:val="00100EFA"/>
    <w:rsid w:val="00102D2B"/>
    <w:rsid w:val="00103BBE"/>
    <w:rsid w:val="00110695"/>
    <w:rsid w:val="001134CF"/>
    <w:rsid w:val="00114244"/>
    <w:rsid w:val="00120A53"/>
    <w:rsid w:val="00123A71"/>
    <w:rsid w:val="00123DD5"/>
    <w:rsid w:val="001242E2"/>
    <w:rsid w:val="00124379"/>
    <w:rsid w:val="001250BC"/>
    <w:rsid w:val="00125699"/>
    <w:rsid w:val="00125F22"/>
    <w:rsid w:val="001269E8"/>
    <w:rsid w:val="00133724"/>
    <w:rsid w:val="00133FEC"/>
    <w:rsid w:val="0013537E"/>
    <w:rsid w:val="001405A3"/>
    <w:rsid w:val="00141ECA"/>
    <w:rsid w:val="00142940"/>
    <w:rsid w:val="00143B65"/>
    <w:rsid w:val="00145C9B"/>
    <w:rsid w:val="00146948"/>
    <w:rsid w:val="00146BF5"/>
    <w:rsid w:val="00150ABD"/>
    <w:rsid w:val="00156887"/>
    <w:rsid w:val="00160295"/>
    <w:rsid w:val="00160E22"/>
    <w:rsid w:val="00166E7A"/>
    <w:rsid w:val="00172429"/>
    <w:rsid w:val="001751E8"/>
    <w:rsid w:val="0017673B"/>
    <w:rsid w:val="00176EAC"/>
    <w:rsid w:val="00177320"/>
    <w:rsid w:val="001773D1"/>
    <w:rsid w:val="00180024"/>
    <w:rsid w:val="0018085E"/>
    <w:rsid w:val="001849EB"/>
    <w:rsid w:val="00185D15"/>
    <w:rsid w:val="00190984"/>
    <w:rsid w:val="00191F1E"/>
    <w:rsid w:val="00192A8B"/>
    <w:rsid w:val="00193018"/>
    <w:rsid w:val="00193E85"/>
    <w:rsid w:val="001944AB"/>
    <w:rsid w:val="00195200"/>
    <w:rsid w:val="00195BA7"/>
    <w:rsid w:val="001A09C8"/>
    <w:rsid w:val="001A0A23"/>
    <w:rsid w:val="001A38A9"/>
    <w:rsid w:val="001A411D"/>
    <w:rsid w:val="001A528C"/>
    <w:rsid w:val="001A6745"/>
    <w:rsid w:val="001A68D1"/>
    <w:rsid w:val="001B4BA2"/>
    <w:rsid w:val="001C12BE"/>
    <w:rsid w:val="001C2274"/>
    <w:rsid w:val="001C44BB"/>
    <w:rsid w:val="001C55CA"/>
    <w:rsid w:val="001D1F74"/>
    <w:rsid w:val="001D4350"/>
    <w:rsid w:val="001D5152"/>
    <w:rsid w:val="001E0528"/>
    <w:rsid w:val="001E403C"/>
    <w:rsid w:val="001E4983"/>
    <w:rsid w:val="001E4B85"/>
    <w:rsid w:val="001E6A08"/>
    <w:rsid w:val="001F1795"/>
    <w:rsid w:val="001F2C61"/>
    <w:rsid w:val="001F41FC"/>
    <w:rsid w:val="001F75EF"/>
    <w:rsid w:val="00202115"/>
    <w:rsid w:val="00203F94"/>
    <w:rsid w:val="002057B8"/>
    <w:rsid w:val="0020672F"/>
    <w:rsid w:val="00207D74"/>
    <w:rsid w:val="00210569"/>
    <w:rsid w:val="00212AA7"/>
    <w:rsid w:val="00213247"/>
    <w:rsid w:val="002132B3"/>
    <w:rsid w:val="00214817"/>
    <w:rsid w:val="00214854"/>
    <w:rsid w:val="00215765"/>
    <w:rsid w:val="00222BEF"/>
    <w:rsid w:val="0022417E"/>
    <w:rsid w:val="002271B6"/>
    <w:rsid w:val="002306EE"/>
    <w:rsid w:val="00230D16"/>
    <w:rsid w:val="0023219A"/>
    <w:rsid w:val="002324AE"/>
    <w:rsid w:val="00233642"/>
    <w:rsid w:val="002336E5"/>
    <w:rsid w:val="00233F4F"/>
    <w:rsid w:val="00233F9D"/>
    <w:rsid w:val="00236FAE"/>
    <w:rsid w:val="00240B01"/>
    <w:rsid w:val="002478F6"/>
    <w:rsid w:val="0025103B"/>
    <w:rsid w:val="00251663"/>
    <w:rsid w:val="0025307F"/>
    <w:rsid w:val="00256CB7"/>
    <w:rsid w:val="002600D5"/>
    <w:rsid w:val="002613B7"/>
    <w:rsid w:val="00263CE6"/>
    <w:rsid w:val="002718FF"/>
    <w:rsid w:val="002735B8"/>
    <w:rsid w:val="00275545"/>
    <w:rsid w:val="00275D8E"/>
    <w:rsid w:val="00276B23"/>
    <w:rsid w:val="00276D3F"/>
    <w:rsid w:val="00284A48"/>
    <w:rsid w:val="00290DAB"/>
    <w:rsid w:val="002920D7"/>
    <w:rsid w:val="00293741"/>
    <w:rsid w:val="00295744"/>
    <w:rsid w:val="00297879"/>
    <w:rsid w:val="00297D0B"/>
    <w:rsid w:val="002A3FBC"/>
    <w:rsid w:val="002A478D"/>
    <w:rsid w:val="002A5D45"/>
    <w:rsid w:val="002A5DB3"/>
    <w:rsid w:val="002B0E14"/>
    <w:rsid w:val="002B1658"/>
    <w:rsid w:val="002B193C"/>
    <w:rsid w:val="002B1E39"/>
    <w:rsid w:val="002B25D9"/>
    <w:rsid w:val="002B2EE5"/>
    <w:rsid w:val="002B37FD"/>
    <w:rsid w:val="002B442C"/>
    <w:rsid w:val="002B68CC"/>
    <w:rsid w:val="002C20DC"/>
    <w:rsid w:val="002C41AF"/>
    <w:rsid w:val="002C4825"/>
    <w:rsid w:val="002C69D8"/>
    <w:rsid w:val="002D1CB7"/>
    <w:rsid w:val="002D4150"/>
    <w:rsid w:val="002D7DC0"/>
    <w:rsid w:val="002E6AB8"/>
    <w:rsid w:val="002E7F52"/>
    <w:rsid w:val="002F0E70"/>
    <w:rsid w:val="002F1E7D"/>
    <w:rsid w:val="002F4014"/>
    <w:rsid w:val="002F4FF0"/>
    <w:rsid w:val="002F603A"/>
    <w:rsid w:val="002F74DC"/>
    <w:rsid w:val="002F7BEB"/>
    <w:rsid w:val="002F7FB5"/>
    <w:rsid w:val="00302598"/>
    <w:rsid w:val="00302A63"/>
    <w:rsid w:val="003036B3"/>
    <w:rsid w:val="00303BEB"/>
    <w:rsid w:val="00305FCB"/>
    <w:rsid w:val="003075D3"/>
    <w:rsid w:val="00307802"/>
    <w:rsid w:val="0030796A"/>
    <w:rsid w:val="00307F68"/>
    <w:rsid w:val="00310FC1"/>
    <w:rsid w:val="003118A4"/>
    <w:rsid w:val="00312374"/>
    <w:rsid w:val="00312892"/>
    <w:rsid w:val="003131C0"/>
    <w:rsid w:val="00314D3F"/>
    <w:rsid w:val="00316FD3"/>
    <w:rsid w:val="00324EB0"/>
    <w:rsid w:val="0032638B"/>
    <w:rsid w:val="003304AD"/>
    <w:rsid w:val="00330585"/>
    <w:rsid w:val="00331178"/>
    <w:rsid w:val="00333393"/>
    <w:rsid w:val="00334F34"/>
    <w:rsid w:val="00334FEC"/>
    <w:rsid w:val="00336B38"/>
    <w:rsid w:val="00337240"/>
    <w:rsid w:val="003376F7"/>
    <w:rsid w:val="00340F33"/>
    <w:rsid w:val="00341913"/>
    <w:rsid w:val="003421B6"/>
    <w:rsid w:val="00342481"/>
    <w:rsid w:val="003425CF"/>
    <w:rsid w:val="003426A1"/>
    <w:rsid w:val="00350A48"/>
    <w:rsid w:val="00352446"/>
    <w:rsid w:val="00353F1B"/>
    <w:rsid w:val="00361239"/>
    <w:rsid w:val="00361350"/>
    <w:rsid w:val="00362B73"/>
    <w:rsid w:val="0036494D"/>
    <w:rsid w:val="00372629"/>
    <w:rsid w:val="003735E9"/>
    <w:rsid w:val="00374525"/>
    <w:rsid w:val="003766F0"/>
    <w:rsid w:val="00377F11"/>
    <w:rsid w:val="00380AFA"/>
    <w:rsid w:val="0038119F"/>
    <w:rsid w:val="00382242"/>
    <w:rsid w:val="00382707"/>
    <w:rsid w:val="00385961"/>
    <w:rsid w:val="0039007C"/>
    <w:rsid w:val="00390585"/>
    <w:rsid w:val="00390B94"/>
    <w:rsid w:val="003943A5"/>
    <w:rsid w:val="00395145"/>
    <w:rsid w:val="00396A99"/>
    <w:rsid w:val="003A0964"/>
    <w:rsid w:val="003A262A"/>
    <w:rsid w:val="003A2732"/>
    <w:rsid w:val="003A4A2A"/>
    <w:rsid w:val="003A5312"/>
    <w:rsid w:val="003A7647"/>
    <w:rsid w:val="003A79F7"/>
    <w:rsid w:val="003B00A6"/>
    <w:rsid w:val="003B0350"/>
    <w:rsid w:val="003B1B32"/>
    <w:rsid w:val="003B298E"/>
    <w:rsid w:val="003C439B"/>
    <w:rsid w:val="003C499B"/>
    <w:rsid w:val="003C561A"/>
    <w:rsid w:val="003D69CA"/>
    <w:rsid w:val="003E0B13"/>
    <w:rsid w:val="003E3823"/>
    <w:rsid w:val="003E6690"/>
    <w:rsid w:val="003E6DFE"/>
    <w:rsid w:val="003F1551"/>
    <w:rsid w:val="003F16B6"/>
    <w:rsid w:val="003F215C"/>
    <w:rsid w:val="003F23B0"/>
    <w:rsid w:val="003F4AFD"/>
    <w:rsid w:val="003F67FC"/>
    <w:rsid w:val="003F7634"/>
    <w:rsid w:val="003F763B"/>
    <w:rsid w:val="00401945"/>
    <w:rsid w:val="00402BB0"/>
    <w:rsid w:val="0040402E"/>
    <w:rsid w:val="00412EB4"/>
    <w:rsid w:val="004143A9"/>
    <w:rsid w:val="00415408"/>
    <w:rsid w:val="004154AC"/>
    <w:rsid w:val="00421F62"/>
    <w:rsid w:val="004222C2"/>
    <w:rsid w:val="0042383A"/>
    <w:rsid w:val="0043177C"/>
    <w:rsid w:val="00435056"/>
    <w:rsid w:val="0043791D"/>
    <w:rsid w:val="004420C0"/>
    <w:rsid w:val="0044308F"/>
    <w:rsid w:val="0044479D"/>
    <w:rsid w:val="004458BD"/>
    <w:rsid w:val="00453225"/>
    <w:rsid w:val="00453FBF"/>
    <w:rsid w:val="00461744"/>
    <w:rsid w:val="00465131"/>
    <w:rsid w:val="004658AB"/>
    <w:rsid w:val="00465B84"/>
    <w:rsid w:val="00465FDF"/>
    <w:rsid w:val="00466251"/>
    <w:rsid w:val="00466706"/>
    <w:rsid w:val="00467B48"/>
    <w:rsid w:val="00470980"/>
    <w:rsid w:val="004712B9"/>
    <w:rsid w:val="004750B9"/>
    <w:rsid w:val="00475B57"/>
    <w:rsid w:val="00476B73"/>
    <w:rsid w:val="004775A3"/>
    <w:rsid w:val="004777CF"/>
    <w:rsid w:val="00480E89"/>
    <w:rsid w:val="004812F3"/>
    <w:rsid w:val="00482A9A"/>
    <w:rsid w:val="00485DB6"/>
    <w:rsid w:val="00486760"/>
    <w:rsid w:val="00487B62"/>
    <w:rsid w:val="004A16D1"/>
    <w:rsid w:val="004A2753"/>
    <w:rsid w:val="004A29CB"/>
    <w:rsid w:val="004A3B14"/>
    <w:rsid w:val="004A43CC"/>
    <w:rsid w:val="004A4F30"/>
    <w:rsid w:val="004B4593"/>
    <w:rsid w:val="004B5C34"/>
    <w:rsid w:val="004B6835"/>
    <w:rsid w:val="004C1F9E"/>
    <w:rsid w:val="004C5FEC"/>
    <w:rsid w:val="004C633A"/>
    <w:rsid w:val="004C6455"/>
    <w:rsid w:val="004C64C8"/>
    <w:rsid w:val="004C702B"/>
    <w:rsid w:val="004C7173"/>
    <w:rsid w:val="004C72EB"/>
    <w:rsid w:val="004D21B0"/>
    <w:rsid w:val="004D5B68"/>
    <w:rsid w:val="004D5E8B"/>
    <w:rsid w:val="004D6C1F"/>
    <w:rsid w:val="004D7B56"/>
    <w:rsid w:val="004E2406"/>
    <w:rsid w:val="004E2AD9"/>
    <w:rsid w:val="004E7199"/>
    <w:rsid w:val="004F324A"/>
    <w:rsid w:val="004F5498"/>
    <w:rsid w:val="004F55AE"/>
    <w:rsid w:val="004F718E"/>
    <w:rsid w:val="004F75ED"/>
    <w:rsid w:val="00500A6F"/>
    <w:rsid w:val="005017D4"/>
    <w:rsid w:val="005040CD"/>
    <w:rsid w:val="00506997"/>
    <w:rsid w:val="00506A35"/>
    <w:rsid w:val="00510537"/>
    <w:rsid w:val="00511B11"/>
    <w:rsid w:val="00515A16"/>
    <w:rsid w:val="00515C64"/>
    <w:rsid w:val="00516C13"/>
    <w:rsid w:val="005206A4"/>
    <w:rsid w:val="005207E2"/>
    <w:rsid w:val="00523B79"/>
    <w:rsid w:val="00527058"/>
    <w:rsid w:val="0052717B"/>
    <w:rsid w:val="0053262E"/>
    <w:rsid w:val="005401C4"/>
    <w:rsid w:val="00540D1C"/>
    <w:rsid w:val="0054138C"/>
    <w:rsid w:val="00542975"/>
    <w:rsid w:val="00542A57"/>
    <w:rsid w:val="0054501A"/>
    <w:rsid w:val="00551301"/>
    <w:rsid w:val="0055308A"/>
    <w:rsid w:val="005533A1"/>
    <w:rsid w:val="005533CF"/>
    <w:rsid w:val="00553B40"/>
    <w:rsid w:val="00556372"/>
    <w:rsid w:val="00556BBF"/>
    <w:rsid w:val="00561A49"/>
    <w:rsid w:val="00564130"/>
    <w:rsid w:val="00566B56"/>
    <w:rsid w:val="00566C79"/>
    <w:rsid w:val="00566E97"/>
    <w:rsid w:val="005678EA"/>
    <w:rsid w:val="00571BD8"/>
    <w:rsid w:val="00571FAB"/>
    <w:rsid w:val="00574379"/>
    <w:rsid w:val="0057716B"/>
    <w:rsid w:val="0057733C"/>
    <w:rsid w:val="005800E3"/>
    <w:rsid w:val="00580D36"/>
    <w:rsid w:val="00583A33"/>
    <w:rsid w:val="00590698"/>
    <w:rsid w:val="00594D27"/>
    <w:rsid w:val="005A5072"/>
    <w:rsid w:val="005A7BE1"/>
    <w:rsid w:val="005B4CD8"/>
    <w:rsid w:val="005C1ACF"/>
    <w:rsid w:val="005C2C04"/>
    <w:rsid w:val="005C4408"/>
    <w:rsid w:val="005C4B61"/>
    <w:rsid w:val="005D0E18"/>
    <w:rsid w:val="005D1F2D"/>
    <w:rsid w:val="005D63FD"/>
    <w:rsid w:val="005D77D6"/>
    <w:rsid w:val="005E27BF"/>
    <w:rsid w:val="005E33F5"/>
    <w:rsid w:val="005E3F82"/>
    <w:rsid w:val="005E4242"/>
    <w:rsid w:val="005E75F6"/>
    <w:rsid w:val="005F277D"/>
    <w:rsid w:val="005F278A"/>
    <w:rsid w:val="005F4316"/>
    <w:rsid w:val="005F4B13"/>
    <w:rsid w:val="005F4E1D"/>
    <w:rsid w:val="00603BF7"/>
    <w:rsid w:val="00603EE2"/>
    <w:rsid w:val="00604DC3"/>
    <w:rsid w:val="006063B5"/>
    <w:rsid w:val="006112F0"/>
    <w:rsid w:val="00613924"/>
    <w:rsid w:val="0061438C"/>
    <w:rsid w:val="00614E03"/>
    <w:rsid w:val="00615FA5"/>
    <w:rsid w:val="0061661E"/>
    <w:rsid w:val="00617AE4"/>
    <w:rsid w:val="006235FF"/>
    <w:rsid w:val="00627AFC"/>
    <w:rsid w:val="00631578"/>
    <w:rsid w:val="0063427B"/>
    <w:rsid w:val="0063570B"/>
    <w:rsid w:val="006366EE"/>
    <w:rsid w:val="00637AF5"/>
    <w:rsid w:val="00641396"/>
    <w:rsid w:val="0064257D"/>
    <w:rsid w:val="00643CC1"/>
    <w:rsid w:val="00644BAD"/>
    <w:rsid w:val="00646D52"/>
    <w:rsid w:val="00652869"/>
    <w:rsid w:val="00653409"/>
    <w:rsid w:val="0065463A"/>
    <w:rsid w:val="00657F46"/>
    <w:rsid w:val="00660E00"/>
    <w:rsid w:val="006646DC"/>
    <w:rsid w:val="00665289"/>
    <w:rsid w:val="00665906"/>
    <w:rsid w:val="00665AAD"/>
    <w:rsid w:val="006712B1"/>
    <w:rsid w:val="00671D7A"/>
    <w:rsid w:val="00673801"/>
    <w:rsid w:val="006742B5"/>
    <w:rsid w:val="006744FA"/>
    <w:rsid w:val="00674879"/>
    <w:rsid w:val="00674A31"/>
    <w:rsid w:val="00674AAF"/>
    <w:rsid w:val="00676294"/>
    <w:rsid w:val="006763BD"/>
    <w:rsid w:val="00682312"/>
    <w:rsid w:val="00682538"/>
    <w:rsid w:val="006840E4"/>
    <w:rsid w:val="006847CF"/>
    <w:rsid w:val="00684B03"/>
    <w:rsid w:val="00685D5D"/>
    <w:rsid w:val="0068748E"/>
    <w:rsid w:val="00690601"/>
    <w:rsid w:val="006906DC"/>
    <w:rsid w:val="00691BC7"/>
    <w:rsid w:val="00696D07"/>
    <w:rsid w:val="006977CB"/>
    <w:rsid w:val="0069785D"/>
    <w:rsid w:val="006A2765"/>
    <w:rsid w:val="006A39A0"/>
    <w:rsid w:val="006A3DF0"/>
    <w:rsid w:val="006A449D"/>
    <w:rsid w:val="006A6391"/>
    <w:rsid w:val="006B1446"/>
    <w:rsid w:val="006B3493"/>
    <w:rsid w:val="006B3B1E"/>
    <w:rsid w:val="006B4061"/>
    <w:rsid w:val="006C03D6"/>
    <w:rsid w:val="006C063A"/>
    <w:rsid w:val="006C1FBF"/>
    <w:rsid w:val="006C2221"/>
    <w:rsid w:val="006C3CE0"/>
    <w:rsid w:val="006C466C"/>
    <w:rsid w:val="006C620B"/>
    <w:rsid w:val="006D1438"/>
    <w:rsid w:val="006D1FFE"/>
    <w:rsid w:val="006D3EA6"/>
    <w:rsid w:val="006D56A7"/>
    <w:rsid w:val="006E3471"/>
    <w:rsid w:val="006E3DCA"/>
    <w:rsid w:val="006E69FA"/>
    <w:rsid w:val="006F191C"/>
    <w:rsid w:val="006F20AB"/>
    <w:rsid w:val="006F573D"/>
    <w:rsid w:val="007052A2"/>
    <w:rsid w:val="00712129"/>
    <w:rsid w:val="00712C19"/>
    <w:rsid w:val="007133D6"/>
    <w:rsid w:val="00720C4D"/>
    <w:rsid w:val="0072337D"/>
    <w:rsid w:val="00726B4E"/>
    <w:rsid w:val="00727ACE"/>
    <w:rsid w:val="00734C25"/>
    <w:rsid w:val="00740103"/>
    <w:rsid w:val="00740E20"/>
    <w:rsid w:val="00744EA2"/>
    <w:rsid w:val="007455DF"/>
    <w:rsid w:val="0074752D"/>
    <w:rsid w:val="00750076"/>
    <w:rsid w:val="007500ED"/>
    <w:rsid w:val="007542B5"/>
    <w:rsid w:val="00754454"/>
    <w:rsid w:val="007549A1"/>
    <w:rsid w:val="0075690C"/>
    <w:rsid w:val="00756CD5"/>
    <w:rsid w:val="007606BD"/>
    <w:rsid w:val="007629EF"/>
    <w:rsid w:val="0076491C"/>
    <w:rsid w:val="00766144"/>
    <w:rsid w:val="00770531"/>
    <w:rsid w:val="00770F40"/>
    <w:rsid w:val="007734A8"/>
    <w:rsid w:val="007740B3"/>
    <w:rsid w:val="0077591C"/>
    <w:rsid w:val="00775F2E"/>
    <w:rsid w:val="0077722E"/>
    <w:rsid w:val="0077764B"/>
    <w:rsid w:val="007805A4"/>
    <w:rsid w:val="0078094F"/>
    <w:rsid w:val="00783B23"/>
    <w:rsid w:val="007841FC"/>
    <w:rsid w:val="00785624"/>
    <w:rsid w:val="007865D2"/>
    <w:rsid w:val="007877A3"/>
    <w:rsid w:val="007900D8"/>
    <w:rsid w:val="00790999"/>
    <w:rsid w:val="007910AB"/>
    <w:rsid w:val="00792671"/>
    <w:rsid w:val="00793638"/>
    <w:rsid w:val="00794906"/>
    <w:rsid w:val="00797229"/>
    <w:rsid w:val="00797A19"/>
    <w:rsid w:val="00797C7B"/>
    <w:rsid w:val="007A21E6"/>
    <w:rsid w:val="007A37E4"/>
    <w:rsid w:val="007A38A5"/>
    <w:rsid w:val="007A75A3"/>
    <w:rsid w:val="007B112F"/>
    <w:rsid w:val="007C0DDF"/>
    <w:rsid w:val="007C12B6"/>
    <w:rsid w:val="007C21AD"/>
    <w:rsid w:val="007C4095"/>
    <w:rsid w:val="007C5D42"/>
    <w:rsid w:val="007D31C4"/>
    <w:rsid w:val="007D430C"/>
    <w:rsid w:val="007D6AD2"/>
    <w:rsid w:val="007D7AF3"/>
    <w:rsid w:val="007E45D7"/>
    <w:rsid w:val="007E4668"/>
    <w:rsid w:val="007E5BE9"/>
    <w:rsid w:val="007F0B69"/>
    <w:rsid w:val="007F23B4"/>
    <w:rsid w:val="007F28D6"/>
    <w:rsid w:val="007F2B12"/>
    <w:rsid w:val="007F557C"/>
    <w:rsid w:val="007F564F"/>
    <w:rsid w:val="007F7051"/>
    <w:rsid w:val="008000C8"/>
    <w:rsid w:val="00800EBB"/>
    <w:rsid w:val="008028C9"/>
    <w:rsid w:val="00807468"/>
    <w:rsid w:val="00807B3B"/>
    <w:rsid w:val="008102BF"/>
    <w:rsid w:val="00813DCE"/>
    <w:rsid w:val="0081604E"/>
    <w:rsid w:val="00816877"/>
    <w:rsid w:val="00817947"/>
    <w:rsid w:val="008217D1"/>
    <w:rsid w:val="00823532"/>
    <w:rsid w:val="00824EFA"/>
    <w:rsid w:val="0082502E"/>
    <w:rsid w:val="00825339"/>
    <w:rsid w:val="00825787"/>
    <w:rsid w:val="00827A50"/>
    <w:rsid w:val="008308CE"/>
    <w:rsid w:val="0083189C"/>
    <w:rsid w:val="008331D4"/>
    <w:rsid w:val="00835E6B"/>
    <w:rsid w:val="00836159"/>
    <w:rsid w:val="008404B8"/>
    <w:rsid w:val="008417BF"/>
    <w:rsid w:val="00841E11"/>
    <w:rsid w:val="0084409E"/>
    <w:rsid w:val="0084435B"/>
    <w:rsid w:val="008545A3"/>
    <w:rsid w:val="008547F1"/>
    <w:rsid w:val="008562EF"/>
    <w:rsid w:val="00857BAC"/>
    <w:rsid w:val="008603D7"/>
    <w:rsid w:val="00867B4D"/>
    <w:rsid w:val="008718C0"/>
    <w:rsid w:val="00871CCF"/>
    <w:rsid w:val="00876300"/>
    <w:rsid w:val="0087693E"/>
    <w:rsid w:val="0087782D"/>
    <w:rsid w:val="00881230"/>
    <w:rsid w:val="008812BB"/>
    <w:rsid w:val="00882917"/>
    <w:rsid w:val="00882ED0"/>
    <w:rsid w:val="008853DE"/>
    <w:rsid w:val="00887980"/>
    <w:rsid w:val="00887DBC"/>
    <w:rsid w:val="008900CF"/>
    <w:rsid w:val="0089117D"/>
    <w:rsid w:val="0089320C"/>
    <w:rsid w:val="00895D18"/>
    <w:rsid w:val="0089717C"/>
    <w:rsid w:val="008A1F97"/>
    <w:rsid w:val="008A24E2"/>
    <w:rsid w:val="008A2BA1"/>
    <w:rsid w:val="008A4ABA"/>
    <w:rsid w:val="008B04D4"/>
    <w:rsid w:val="008B338D"/>
    <w:rsid w:val="008B40EC"/>
    <w:rsid w:val="008B542B"/>
    <w:rsid w:val="008B5BCD"/>
    <w:rsid w:val="008B5EE7"/>
    <w:rsid w:val="008B7106"/>
    <w:rsid w:val="008C005F"/>
    <w:rsid w:val="008C100C"/>
    <w:rsid w:val="008C1023"/>
    <w:rsid w:val="008C1E06"/>
    <w:rsid w:val="008C4A81"/>
    <w:rsid w:val="008C64EE"/>
    <w:rsid w:val="008D0E15"/>
    <w:rsid w:val="008D2D69"/>
    <w:rsid w:val="008D3EFF"/>
    <w:rsid w:val="008D3F92"/>
    <w:rsid w:val="008E1A76"/>
    <w:rsid w:val="008E35B9"/>
    <w:rsid w:val="008E4E89"/>
    <w:rsid w:val="008E50F0"/>
    <w:rsid w:val="008F12D3"/>
    <w:rsid w:val="008F17C7"/>
    <w:rsid w:val="008F5489"/>
    <w:rsid w:val="008F6BB4"/>
    <w:rsid w:val="008F7F0E"/>
    <w:rsid w:val="00901390"/>
    <w:rsid w:val="00902785"/>
    <w:rsid w:val="00903A7F"/>
    <w:rsid w:val="00907CCE"/>
    <w:rsid w:val="009116B5"/>
    <w:rsid w:val="00911BA3"/>
    <w:rsid w:val="00911F70"/>
    <w:rsid w:val="009126A8"/>
    <w:rsid w:val="00912776"/>
    <w:rsid w:val="009177E4"/>
    <w:rsid w:val="009205DE"/>
    <w:rsid w:val="00925FE0"/>
    <w:rsid w:val="00927567"/>
    <w:rsid w:val="009300D5"/>
    <w:rsid w:val="00931D6C"/>
    <w:rsid w:val="00933701"/>
    <w:rsid w:val="00934078"/>
    <w:rsid w:val="00934B6C"/>
    <w:rsid w:val="00934DF5"/>
    <w:rsid w:val="009369B2"/>
    <w:rsid w:val="00940780"/>
    <w:rsid w:val="00940B13"/>
    <w:rsid w:val="009518B6"/>
    <w:rsid w:val="00951915"/>
    <w:rsid w:val="0095324E"/>
    <w:rsid w:val="00953F29"/>
    <w:rsid w:val="009546BD"/>
    <w:rsid w:val="00955E04"/>
    <w:rsid w:val="00960FC9"/>
    <w:rsid w:val="009611BA"/>
    <w:rsid w:val="009638EE"/>
    <w:rsid w:val="00965289"/>
    <w:rsid w:val="009666AA"/>
    <w:rsid w:val="00972D17"/>
    <w:rsid w:val="00973239"/>
    <w:rsid w:val="009739E7"/>
    <w:rsid w:val="00973B03"/>
    <w:rsid w:val="00974509"/>
    <w:rsid w:val="009768F3"/>
    <w:rsid w:val="009802C8"/>
    <w:rsid w:val="00983C30"/>
    <w:rsid w:val="00984619"/>
    <w:rsid w:val="00985535"/>
    <w:rsid w:val="00986528"/>
    <w:rsid w:val="00993039"/>
    <w:rsid w:val="00993C1D"/>
    <w:rsid w:val="00994BEE"/>
    <w:rsid w:val="00995DC2"/>
    <w:rsid w:val="009965CC"/>
    <w:rsid w:val="009A007C"/>
    <w:rsid w:val="009A356D"/>
    <w:rsid w:val="009A388B"/>
    <w:rsid w:val="009A5324"/>
    <w:rsid w:val="009A672A"/>
    <w:rsid w:val="009A7525"/>
    <w:rsid w:val="009A7A27"/>
    <w:rsid w:val="009A7F49"/>
    <w:rsid w:val="009B5AC4"/>
    <w:rsid w:val="009B5DB8"/>
    <w:rsid w:val="009B7E26"/>
    <w:rsid w:val="009C58F9"/>
    <w:rsid w:val="009C5E2D"/>
    <w:rsid w:val="009C6535"/>
    <w:rsid w:val="009C7231"/>
    <w:rsid w:val="009D1063"/>
    <w:rsid w:val="009D4639"/>
    <w:rsid w:val="009D59D8"/>
    <w:rsid w:val="009D67F7"/>
    <w:rsid w:val="009D6F37"/>
    <w:rsid w:val="009E1A2F"/>
    <w:rsid w:val="009E257B"/>
    <w:rsid w:val="009E276E"/>
    <w:rsid w:val="009E2FB0"/>
    <w:rsid w:val="009E6B04"/>
    <w:rsid w:val="009F0DC5"/>
    <w:rsid w:val="009F3589"/>
    <w:rsid w:val="00A004AD"/>
    <w:rsid w:val="00A014A3"/>
    <w:rsid w:val="00A0201E"/>
    <w:rsid w:val="00A03513"/>
    <w:rsid w:val="00A03D6D"/>
    <w:rsid w:val="00A06F0A"/>
    <w:rsid w:val="00A076F8"/>
    <w:rsid w:val="00A10B79"/>
    <w:rsid w:val="00A11B97"/>
    <w:rsid w:val="00A1293E"/>
    <w:rsid w:val="00A13FA8"/>
    <w:rsid w:val="00A16352"/>
    <w:rsid w:val="00A16E2A"/>
    <w:rsid w:val="00A20A27"/>
    <w:rsid w:val="00A2249E"/>
    <w:rsid w:val="00A233A4"/>
    <w:rsid w:val="00A23475"/>
    <w:rsid w:val="00A25F87"/>
    <w:rsid w:val="00A2687C"/>
    <w:rsid w:val="00A27509"/>
    <w:rsid w:val="00A31BA7"/>
    <w:rsid w:val="00A31EE6"/>
    <w:rsid w:val="00A32FD9"/>
    <w:rsid w:val="00A35931"/>
    <w:rsid w:val="00A3654C"/>
    <w:rsid w:val="00A36999"/>
    <w:rsid w:val="00A37A54"/>
    <w:rsid w:val="00A42912"/>
    <w:rsid w:val="00A42986"/>
    <w:rsid w:val="00A52998"/>
    <w:rsid w:val="00A55559"/>
    <w:rsid w:val="00A55EC8"/>
    <w:rsid w:val="00A56385"/>
    <w:rsid w:val="00A60369"/>
    <w:rsid w:val="00A60DD8"/>
    <w:rsid w:val="00A613EE"/>
    <w:rsid w:val="00A6337E"/>
    <w:rsid w:val="00A63A05"/>
    <w:rsid w:val="00A65B36"/>
    <w:rsid w:val="00A679CF"/>
    <w:rsid w:val="00A708A7"/>
    <w:rsid w:val="00A70A92"/>
    <w:rsid w:val="00A7365E"/>
    <w:rsid w:val="00A746EF"/>
    <w:rsid w:val="00A7616E"/>
    <w:rsid w:val="00A77834"/>
    <w:rsid w:val="00A829BF"/>
    <w:rsid w:val="00A82CAB"/>
    <w:rsid w:val="00A84CAD"/>
    <w:rsid w:val="00A866FE"/>
    <w:rsid w:val="00A86C17"/>
    <w:rsid w:val="00A922CF"/>
    <w:rsid w:val="00A965DA"/>
    <w:rsid w:val="00AA3F71"/>
    <w:rsid w:val="00AA4369"/>
    <w:rsid w:val="00AA5014"/>
    <w:rsid w:val="00AB0CDE"/>
    <w:rsid w:val="00AB17E6"/>
    <w:rsid w:val="00AB2051"/>
    <w:rsid w:val="00AC104C"/>
    <w:rsid w:val="00AC1577"/>
    <w:rsid w:val="00AC4381"/>
    <w:rsid w:val="00AC6312"/>
    <w:rsid w:val="00AC6741"/>
    <w:rsid w:val="00AD0165"/>
    <w:rsid w:val="00AD22A5"/>
    <w:rsid w:val="00AD3125"/>
    <w:rsid w:val="00AD4990"/>
    <w:rsid w:val="00AD5219"/>
    <w:rsid w:val="00AD5648"/>
    <w:rsid w:val="00AD6677"/>
    <w:rsid w:val="00AD6CC3"/>
    <w:rsid w:val="00AE229F"/>
    <w:rsid w:val="00AE25C3"/>
    <w:rsid w:val="00AE552B"/>
    <w:rsid w:val="00AE5D5A"/>
    <w:rsid w:val="00AF24AD"/>
    <w:rsid w:val="00AF2C06"/>
    <w:rsid w:val="00AF4F56"/>
    <w:rsid w:val="00AF5380"/>
    <w:rsid w:val="00AF71A3"/>
    <w:rsid w:val="00B01BBA"/>
    <w:rsid w:val="00B056FF"/>
    <w:rsid w:val="00B05821"/>
    <w:rsid w:val="00B10686"/>
    <w:rsid w:val="00B1679E"/>
    <w:rsid w:val="00B20350"/>
    <w:rsid w:val="00B20D89"/>
    <w:rsid w:val="00B21386"/>
    <w:rsid w:val="00B227EC"/>
    <w:rsid w:val="00B25D1C"/>
    <w:rsid w:val="00B270A9"/>
    <w:rsid w:val="00B2782B"/>
    <w:rsid w:val="00B3129F"/>
    <w:rsid w:val="00B40609"/>
    <w:rsid w:val="00B41121"/>
    <w:rsid w:val="00B42A17"/>
    <w:rsid w:val="00B4333E"/>
    <w:rsid w:val="00B4394F"/>
    <w:rsid w:val="00B43C4B"/>
    <w:rsid w:val="00B44E98"/>
    <w:rsid w:val="00B44EF7"/>
    <w:rsid w:val="00B51A9B"/>
    <w:rsid w:val="00B51FB0"/>
    <w:rsid w:val="00B53F6E"/>
    <w:rsid w:val="00B5409B"/>
    <w:rsid w:val="00B54FFF"/>
    <w:rsid w:val="00B55D93"/>
    <w:rsid w:val="00B57BB1"/>
    <w:rsid w:val="00B61686"/>
    <w:rsid w:val="00B61EE3"/>
    <w:rsid w:val="00B661B4"/>
    <w:rsid w:val="00B668B6"/>
    <w:rsid w:val="00B668CA"/>
    <w:rsid w:val="00B70A24"/>
    <w:rsid w:val="00B73844"/>
    <w:rsid w:val="00B739BE"/>
    <w:rsid w:val="00B7696D"/>
    <w:rsid w:val="00B77AF1"/>
    <w:rsid w:val="00B77E52"/>
    <w:rsid w:val="00B81139"/>
    <w:rsid w:val="00B818BD"/>
    <w:rsid w:val="00B834B0"/>
    <w:rsid w:val="00B90634"/>
    <w:rsid w:val="00B953FD"/>
    <w:rsid w:val="00BA0D2A"/>
    <w:rsid w:val="00BA29DC"/>
    <w:rsid w:val="00BA5A09"/>
    <w:rsid w:val="00BA5F33"/>
    <w:rsid w:val="00BA6FF7"/>
    <w:rsid w:val="00BA7D5B"/>
    <w:rsid w:val="00BB31A4"/>
    <w:rsid w:val="00BB3291"/>
    <w:rsid w:val="00BB4E03"/>
    <w:rsid w:val="00BB55C4"/>
    <w:rsid w:val="00BC01CF"/>
    <w:rsid w:val="00BC1785"/>
    <w:rsid w:val="00BC5E18"/>
    <w:rsid w:val="00BC7E2B"/>
    <w:rsid w:val="00BD09A9"/>
    <w:rsid w:val="00BD2595"/>
    <w:rsid w:val="00BD4C3C"/>
    <w:rsid w:val="00BD6735"/>
    <w:rsid w:val="00BE0245"/>
    <w:rsid w:val="00BE26BC"/>
    <w:rsid w:val="00BE298E"/>
    <w:rsid w:val="00BE3DB0"/>
    <w:rsid w:val="00BE4B7C"/>
    <w:rsid w:val="00BE5DB1"/>
    <w:rsid w:val="00BE60A6"/>
    <w:rsid w:val="00BF4727"/>
    <w:rsid w:val="00C01765"/>
    <w:rsid w:val="00C05A65"/>
    <w:rsid w:val="00C07D94"/>
    <w:rsid w:val="00C111BD"/>
    <w:rsid w:val="00C12A63"/>
    <w:rsid w:val="00C175BB"/>
    <w:rsid w:val="00C203E4"/>
    <w:rsid w:val="00C20B6E"/>
    <w:rsid w:val="00C21365"/>
    <w:rsid w:val="00C23474"/>
    <w:rsid w:val="00C236EF"/>
    <w:rsid w:val="00C2481A"/>
    <w:rsid w:val="00C24C81"/>
    <w:rsid w:val="00C25C87"/>
    <w:rsid w:val="00C26533"/>
    <w:rsid w:val="00C27C34"/>
    <w:rsid w:val="00C3123A"/>
    <w:rsid w:val="00C315BD"/>
    <w:rsid w:val="00C326E2"/>
    <w:rsid w:val="00C3654D"/>
    <w:rsid w:val="00C36734"/>
    <w:rsid w:val="00C41116"/>
    <w:rsid w:val="00C43D08"/>
    <w:rsid w:val="00C44E86"/>
    <w:rsid w:val="00C45C0F"/>
    <w:rsid w:val="00C46680"/>
    <w:rsid w:val="00C508F6"/>
    <w:rsid w:val="00C516BB"/>
    <w:rsid w:val="00C53673"/>
    <w:rsid w:val="00C55181"/>
    <w:rsid w:val="00C55D5B"/>
    <w:rsid w:val="00C63372"/>
    <w:rsid w:val="00C658A7"/>
    <w:rsid w:val="00C6615A"/>
    <w:rsid w:val="00C70F63"/>
    <w:rsid w:val="00C71433"/>
    <w:rsid w:val="00C73EDB"/>
    <w:rsid w:val="00C76683"/>
    <w:rsid w:val="00C76FB6"/>
    <w:rsid w:val="00C77AF2"/>
    <w:rsid w:val="00C808B5"/>
    <w:rsid w:val="00C80E31"/>
    <w:rsid w:val="00C80EBF"/>
    <w:rsid w:val="00C8173A"/>
    <w:rsid w:val="00C86EF5"/>
    <w:rsid w:val="00C92419"/>
    <w:rsid w:val="00C926B2"/>
    <w:rsid w:val="00C92CC1"/>
    <w:rsid w:val="00C935EF"/>
    <w:rsid w:val="00C95646"/>
    <w:rsid w:val="00C96F01"/>
    <w:rsid w:val="00CA57AA"/>
    <w:rsid w:val="00CA708D"/>
    <w:rsid w:val="00CB058F"/>
    <w:rsid w:val="00CB1913"/>
    <w:rsid w:val="00CB2FE4"/>
    <w:rsid w:val="00CB6B70"/>
    <w:rsid w:val="00CB7610"/>
    <w:rsid w:val="00CB7D09"/>
    <w:rsid w:val="00CC1FFE"/>
    <w:rsid w:val="00CC4936"/>
    <w:rsid w:val="00CC495F"/>
    <w:rsid w:val="00CC5D71"/>
    <w:rsid w:val="00CC79AC"/>
    <w:rsid w:val="00CD0FDF"/>
    <w:rsid w:val="00CE236A"/>
    <w:rsid w:val="00CE26B8"/>
    <w:rsid w:val="00CE2E2F"/>
    <w:rsid w:val="00CE4D3F"/>
    <w:rsid w:val="00CE6BD3"/>
    <w:rsid w:val="00CF0C05"/>
    <w:rsid w:val="00CF19A4"/>
    <w:rsid w:val="00CF1F72"/>
    <w:rsid w:val="00CF22EF"/>
    <w:rsid w:val="00CF2F60"/>
    <w:rsid w:val="00CF3CC0"/>
    <w:rsid w:val="00CF3FA1"/>
    <w:rsid w:val="00D00A66"/>
    <w:rsid w:val="00D00F2D"/>
    <w:rsid w:val="00D0423F"/>
    <w:rsid w:val="00D04FC5"/>
    <w:rsid w:val="00D07E44"/>
    <w:rsid w:val="00D11319"/>
    <w:rsid w:val="00D11DFF"/>
    <w:rsid w:val="00D147AB"/>
    <w:rsid w:val="00D21CC8"/>
    <w:rsid w:val="00D27444"/>
    <w:rsid w:val="00D308E7"/>
    <w:rsid w:val="00D30A0D"/>
    <w:rsid w:val="00D30D96"/>
    <w:rsid w:val="00D31B31"/>
    <w:rsid w:val="00D321B6"/>
    <w:rsid w:val="00D326CF"/>
    <w:rsid w:val="00D34154"/>
    <w:rsid w:val="00D40DC2"/>
    <w:rsid w:val="00D43D7F"/>
    <w:rsid w:val="00D44FBD"/>
    <w:rsid w:val="00D45770"/>
    <w:rsid w:val="00D47917"/>
    <w:rsid w:val="00D47CE1"/>
    <w:rsid w:val="00D569C3"/>
    <w:rsid w:val="00D573F2"/>
    <w:rsid w:val="00D57A42"/>
    <w:rsid w:val="00D63D98"/>
    <w:rsid w:val="00D668E0"/>
    <w:rsid w:val="00D67DED"/>
    <w:rsid w:val="00D728F6"/>
    <w:rsid w:val="00D7315A"/>
    <w:rsid w:val="00D74E60"/>
    <w:rsid w:val="00D75B20"/>
    <w:rsid w:val="00D76EAD"/>
    <w:rsid w:val="00D77597"/>
    <w:rsid w:val="00D81591"/>
    <w:rsid w:val="00D824FB"/>
    <w:rsid w:val="00D82A9A"/>
    <w:rsid w:val="00D82B15"/>
    <w:rsid w:val="00D8369D"/>
    <w:rsid w:val="00D85A1F"/>
    <w:rsid w:val="00D85BF7"/>
    <w:rsid w:val="00D87AC8"/>
    <w:rsid w:val="00D902FA"/>
    <w:rsid w:val="00D9055B"/>
    <w:rsid w:val="00D90F79"/>
    <w:rsid w:val="00D92012"/>
    <w:rsid w:val="00D924B1"/>
    <w:rsid w:val="00D9376F"/>
    <w:rsid w:val="00D975CE"/>
    <w:rsid w:val="00DA0919"/>
    <w:rsid w:val="00DA09A2"/>
    <w:rsid w:val="00DA2396"/>
    <w:rsid w:val="00DA64F6"/>
    <w:rsid w:val="00DA7BDF"/>
    <w:rsid w:val="00DB08D8"/>
    <w:rsid w:val="00DB24DA"/>
    <w:rsid w:val="00DB3823"/>
    <w:rsid w:val="00DB56A9"/>
    <w:rsid w:val="00DB58F9"/>
    <w:rsid w:val="00DB5C0B"/>
    <w:rsid w:val="00DB71BD"/>
    <w:rsid w:val="00DC1D47"/>
    <w:rsid w:val="00DC4355"/>
    <w:rsid w:val="00DC4714"/>
    <w:rsid w:val="00DC509D"/>
    <w:rsid w:val="00DC5A33"/>
    <w:rsid w:val="00DC711F"/>
    <w:rsid w:val="00DD0386"/>
    <w:rsid w:val="00DD03D5"/>
    <w:rsid w:val="00DD5205"/>
    <w:rsid w:val="00DD7E70"/>
    <w:rsid w:val="00DE3167"/>
    <w:rsid w:val="00DE475C"/>
    <w:rsid w:val="00DF0325"/>
    <w:rsid w:val="00DF0ADE"/>
    <w:rsid w:val="00DF0B47"/>
    <w:rsid w:val="00DF2168"/>
    <w:rsid w:val="00DF271D"/>
    <w:rsid w:val="00DF2EAD"/>
    <w:rsid w:val="00DF41C6"/>
    <w:rsid w:val="00DF618B"/>
    <w:rsid w:val="00DF7431"/>
    <w:rsid w:val="00E00A6E"/>
    <w:rsid w:val="00E00C9C"/>
    <w:rsid w:val="00E028F6"/>
    <w:rsid w:val="00E02D63"/>
    <w:rsid w:val="00E05BFE"/>
    <w:rsid w:val="00E07379"/>
    <w:rsid w:val="00E1030C"/>
    <w:rsid w:val="00E14140"/>
    <w:rsid w:val="00E17C9B"/>
    <w:rsid w:val="00E17EC6"/>
    <w:rsid w:val="00E21292"/>
    <w:rsid w:val="00E22473"/>
    <w:rsid w:val="00E260FB"/>
    <w:rsid w:val="00E271B8"/>
    <w:rsid w:val="00E27DF2"/>
    <w:rsid w:val="00E31150"/>
    <w:rsid w:val="00E31EF6"/>
    <w:rsid w:val="00E32D9B"/>
    <w:rsid w:val="00E336C2"/>
    <w:rsid w:val="00E35553"/>
    <w:rsid w:val="00E41BFC"/>
    <w:rsid w:val="00E42CE8"/>
    <w:rsid w:val="00E432A2"/>
    <w:rsid w:val="00E4410D"/>
    <w:rsid w:val="00E515A5"/>
    <w:rsid w:val="00E52DFA"/>
    <w:rsid w:val="00E5306E"/>
    <w:rsid w:val="00E53898"/>
    <w:rsid w:val="00E5615D"/>
    <w:rsid w:val="00E56368"/>
    <w:rsid w:val="00E5750E"/>
    <w:rsid w:val="00E60060"/>
    <w:rsid w:val="00E6056F"/>
    <w:rsid w:val="00E60924"/>
    <w:rsid w:val="00E65A6E"/>
    <w:rsid w:val="00E67EFF"/>
    <w:rsid w:val="00E71CAD"/>
    <w:rsid w:val="00E76AC8"/>
    <w:rsid w:val="00E811C9"/>
    <w:rsid w:val="00E84696"/>
    <w:rsid w:val="00E84CD4"/>
    <w:rsid w:val="00E86690"/>
    <w:rsid w:val="00E86B1D"/>
    <w:rsid w:val="00E87772"/>
    <w:rsid w:val="00E96FBA"/>
    <w:rsid w:val="00EA00E0"/>
    <w:rsid w:val="00EA294D"/>
    <w:rsid w:val="00EA5341"/>
    <w:rsid w:val="00EA763D"/>
    <w:rsid w:val="00EA779B"/>
    <w:rsid w:val="00EB07F0"/>
    <w:rsid w:val="00EB254F"/>
    <w:rsid w:val="00EB58D7"/>
    <w:rsid w:val="00EB7B02"/>
    <w:rsid w:val="00EB7DBD"/>
    <w:rsid w:val="00EC15EE"/>
    <w:rsid w:val="00EC6189"/>
    <w:rsid w:val="00EC669F"/>
    <w:rsid w:val="00ED0C70"/>
    <w:rsid w:val="00ED1254"/>
    <w:rsid w:val="00ED559D"/>
    <w:rsid w:val="00ED5D4B"/>
    <w:rsid w:val="00ED63DD"/>
    <w:rsid w:val="00ED68FB"/>
    <w:rsid w:val="00ED6BFC"/>
    <w:rsid w:val="00EE066B"/>
    <w:rsid w:val="00EE0C20"/>
    <w:rsid w:val="00EE139D"/>
    <w:rsid w:val="00EE191B"/>
    <w:rsid w:val="00EE35FB"/>
    <w:rsid w:val="00EE3611"/>
    <w:rsid w:val="00EE48B0"/>
    <w:rsid w:val="00EE577B"/>
    <w:rsid w:val="00EE647E"/>
    <w:rsid w:val="00EE6DBC"/>
    <w:rsid w:val="00EE7625"/>
    <w:rsid w:val="00EF437D"/>
    <w:rsid w:val="00EF565F"/>
    <w:rsid w:val="00EF5F8B"/>
    <w:rsid w:val="00EF61A5"/>
    <w:rsid w:val="00EF70B3"/>
    <w:rsid w:val="00F001EF"/>
    <w:rsid w:val="00F01029"/>
    <w:rsid w:val="00F017AC"/>
    <w:rsid w:val="00F01862"/>
    <w:rsid w:val="00F01AD3"/>
    <w:rsid w:val="00F02B74"/>
    <w:rsid w:val="00F05770"/>
    <w:rsid w:val="00F059F2"/>
    <w:rsid w:val="00F05EAB"/>
    <w:rsid w:val="00F11C3C"/>
    <w:rsid w:val="00F12506"/>
    <w:rsid w:val="00F13A71"/>
    <w:rsid w:val="00F13C01"/>
    <w:rsid w:val="00F13D53"/>
    <w:rsid w:val="00F13E55"/>
    <w:rsid w:val="00F15D0F"/>
    <w:rsid w:val="00F200CC"/>
    <w:rsid w:val="00F21C21"/>
    <w:rsid w:val="00F25474"/>
    <w:rsid w:val="00F25C90"/>
    <w:rsid w:val="00F3324E"/>
    <w:rsid w:val="00F33258"/>
    <w:rsid w:val="00F340A8"/>
    <w:rsid w:val="00F34B04"/>
    <w:rsid w:val="00F352AF"/>
    <w:rsid w:val="00F35628"/>
    <w:rsid w:val="00F3739F"/>
    <w:rsid w:val="00F3780C"/>
    <w:rsid w:val="00F37CEC"/>
    <w:rsid w:val="00F46E4E"/>
    <w:rsid w:val="00F526EB"/>
    <w:rsid w:val="00F52ECE"/>
    <w:rsid w:val="00F54CD4"/>
    <w:rsid w:val="00F54FC9"/>
    <w:rsid w:val="00F55740"/>
    <w:rsid w:val="00F57AC0"/>
    <w:rsid w:val="00F62D57"/>
    <w:rsid w:val="00F64697"/>
    <w:rsid w:val="00F66024"/>
    <w:rsid w:val="00F664F1"/>
    <w:rsid w:val="00F67E44"/>
    <w:rsid w:val="00F703A6"/>
    <w:rsid w:val="00F71E22"/>
    <w:rsid w:val="00F723AF"/>
    <w:rsid w:val="00F7290E"/>
    <w:rsid w:val="00F73A39"/>
    <w:rsid w:val="00F74CFF"/>
    <w:rsid w:val="00F773B5"/>
    <w:rsid w:val="00F777F1"/>
    <w:rsid w:val="00F80211"/>
    <w:rsid w:val="00F80D2E"/>
    <w:rsid w:val="00F81B0D"/>
    <w:rsid w:val="00F81C68"/>
    <w:rsid w:val="00F86382"/>
    <w:rsid w:val="00F871A5"/>
    <w:rsid w:val="00F92C14"/>
    <w:rsid w:val="00F9321A"/>
    <w:rsid w:val="00F93246"/>
    <w:rsid w:val="00F93482"/>
    <w:rsid w:val="00FA053A"/>
    <w:rsid w:val="00FA3F63"/>
    <w:rsid w:val="00FA4D8B"/>
    <w:rsid w:val="00FA4FFA"/>
    <w:rsid w:val="00FA5839"/>
    <w:rsid w:val="00FA59CB"/>
    <w:rsid w:val="00FA6083"/>
    <w:rsid w:val="00FA65FA"/>
    <w:rsid w:val="00FA6FB4"/>
    <w:rsid w:val="00FB1714"/>
    <w:rsid w:val="00FB584A"/>
    <w:rsid w:val="00FB7BBA"/>
    <w:rsid w:val="00FC0141"/>
    <w:rsid w:val="00FC096A"/>
    <w:rsid w:val="00FC1DED"/>
    <w:rsid w:val="00FC4347"/>
    <w:rsid w:val="00FC51F9"/>
    <w:rsid w:val="00FC6064"/>
    <w:rsid w:val="00FC621A"/>
    <w:rsid w:val="00FC64E5"/>
    <w:rsid w:val="00FD0DBB"/>
    <w:rsid w:val="00FD14DB"/>
    <w:rsid w:val="00FD24E9"/>
    <w:rsid w:val="00FD34E5"/>
    <w:rsid w:val="00FD3D38"/>
    <w:rsid w:val="00FD3E16"/>
    <w:rsid w:val="00FD4050"/>
    <w:rsid w:val="00FD6A51"/>
    <w:rsid w:val="00FD71A5"/>
    <w:rsid w:val="00FE0513"/>
    <w:rsid w:val="00FE0DA1"/>
    <w:rsid w:val="00FE1B75"/>
    <w:rsid w:val="00FE2F9D"/>
    <w:rsid w:val="00FE5920"/>
    <w:rsid w:val="00FE6D0F"/>
    <w:rsid w:val="00FE75A7"/>
    <w:rsid w:val="00FF431E"/>
    <w:rsid w:val="00FF4BAA"/>
    <w:rsid w:val="00FF59DD"/>
    <w:rsid w:val="00FF6285"/>
    <w:rsid w:val="00FF65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8F614"/>
  <w15:chartTrackingRefBased/>
  <w15:docId w15:val="{AAB95B5C-9109-4937-9745-C12C5DB9B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192A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A66E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A66EA"/>
    <w:rPr>
      <w:rFonts w:ascii="Segoe UI" w:hAnsi="Segoe UI" w:cs="Segoe UI"/>
      <w:sz w:val="18"/>
      <w:szCs w:val="18"/>
    </w:rPr>
  </w:style>
  <w:style w:type="paragraph" w:styleId="Prrafodelista">
    <w:name w:val="List Paragraph"/>
    <w:basedOn w:val="Normal"/>
    <w:uiPriority w:val="1"/>
    <w:qFormat/>
    <w:rsid w:val="003036B3"/>
    <w:pPr>
      <w:ind w:left="720"/>
      <w:contextualSpacing/>
    </w:pPr>
  </w:style>
  <w:style w:type="paragraph" w:styleId="Textonotapie">
    <w:name w:val="footnote text"/>
    <w:aliases w:val="Referència de nota a peu de pàgina1,sobrescrito"/>
    <w:basedOn w:val="Normal"/>
    <w:link w:val="TextonotapieCar"/>
    <w:uiPriority w:val="99"/>
    <w:unhideWhenUsed/>
    <w:qFormat/>
    <w:rsid w:val="000624AB"/>
    <w:pPr>
      <w:spacing w:after="0" w:line="240" w:lineRule="auto"/>
    </w:pPr>
    <w:rPr>
      <w:lang w:val="en-GB"/>
    </w:rPr>
  </w:style>
  <w:style w:type="character" w:customStyle="1" w:styleId="TextonotapieCar">
    <w:name w:val="Texto nota pie Car"/>
    <w:aliases w:val="Referència de nota a peu de pàgina1 Car,sobrescrito Car"/>
    <w:basedOn w:val="Fuentedeprrafopredeter"/>
    <w:link w:val="Textonotapie"/>
    <w:uiPriority w:val="99"/>
    <w:qFormat/>
    <w:rsid w:val="000624AB"/>
    <w:rPr>
      <w:sz w:val="20"/>
      <w:szCs w:val="20"/>
      <w:lang w:val="en-GB"/>
    </w:rPr>
  </w:style>
  <w:style w:type="character" w:styleId="Refdenotaalpie">
    <w:name w:val="footnote reference"/>
    <w:basedOn w:val="Fuentedeprrafopredeter"/>
    <w:uiPriority w:val="99"/>
    <w:unhideWhenUsed/>
    <w:rsid w:val="000624AB"/>
    <w:rPr>
      <w:vertAlign w:val="superscript"/>
    </w:rPr>
  </w:style>
  <w:style w:type="character" w:styleId="Hipervnculo">
    <w:name w:val="Hyperlink"/>
    <w:basedOn w:val="Fuentedeprrafopredeter"/>
    <w:uiPriority w:val="99"/>
    <w:unhideWhenUsed/>
    <w:rsid w:val="00D321B6"/>
    <w:rPr>
      <w:color w:val="0563C1" w:themeColor="hyperlink"/>
      <w:u w:val="single"/>
    </w:rPr>
  </w:style>
  <w:style w:type="character" w:customStyle="1" w:styleId="l6">
    <w:name w:val="l6"/>
    <w:basedOn w:val="Fuentedeprrafopredeter"/>
    <w:rsid w:val="00933701"/>
  </w:style>
  <w:style w:type="paragraph" w:styleId="NormalWeb">
    <w:name w:val="Normal (Web)"/>
    <w:basedOn w:val="Normal"/>
    <w:uiPriority w:val="99"/>
    <w:unhideWhenUsed/>
    <w:rsid w:val="001849EB"/>
    <w:rPr>
      <w:rFonts w:cs="Times New Roman"/>
      <w:sz w:val="24"/>
      <w:szCs w:val="24"/>
    </w:rPr>
  </w:style>
  <w:style w:type="paragraph" w:customStyle="1" w:styleId="nova-e-listitem">
    <w:name w:val="nova-e-list__item"/>
    <w:basedOn w:val="Normal"/>
    <w:rsid w:val="008B04D4"/>
    <w:pPr>
      <w:spacing w:before="100" w:beforeAutospacing="1" w:after="100" w:afterAutospacing="1" w:line="240" w:lineRule="auto"/>
    </w:pPr>
    <w:rPr>
      <w:rFonts w:eastAsia="Times New Roman" w:cs="Times New Roman"/>
      <w:sz w:val="24"/>
      <w:szCs w:val="24"/>
      <w:lang w:eastAsia="es-ES"/>
    </w:rPr>
  </w:style>
  <w:style w:type="paragraph" w:styleId="Encabezado">
    <w:name w:val="header"/>
    <w:basedOn w:val="Normal"/>
    <w:link w:val="EncabezadoCar"/>
    <w:uiPriority w:val="99"/>
    <w:unhideWhenUsed/>
    <w:rsid w:val="0037262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72629"/>
  </w:style>
  <w:style w:type="paragraph" w:styleId="Piedepgina">
    <w:name w:val="footer"/>
    <w:basedOn w:val="Normal"/>
    <w:link w:val="PiedepginaCar"/>
    <w:uiPriority w:val="99"/>
    <w:unhideWhenUsed/>
    <w:rsid w:val="0037262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72629"/>
  </w:style>
  <w:style w:type="character" w:styleId="nfasis">
    <w:name w:val="Emphasis"/>
    <w:basedOn w:val="Fuentedeprrafopredeter"/>
    <w:qFormat/>
    <w:rsid w:val="008B40EC"/>
    <w:rPr>
      <w:i/>
      <w:iCs/>
    </w:rPr>
  </w:style>
  <w:style w:type="paragraph" w:customStyle="1" w:styleId="ParaLevel1">
    <w:name w:val="ParaLevel1"/>
    <w:basedOn w:val="Normal"/>
    <w:uiPriority w:val="99"/>
    <w:rsid w:val="00E028F6"/>
    <w:pPr>
      <w:numPr>
        <w:numId w:val="1"/>
      </w:numPr>
      <w:suppressAutoHyphens/>
      <w:spacing w:before="240" w:after="240" w:line="240" w:lineRule="auto"/>
      <w:jc w:val="both"/>
      <w:outlineLvl w:val="0"/>
    </w:pPr>
    <w:rPr>
      <w:rFonts w:eastAsia="Times New Roman" w:cs="Times New Roman"/>
      <w:sz w:val="24"/>
      <w:lang w:val="en-GB"/>
    </w:rPr>
  </w:style>
  <w:style w:type="paragraph" w:customStyle="1" w:styleId="ParaLevel2">
    <w:name w:val="ParaLevel2"/>
    <w:basedOn w:val="Normal"/>
    <w:uiPriority w:val="99"/>
    <w:rsid w:val="00E028F6"/>
    <w:pPr>
      <w:numPr>
        <w:ilvl w:val="1"/>
        <w:numId w:val="1"/>
      </w:numPr>
      <w:suppressAutoHyphens/>
      <w:spacing w:before="240" w:after="240" w:line="240" w:lineRule="auto"/>
      <w:jc w:val="both"/>
      <w:outlineLvl w:val="1"/>
    </w:pPr>
    <w:rPr>
      <w:rFonts w:eastAsia="Times New Roman" w:cs="Times New Roman"/>
      <w:sz w:val="24"/>
      <w:lang w:val="en-GB"/>
    </w:rPr>
  </w:style>
  <w:style w:type="paragraph" w:customStyle="1" w:styleId="ParaLevel3">
    <w:name w:val="ParaLevel3"/>
    <w:basedOn w:val="Normal"/>
    <w:uiPriority w:val="99"/>
    <w:rsid w:val="00E028F6"/>
    <w:pPr>
      <w:numPr>
        <w:ilvl w:val="2"/>
        <w:numId w:val="1"/>
      </w:numPr>
      <w:suppressAutoHyphens/>
      <w:spacing w:before="240" w:after="240" w:line="240" w:lineRule="auto"/>
      <w:jc w:val="both"/>
      <w:outlineLvl w:val="2"/>
    </w:pPr>
    <w:rPr>
      <w:rFonts w:eastAsia="Times New Roman" w:cs="Times New Roman"/>
      <w:sz w:val="24"/>
      <w:lang w:val="en-GB"/>
    </w:rPr>
  </w:style>
  <w:style w:type="paragraph" w:customStyle="1" w:styleId="ParaLevel4">
    <w:name w:val="ParaLevel4"/>
    <w:basedOn w:val="Normal"/>
    <w:uiPriority w:val="99"/>
    <w:rsid w:val="00E028F6"/>
    <w:pPr>
      <w:numPr>
        <w:ilvl w:val="3"/>
        <w:numId w:val="1"/>
      </w:numPr>
      <w:suppressAutoHyphens/>
      <w:spacing w:before="240" w:after="240" w:line="240" w:lineRule="auto"/>
      <w:jc w:val="both"/>
      <w:outlineLvl w:val="3"/>
    </w:pPr>
    <w:rPr>
      <w:rFonts w:eastAsia="Times New Roman" w:cs="Times New Roman"/>
      <w:sz w:val="24"/>
      <w:lang w:val="en-GB"/>
    </w:rPr>
  </w:style>
  <w:style w:type="paragraph" w:customStyle="1" w:styleId="ParaLevel5">
    <w:name w:val="ParaLevel5"/>
    <w:basedOn w:val="Normal"/>
    <w:uiPriority w:val="99"/>
    <w:rsid w:val="00E028F6"/>
    <w:pPr>
      <w:numPr>
        <w:ilvl w:val="4"/>
        <w:numId w:val="1"/>
      </w:numPr>
      <w:suppressAutoHyphens/>
      <w:spacing w:before="240" w:after="240" w:line="240" w:lineRule="auto"/>
      <w:jc w:val="both"/>
      <w:outlineLvl w:val="4"/>
    </w:pPr>
    <w:rPr>
      <w:rFonts w:eastAsia="Times New Roman" w:cs="Times New Roman"/>
      <w:sz w:val="24"/>
      <w:lang w:val="en-GB"/>
    </w:rPr>
  </w:style>
  <w:style w:type="paragraph" w:customStyle="1" w:styleId="ParaLevel6">
    <w:name w:val="ParaLevel6"/>
    <w:basedOn w:val="Normal"/>
    <w:uiPriority w:val="99"/>
    <w:rsid w:val="00E028F6"/>
    <w:pPr>
      <w:numPr>
        <w:ilvl w:val="5"/>
        <w:numId w:val="1"/>
      </w:numPr>
      <w:suppressAutoHyphens/>
      <w:spacing w:before="240" w:after="240" w:line="240" w:lineRule="auto"/>
      <w:jc w:val="both"/>
      <w:outlineLvl w:val="5"/>
    </w:pPr>
    <w:rPr>
      <w:rFonts w:eastAsia="Times New Roman" w:cs="Times New Roman"/>
      <w:sz w:val="24"/>
      <w:lang w:val="en-GB"/>
    </w:rPr>
  </w:style>
  <w:style w:type="paragraph" w:customStyle="1" w:styleId="ParaLevel7">
    <w:name w:val="ParaLevel7"/>
    <w:basedOn w:val="Normal"/>
    <w:uiPriority w:val="99"/>
    <w:rsid w:val="00E028F6"/>
    <w:pPr>
      <w:numPr>
        <w:ilvl w:val="6"/>
        <w:numId w:val="1"/>
      </w:numPr>
      <w:suppressAutoHyphens/>
      <w:spacing w:before="240" w:after="240" w:line="240" w:lineRule="auto"/>
      <w:jc w:val="both"/>
      <w:outlineLvl w:val="6"/>
    </w:pPr>
    <w:rPr>
      <w:rFonts w:eastAsia="Times New Roman" w:cs="Times New Roman"/>
      <w:sz w:val="24"/>
      <w:lang w:val="en-GB"/>
    </w:rPr>
  </w:style>
  <w:style w:type="paragraph" w:customStyle="1" w:styleId="ParaLevel8">
    <w:name w:val="ParaLevel8"/>
    <w:basedOn w:val="Normal"/>
    <w:uiPriority w:val="99"/>
    <w:rsid w:val="00E028F6"/>
    <w:pPr>
      <w:numPr>
        <w:ilvl w:val="7"/>
        <w:numId w:val="1"/>
      </w:numPr>
      <w:suppressAutoHyphens/>
      <w:spacing w:before="240" w:after="240" w:line="240" w:lineRule="auto"/>
      <w:jc w:val="both"/>
      <w:outlineLvl w:val="7"/>
    </w:pPr>
    <w:rPr>
      <w:rFonts w:eastAsia="Times New Roman" w:cs="Times New Roman"/>
      <w:sz w:val="24"/>
      <w:lang w:val="en-GB"/>
    </w:rPr>
  </w:style>
  <w:style w:type="paragraph" w:customStyle="1" w:styleId="ParaLevel9">
    <w:name w:val="ParaLevel9"/>
    <w:basedOn w:val="Normal"/>
    <w:uiPriority w:val="99"/>
    <w:rsid w:val="00E028F6"/>
    <w:pPr>
      <w:numPr>
        <w:ilvl w:val="8"/>
        <w:numId w:val="1"/>
      </w:numPr>
      <w:suppressAutoHyphens/>
      <w:spacing w:before="240" w:after="240" w:line="240" w:lineRule="auto"/>
      <w:jc w:val="both"/>
      <w:outlineLvl w:val="8"/>
    </w:pPr>
    <w:rPr>
      <w:rFonts w:eastAsia="Times New Roman" w:cs="Times New Roman"/>
      <w:sz w:val="24"/>
      <w:lang w:val="en-GB"/>
    </w:rPr>
  </w:style>
  <w:style w:type="character" w:customStyle="1" w:styleId="DeltaViewInsertion">
    <w:name w:val="DeltaView Insertion"/>
    <w:uiPriority w:val="99"/>
    <w:rsid w:val="00E028F6"/>
    <w:rPr>
      <w:color w:val="0000FF"/>
      <w:spacing w:val="0"/>
      <w:u w:val="double"/>
    </w:rPr>
  </w:style>
  <w:style w:type="paragraph" w:styleId="Textonotaalfinal">
    <w:name w:val="endnote text"/>
    <w:basedOn w:val="Normal"/>
    <w:link w:val="TextonotaalfinalCar"/>
    <w:uiPriority w:val="99"/>
    <w:unhideWhenUsed/>
    <w:rsid w:val="00E028F6"/>
    <w:pPr>
      <w:spacing w:after="0" w:line="240" w:lineRule="auto"/>
    </w:pPr>
    <w:rPr>
      <w:rFonts w:ascii="Calibri" w:eastAsia="Times New Roman" w:hAnsi="Calibri" w:cs="Times New Roman"/>
    </w:rPr>
  </w:style>
  <w:style w:type="character" w:customStyle="1" w:styleId="TextonotaalfinalCar">
    <w:name w:val="Texto nota al final Car"/>
    <w:basedOn w:val="Fuentedeprrafopredeter"/>
    <w:link w:val="Textonotaalfinal"/>
    <w:uiPriority w:val="99"/>
    <w:rsid w:val="00E028F6"/>
    <w:rPr>
      <w:rFonts w:ascii="Calibri" w:eastAsia="Times New Roman" w:hAnsi="Calibri" w:cs="Times New Roman"/>
      <w:sz w:val="20"/>
      <w:szCs w:val="20"/>
    </w:rPr>
  </w:style>
  <w:style w:type="character" w:styleId="Refdenotaalfinal">
    <w:name w:val="endnote reference"/>
    <w:basedOn w:val="Fuentedeprrafopredeter"/>
    <w:unhideWhenUsed/>
    <w:rsid w:val="00E028F6"/>
    <w:rPr>
      <w:rFonts w:cs="Times New Roman"/>
      <w:vertAlign w:val="superscript"/>
    </w:rPr>
  </w:style>
  <w:style w:type="paragraph" w:customStyle="1" w:styleId="parrafo">
    <w:name w:val="parrafo"/>
    <w:basedOn w:val="Normal"/>
    <w:rsid w:val="00190984"/>
    <w:pPr>
      <w:spacing w:before="100" w:beforeAutospacing="1" w:after="100" w:afterAutospacing="1" w:line="240" w:lineRule="auto"/>
    </w:pPr>
    <w:rPr>
      <w:rFonts w:eastAsia="Times New Roman" w:cs="Times New Roman"/>
      <w:sz w:val="24"/>
      <w:szCs w:val="24"/>
      <w:lang w:eastAsia="es-ES"/>
    </w:rPr>
  </w:style>
  <w:style w:type="character" w:customStyle="1" w:styleId="user-highlighted-active">
    <w:name w:val="user-highlighted-active"/>
    <w:rsid w:val="005040CD"/>
  </w:style>
  <w:style w:type="character" w:customStyle="1" w:styleId="super">
    <w:name w:val="super"/>
    <w:basedOn w:val="Fuentedeprrafopredeter"/>
    <w:rsid w:val="004D6C1F"/>
  </w:style>
  <w:style w:type="character" w:styleId="Mencinsinresolver">
    <w:name w:val="Unresolved Mention"/>
    <w:basedOn w:val="Fuentedeprrafopredeter"/>
    <w:uiPriority w:val="99"/>
    <w:semiHidden/>
    <w:unhideWhenUsed/>
    <w:rsid w:val="009A7525"/>
    <w:rPr>
      <w:color w:val="605E5C"/>
      <w:shd w:val="clear" w:color="auto" w:fill="E1DFDD"/>
    </w:rPr>
  </w:style>
  <w:style w:type="character" w:styleId="Hipervnculovisitado">
    <w:name w:val="FollowedHyperlink"/>
    <w:basedOn w:val="Fuentedeprrafopredeter"/>
    <w:uiPriority w:val="99"/>
    <w:semiHidden/>
    <w:unhideWhenUsed/>
    <w:rsid w:val="00FB584A"/>
    <w:rPr>
      <w:color w:val="954F72" w:themeColor="followedHyperlink"/>
      <w:u w:val="single"/>
    </w:rPr>
  </w:style>
  <w:style w:type="character" w:customStyle="1" w:styleId="Ttulo3Car">
    <w:name w:val="Título 3 Car"/>
    <w:basedOn w:val="Fuentedeprrafopredeter"/>
    <w:link w:val="Ttulo3"/>
    <w:uiPriority w:val="9"/>
    <w:semiHidden/>
    <w:rsid w:val="00192A8B"/>
    <w:rPr>
      <w:rFonts w:asciiTheme="majorHAnsi" w:eastAsiaTheme="majorEastAsia" w:hAnsiTheme="majorHAnsi" w:cstheme="majorBidi"/>
      <w:color w:val="1F4D78" w:themeColor="accent1" w:themeShade="7F"/>
      <w:sz w:val="24"/>
      <w:szCs w:val="24"/>
    </w:rPr>
  </w:style>
  <w:style w:type="paragraph" w:styleId="Textoindependiente">
    <w:name w:val="Body Text"/>
    <w:basedOn w:val="Normal"/>
    <w:link w:val="TextoindependienteCar"/>
    <w:uiPriority w:val="1"/>
    <w:qFormat/>
    <w:rsid w:val="009666AA"/>
    <w:pPr>
      <w:widowControl w:val="0"/>
      <w:autoSpaceDE w:val="0"/>
      <w:autoSpaceDN w:val="0"/>
      <w:spacing w:after="0" w:line="240" w:lineRule="auto"/>
    </w:pPr>
    <w:rPr>
      <w:rFonts w:eastAsia="Times New Roman" w:cs="Times New Roman"/>
      <w:sz w:val="22"/>
      <w:szCs w:val="22"/>
    </w:rPr>
  </w:style>
  <w:style w:type="character" w:customStyle="1" w:styleId="TextoindependienteCar">
    <w:name w:val="Texto independiente Car"/>
    <w:basedOn w:val="Fuentedeprrafopredeter"/>
    <w:link w:val="Textoindependiente"/>
    <w:uiPriority w:val="1"/>
    <w:rsid w:val="009666AA"/>
    <w:rPr>
      <w:rFonts w:eastAsia="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2023">
      <w:bodyDiv w:val="1"/>
      <w:marLeft w:val="0"/>
      <w:marRight w:val="0"/>
      <w:marTop w:val="0"/>
      <w:marBottom w:val="0"/>
      <w:divBdr>
        <w:top w:val="none" w:sz="0" w:space="0" w:color="auto"/>
        <w:left w:val="none" w:sz="0" w:space="0" w:color="auto"/>
        <w:bottom w:val="none" w:sz="0" w:space="0" w:color="auto"/>
        <w:right w:val="none" w:sz="0" w:space="0" w:color="auto"/>
      </w:divBdr>
      <w:divsChild>
        <w:div w:id="826868153">
          <w:marLeft w:val="0"/>
          <w:marRight w:val="0"/>
          <w:marTop w:val="0"/>
          <w:marBottom w:val="0"/>
          <w:divBdr>
            <w:top w:val="none" w:sz="0" w:space="0" w:color="auto"/>
            <w:left w:val="none" w:sz="0" w:space="0" w:color="auto"/>
            <w:bottom w:val="none" w:sz="0" w:space="0" w:color="auto"/>
            <w:right w:val="none" w:sz="0" w:space="0" w:color="auto"/>
          </w:divBdr>
        </w:div>
        <w:div w:id="269898651">
          <w:marLeft w:val="0"/>
          <w:marRight w:val="0"/>
          <w:marTop w:val="0"/>
          <w:marBottom w:val="0"/>
          <w:divBdr>
            <w:top w:val="none" w:sz="0" w:space="0" w:color="auto"/>
            <w:left w:val="none" w:sz="0" w:space="0" w:color="auto"/>
            <w:bottom w:val="none" w:sz="0" w:space="0" w:color="auto"/>
            <w:right w:val="none" w:sz="0" w:space="0" w:color="auto"/>
          </w:divBdr>
        </w:div>
      </w:divsChild>
    </w:div>
    <w:div w:id="380524147">
      <w:bodyDiv w:val="1"/>
      <w:marLeft w:val="0"/>
      <w:marRight w:val="0"/>
      <w:marTop w:val="0"/>
      <w:marBottom w:val="0"/>
      <w:divBdr>
        <w:top w:val="none" w:sz="0" w:space="0" w:color="auto"/>
        <w:left w:val="none" w:sz="0" w:space="0" w:color="auto"/>
        <w:bottom w:val="none" w:sz="0" w:space="0" w:color="auto"/>
        <w:right w:val="none" w:sz="0" w:space="0" w:color="auto"/>
      </w:divBdr>
    </w:div>
    <w:div w:id="442655323">
      <w:bodyDiv w:val="1"/>
      <w:marLeft w:val="0"/>
      <w:marRight w:val="0"/>
      <w:marTop w:val="0"/>
      <w:marBottom w:val="0"/>
      <w:divBdr>
        <w:top w:val="none" w:sz="0" w:space="0" w:color="auto"/>
        <w:left w:val="none" w:sz="0" w:space="0" w:color="auto"/>
        <w:bottom w:val="none" w:sz="0" w:space="0" w:color="auto"/>
        <w:right w:val="none" w:sz="0" w:space="0" w:color="auto"/>
      </w:divBdr>
    </w:div>
    <w:div w:id="465974531">
      <w:bodyDiv w:val="1"/>
      <w:marLeft w:val="0"/>
      <w:marRight w:val="0"/>
      <w:marTop w:val="0"/>
      <w:marBottom w:val="0"/>
      <w:divBdr>
        <w:top w:val="none" w:sz="0" w:space="0" w:color="auto"/>
        <w:left w:val="none" w:sz="0" w:space="0" w:color="auto"/>
        <w:bottom w:val="none" w:sz="0" w:space="0" w:color="auto"/>
        <w:right w:val="none" w:sz="0" w:space="0" w:color="auto"/>
      </w:divBdr>
    </w:div>
    <w:div w:id="467628539">
      <w:bodyDiv w:val="1"/>
      <w:marLeft w:val="0"/>
      <w:marRight w:val="0"/>
      <w:marTop w:val="0"/>
      <w:marBottom w:val="0"/>
      <w:divBdr>
        <w:top w:val="none" w:sz="0" w:space="0" w:color="auto"/>
        <w:left w:val="none" w:sz="0" w:space="0" w:color="auto"/>
        <w:bottom w:val="none" w:sz="0" w:space="0" w:color="auto"/>
        <w:right w:val="none" w:sz="0" w:space="0" w:color="auto"/>
      </w:divBdr>
    </w:div>
    <w:div w:id="555357978">
      <w:bodyDiv w:val="1"/>
      <w:marLeft w:val="0"/>
      <w:marRight w:val="0"/>
      <w:marTop w:val="0"/>
      <w:marBottom w:val="0"/>
      <w:divBdr>
        <w:top w:val="none" w:sz="0" w:space="0" w:color="auto"/>
        <w:left w:val="none" w:sz="0" w:space="0" w:color="auto"/>
        <w:bottom w:val="none" w:sz="0" w:space="0" w:color="auto"/>
        <w:right w:val="none" w:sz="0" w:space="0" w:color="auto"/>
      </w:divBdr>
    </w:div>
    <w:div w:id="607929030">
      <w:bodyDiv w:val="1"/>
      <w:marLeft w:val="0"/>
      <w:marRight w:val="0"/>
      <w:marTop w:val="0"/>
      <w:marBottom w:val="0"/>
      <w:divBdr>
        <w:top w:val="none" w:sz="0" w:space="0" w:color="auto"/>
        <w:left w:val="none" w:sz="0" w:space="0" w:color="auto"/>
        <w:bottom w:val="none" w:sz="0" w:space="0" w:color="auto"/>
        <w:right w:val="none" w:sz="0" w:space="0" w:color="auto"/>
      </w:divBdr>
    </w:div>
    <w:div w:id="750930784">
      <w:bodyDiv w:val="1"/>
      <w:marLeft w:val="0"/>
      <w:marRight w:val="0"/>
      <w:marTop w:val="0"/>
      <w:marBottom w:val="0"/>
      <w:divBdr>
        <w:top w:val="none" w:sz="0" w:space="0" w:color="auto"/>
        <w:left w:val="none" w:sz="0" w:space="0" w:color="auto"/>
        <w:bottom w:val="none" w:sz="0" w:space="0" w:color="auto"/>
        <w:right w:val="none" w:sz="0" w:space="0" w:color="auto"/>
      </w:divBdr>
    </w:div>
    <w:div w:id="859275202">
      <w:bodyDiv w:val="1"/>
      <w:marLeft w:val="0"/>
      <w:marRight w:val="0"/>
      <w:marTop w:val="0"/>
      <w:marBottom w:val="0"/>
      <w:divBdr>
        <w:top w:val="none" w:sz="0" w:space="0" w:color="auto"/>
        <w:left w:val="none" w:sz="0" w:space="0" w:color="auto"/>
        <w:bottom w:val="none" w:sz="0" w:space="0" w:color="auto"/>
        <w:right w:val="none" w:sz="0" w:space="0" w:color="auto"/>
      </w:divBdr>
    </w:div>
    <w:div w:id="913396169">
      <w:bodyDiv w:val="1"/>
      <w:marLeft w:val="0"/>
      <w:marRight w:val="0"/>
      <w:marTop w:val="0"/>
      <w:marBottom w:val="0"/>
      <w:divBdr>
        <w:top w:val="none" w:sz="0" w:space="0" w:color="auto"/>
        <w:left w:val="none" w:sz="0" w:space="0" w:color="auto"/>
        <w:bottom w:val="none" w:sz="0" w:space="0" w:color="auto"/>
        <w:right w:val="none" w:sz="0" w:space="0" w:color="auto"/>
      </w:divBdr>
    </w:div>
    <w:div w:id="1249921496">
      <w:bodyDiv w:val="1"/>
      <w:marLeft w:val="0"/>
      <w:marRight w:val="0"/>
      <w:marTop w:val="0"/>
      <w:marBottom w:val="0"/>
      <w:divBdr>
        <w:top w:val="none" w:sz="0" w:space="0" w:color="auto"/>
        <w:left w:val="none" w:sz="0" w:space="0" w:color="auto"/>
        <w:bottom w:val="none" w:sz="0" w:space="0" w:color="auto"/>
        <w:right w:val="none" w:sz="0" w:space="0" w:color="auto"/>
      </w:divBdr>
    </w:div>
    <w:div w:id="1275407485">
      <w:bodyDiv w:val="1"/>
      <w:marLeft w:val="0"/>
      <w:marRight w:val="0"/>
      <w:marTop w:val="0"/>
      <w:marBottom w:val="0"/>
      <w:divBdr>
        <w:top w:val="none" w:sz="0" w:space="0" w:color="auto"/>
        <w:left w:val="none" w:sz="0" w:space="0" w:color="auto"/>
        <w:bottom w:val="none" w:sz="0" w:space="0" w:color="auto"/>
        <w:right w:val="none" w:sz="0" w:space="0" w:color="auto"/>
      </w:divBdr>
    </w:div>
    <w:div w:id="1309674577">
      <w:bodyDiv w:val="1"/>
      <w:marLeft w:val="0"/>
      <w:marRight w:val="0"/>
      <w:marTop w:val="0"/>
      <w:marBottom w:val="0"/>
      <w:divBdr>
        <w:top w:val="none" w:sz="0" w:space="0" w:color="auto"/>
        <w:left w:val="none" w:sz="0" w:space="0" w:color="auto"/>
        <w:bottom w:val="none" w:sz="0" w:space="0" w:color="auto"/>
        <w:right w:val="none" w:sz="0" w:space="0" w:color="auto"/>
      </w:divBdr>
    </w:div>
    <w:div w:id="1346787043">
      <w:bodyDiv w:val="1"/>
      <w:marLeft w:val="0"/>
      <w:marRight w:val="0"/>
      <w:marTop w:val="0"/>
      <w:marBottom w:val="0"/>
      <w:divBdr>
        <w:top w:val="none" w:sz="0" w:space="0" w:color="auto"/>
        <w:left w:val="none" w:sz="0" w:space="0" w:color="auto"/>
        <w:bottom w:val="none" w:sz="0" w:space="0" w:color="auto"/>
        <w:right w:val="none" w:sz="0" w:space="0" w:color="auto"/>
      </w:divBdr>
    </w:div>
    <w:div w:id="1355577789">
      <w:bodyDiv w:val="1"/>
      <w:marLeft w:val="0"/>
      <w:marRight w:val="0"/>
      <w:marTop w:val="0"/>
      <w:marBottom w:val="0"/>
      <w:divBdr>
        <w:top w:val="none" w:sz="0" w:space="0" w:color="auto"/>
        <w:left w:val="none" w:sz="0" w:space="0" w:color="auto"/>
        <w:bottom w:val="none" w:sz="0" w:space="0" w:color="auto"/>
        <w:right w:val="none" w:sz="0" w:space="0" w:color="auto"/>
      </w:divBdr>
    </w:div>
    <w:div w:id="1369529869">
      <w:bodyDiv w:val="1"/>
      <w:marLeft w:val="0"/>
      <w:marRight w:val="0"/>
      <w:marTop w:val="0"/>
      <w:marBottom w:val="0"/>
      <w:divBdr>
        <w:top w:val="none" w:sz="0" w:space="0" w:color="auto"/>
        <w:left w:val="none" w:sz="0" w:space="0" w:color="auto"/>
        <w:bottom w:val="none" w:sz="0" w:space="0" w:color="auto"/>
        <w:right w:val="none" w:sz="0" w:space="0" w:color="auto"/>
      </w:divBdr>
    </w:div>
    <w:div w:id="1529949988">
      <w:bodyDiv w:val="1"/>
      <w:marLeft w:val="0"/>
      <w:marRight w:val="0"/>
      <w:marTop w:val="0"/>
      <w:marBottom w:val="0"/>
      <w:divBdr>
        <w:top w:val="none" w:sz="0" w:space="0" w:color="auto"/>
        <w:left w:val="none" w:sz="0" w:space="0" w:color="auto"/>
        <w:bottom w:val="none" w:sz="0" w:space="0" w:color="auto"/>
        <w:right w:val="none" w:sz="0" w:space="0" w:color="auto"/>
      </w:divBdr>
    </w:div>
    <w:div w:id="1630745660">
      <w:bodyDiv w:val="1"/>
      <w:marLeft w:val="0"/>
      <w:marRight w:val="0"/>
      <w:marTop w:val="0"/>
      <w:marBottom w:val="0"/>
      <w:divBdr>
        <w:top w:val="none" w:sz="0" w:space="0" w:color="auto"/>
        <w:left w:val="none" w:sz="0" w:space="0" w:color="auto"/>
        <w:bottom w:val="none" w:sz="0" w:space="0" w:color="auto"/>
        <w:right w:val="none" w:sz="0" w:space="0" w:color="auto"/>
      </w:divBdr>
    </w:div>
    <w:div w:id="1647317011">
      <w:bodyDiv w:val="1"/>
      <w:marLeft w:val="0"/>
      <w:marRight w:val="0"/>
      <w:marTop w:val="0"/>
      <w:marBottom w:val="0"/>
      <w:divBdr>
        <w:top w:val="none" w:sz="0" w:space="0" w:color="auto"/>
        <w:left w:val="none" w:sz="0" w:space="0" w:color="auto"/>
        <w:bottom w:val="none" w:sz="0" w:space="0" w:color="auto"/>
        <w:right w:val="none" w:sz="0" w:space="0" w:color="auto"/>
      </w:divBdr>
    </w:div>
    <w:div w:id="1663660398">
      <w:bodyDiv w:val="1"/>
      <w:marLeft w:val="0"/>
      <w:marRight w:val="0"/>
      <w:marTop w:val="0"/>
      <w:marBottom w:val="0"/>
      <w:divBdr>
        <w:top w:val="none" w:sz="0" w:space="0" w:color="auto"/>
        <w:left w:val="none" w:sz="0" w:space="0" w:color="auto"/>
        <w:bottom w:val="none" w:sz="0" w:space="0" w:color="auto"/>
        <w:right w:val="none" w:sz="0" w:space="0" w:color="auto"/>
      </w:divBdr>
    </w:div>
    <w:div w:id="1677921644">
      <w:bodyDiv w:val="1"/>
      <w:marLeft w:val="0"/>
      <w:marRight w:val="0"/>
      <w:marTop w:val="0"/>
      <w:marBottom w:val="0"/>
      <w:divBdr>
        <w:top w:val="none" w:sz="0" w:space="0" w:color="auto"/>
        <w:left w:val="none" w:sz="0" w:space="0" w:color="auto"/>
        <w:bottom w:val="none" w:sz="0" w:space="0" w:color="auto"/>
        <w:right w:val="none" w:sz="0" w:space="0" w:color="auto"/>
      </w:divBdr>
    </w:div>
    <w:div w:id="1760368377">
      <w:bodyDiv w:val="1"/>
      <w:marLeft w:val="0"/>
      <w:marRight w:val="0"/>
      <w:marTop w:val="0"/>
      <w:marBottom w:val="0"/>
      <w:divBdr>
        <w:top w:val="none" w:sz="0" w:space="0" w:color="auto"/>
        <w:left w:val="none" w:sz="0" w:space="0" w:color="auto"/>
        <w:bottom w:val="none" w:sz="0" w:space="0" w:color="auto"/>
        <w:right w:val="none" w:sz="0" w:space="0" w:color="auto"/>
      </w:divBdr>
    </w:div>
    <w:div w:id="1901594753">
      <w:bodyDiv w:val="1"/>
      <w:marLeft w:val="0"/>
      <w:marRight w:val="0"/>
      <w:marTop w:val="0"/>
      <w:marBottom w:val="0"/>
      <w:divBdr>
        <w:top w:val="none" w:sz="0" w:space="0" w:color="auto"/>
        <w:left w:val="none" w:sz="0" w:space="0" w:color="auto"/>
        <w:bottom w:val="none" w:sz="0" w:space="0" w:color="auto"/>
        <w:right w:val="none" w:sz="0" w:space="0" w:color="auto"/>
      </w:divBdr>
    </w:div>
    <w:div w:id="1936089990">
      <w:bodyDiv w:val="1"/>
      <w:marLeft w:val="0"/>
      <w:marRight w:val="0"/>
      <w:marTop w:val="0"/>
      <w:marBottom w:val="0"/>
      <w:divBdr>
        <w:top w:val="none" w:sz="0" w:space="0" w:color="auto"/>
        <w:left w:val="none" w:sz="0" w:space="0" w:color="auto"/>
        <w:bottom w:val="none" w:sz="0" w:space="0" w:color="auto"/>
        <w:right w:val="none" w:sz="0" w:space="0" w:color="auto"/>
      </w:divBdr>
    </w:div>
    <w:div w:id="1952979926">
      <w:bodyDiv w:val="1"/>
      <w:marLeft w:val="0"/>
      <w:marRight w:val="0"/>
      <w:marTop w:val="0"/>
      <w:marBottom w:val="0"/>
      <w:divBdr>
        <w:top w:val="none" w:sz="0" w:space="0" w:color="auto"/>
        <w:left w:val="none" w:sz="0" w:space="0" w:color="auto"/>
        <w:bottom w:val="none" w:sz="0" w:space="0" w:color="auto"/>
        <w:right w:val="none" w:sz="0" w:space="0" w:color="auto"/>
      </w:divBdr>
    </w:div>
    <w:div w:id="2001691741">
      <w:bodyDiv w:val="1"/>
      <w:marLeft w:val="0"/>
      <w:marRight w:val="0"/>
      <w:marTop w:val="0"/>
      <w:marBottom w:val="0"/>
      <w:divBdr>
        <w:top w:val="none" w:sz="0" w:space="0" w:color="auto"/>
        <w:left w:val="none" w:sz="0" w:space="0" w:color="auto"/>
        <w:bottom w:val="none" w:sz="0" w:space="0" w:color="auto"/>
        <w:right w:val="none" w:sz="0" w:space="0" w:color="auto"/>
      </w:divBdr>
    </w:div>
    <w:div w:id="2055352663">
      <w:bodyDiv w:val="1"/>
      <w:marLeft w:val="0"/>
      <w:marRight w:val="0"/>
      <w:marTop w:val="0"/>
      <w:marBottom w:val="0"/>
      <w:divBdr>
        <w:top w:val="none" w:sz="0" w:space="0" w:color="auto"/>
        <w:left w:val="none" w:sz="0" w:space="0" w:color="auto"/>
        <w:bottom w:val="none" w:sz="0" w:space="0" w:color="auto"/>
        <w:right w:val="none" w:sz="0" w:space="0" w:color="auto"/>
      </w:divBdr>
    </w:div>
    <w:div w:id="210109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rb.gy/53yzu" TargetMode="External"/><Relationship Id="rId13" Type="http://schemas.openxmlformats.org/officeDocument/2006/relationships/hyperlink" Target="https://bit.ly/3HWkGnr" TargetMode="External"/><Relationship Id="rId18" Type="http://schemas.openxmlformats.org/officeDocument/2006/relationships/hyperlink" Target="https://bitly.ws/XiFo" TargetMode="External"/><Relationship Id="rId3" Type="http://schemas.openxmlformats.org/officeDocument/2006/relationships/hyperlink" Target="https://rb.gy/egzqi" TargetMode="External"/><Relationship Id="rId7" Type="http://schemas.openxmlformats.org/officeDocument/2006/relationships/hyperlink" Target="https://rb.gy/os88d" TargetMode="External"/><Relationship Id="rId12" Type="http://schemas.openxmlformats.org/officeDocument/2006/relationships/hyperlink" Target="https://www.igpandi.org/" TargetMode="External"/><Relationship Id="rId17" Type="http://schemas.openxmlformats.org/officeDocument/2006/relationships/hyperlink" Target="https://bitly.ws/XiCU" TargetMode="External"/><Relationship Id="rId2" Type="http://schemas.openxmlformats.org/officeDocument/2006/relationships/hyperlink" Target="https://rb.gy/pcccm" TargetMode="External"/><Relationship Id="rId16" Type="http://schemas.openxmlformats.org/officeDocument/2006/relationships/hyperlink" Target="https://bitly.ws/XN4J" TargetMode="External"/><Relationship Id="rId1" Type="http://schemas.openxmlformats.org/officeDocument/2006/relationships/hyperlink" Target="https://rb.gy/egzqi" TargetMode="External"/><Relationship Id="rId6" Type="http://schemas.openxmlformats.org/officeDocument/2006/relationships/hyperlink" Target="https://bitly.ws/XJqp" TargetMode="External"/><Relationship Id="rId11" Type="http://schemas.openxmlformats.org/officeDocument/2006/relationships/hyperlink" Target="https://bitly.ws/XL8M" TargetMode="External"/><Relationship Id="rId5" Type="http://schemas.openxmlformats.org/officeDocument/2006/relationships/hyperlink" Target="https://bit.ly/3cTxCvO" TargetMode="External"/><Relationship Id="rId15" Type="http://schemas.openxmlformats.org/officeDocument/2006/relationships/hyperlink" Target="https://bitly.ws/XMMf" TargetMode="External"/><Relationship Id="rId10" Type="http://schemas.openxmlformats.org/officeDocument/2006/relationships/hyperlink" Target="https://bitly.ws/X8WK" TargetMode="External"/><Relationship Id="rId19" Type="http://schemas.openxmlformats.org/officeDocument/2006/relationships/hyperlink" Target="http://bitly.ws/J3rUm" TargetMode="External"/><Relationship Id="rId4" Type="http://schemas.openxmlformats.org/officeDocument/2006/relationships/hyperlink" Target="https://rb.gy/su6hx" TargetMode="External"/><Relationship Id="rId9" Type="http://schemas.openxmlformats.org/officeDocument/2006/relationships/hyperlink" Target="https://rb.gy/o71p4" TargetMode="External"/><Relationship Id="rId14" Type="http://schemas.openxmlformats.org/officeDocument/2006/relationships/hyperlink" Target="https://bitly.ws/XME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E6455677BA7D14799C4461A6A21B5E5" ma:contentTypeVersion="15" ma:contentTypeDescription="Crear nuevo documento." ma:contentTypeScope="" ma:versionID="d48748219c37e74c67c62fd1f1814eb1">
  <xsd:schema xmlns:xsd="http://www.w3.org/2001/XMLSchema" xmlns:xs="http://www.w3.org/2001/XMLSchema" xmlns:p="http://schemas.microsoft.com/office/2006/metadata/properties" xmlns:ns3="54c752c3-4609-42b6-b2f6-27677624ea05" xmlns:ns4="dfb75ad6-1c44-4576-92a1-b1de18b43d63" targetNamespace="http://schemas.microsoft.com/office/2006/metadata/properties" ma:root="true" ma:fieldsID="6b43d36ae01f2d1fbf73aaa6062a0c74" ns3:_="" ns4:_="">
    <xsd:import namespace="54c752c3-4609-42b6-b2f6-27677624ea05"/>
    <xsd:import namespace="dfb75ad6-1c44-4576-92a1-b1de18b43d6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752c3-4609-42b6-b2f6-27677624ea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b75ad6-1c44-4576-92a1-b1de18b43d6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4c752c3-4609-42b6-b2f6-27677624ea0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71BEF-7923-4A40-B0A3-3AD0B67AAB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752c3-4609-42b6-b2f6-27677624ea05"/>
    <ds:schemaRef ds:uri="dfb75ad6-1c44-4576-92a1-b1de18b43d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DF5B0A-37B8-4EB9-B0A3-13A29AD7C808}">
  <ds:schemaRefs>
    <ds:schemaRef ds:uri="http://schemas.microsoft.com/sharepoint/v3/contenttype/forms"/>
  </ds:schemaRefs>
</ds:datastoreItem>
</file>

<file path=customXml/itemProps3.xml><?xml version="1.0" encoding="utf-8"?>
<ds:datastoreItem xmlns:ds="http://schemas.openxmlformats.org/officeDocument/2006/customXml" ds:itemID="{A9322064-7634-4DEB-ACB2-94C85CE442B6}">
  <ds:schemaRefs>
    <ds:schemaRef ds:uri="http://schemas.microsoft.com/office/2006/metadata/properties"/>
    <ds:schemaRef ds:uri="http://schemas.microsoft.com/office/infopath/2007/PartnerControls"/>
    <ds:schemaRef ds:uri="54c752c3-4609-42b6-b2f6-27677624ea05"/>
  </ds:schemaRefs>
</ds:datastoreItem>
</file>

<file path=customXml/itemProps4.xml><?xml version="1.0" encoding="utf-8"?>
<ds:datastoreItem xmlns:ds="http://schemas.openxmlformats.org/officeDocument/2006/customXml" ds:itemID="{4F20A8A8-A558-4EEB-918A-6F3DAC46B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10198</Words>
  <Characters>56092</Characters>
  <Application>Microsoft Office Word</Application>
  <DocSecurity>0</DocSecurity>
  <Lines>467</Lines>
  <Paragraphs>132</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66158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Eliseo Sierra Noguero</cp:lastModifiedBy>
  <cp:revision>2</cp:revision>
  <cp:lastPrinted>2023-06-14T17:42:00Z</cp:lastPrinted>
  <dcterms:created xsi:type="dcterms:W3CDTF">2023-10-20T05:27:00Z</dcterms:created>
  <dcterms:modified xsi:type="dcterms:W3CDTF">2023-10-20T05:27:00Z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0x010100DE6455677BA7D14799C4461A6A21B5E5</vt:lpwstr>
  </property>
</Properties>
</file>