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6B4E9" w14:textId="53D3CBD9" w:rsidR="00084FC0" w:rsidRPr="00084FC0" w:rsidRDefault="00084FC0" w:rsidP="00084FC0">
      <w:pPr>
        <w:ind w:firstLine="0"/>
        <w:rPr>
          <w:rFonts w:ascii="Calibri" w:hAnsi="Calibri" w:cs="Calibri"/>
          <w:b/>
          <w:iCs/>
          <w:sz w:val="34"/>
          <w:szCs w:val="34"/>
          <w:lang w:val="en-GB"/>
        </w:rPr>
      </w:pPr>
      <w:r w:rsidRPr="00084FC0">
        <w:rPr>
          <w:rFonts w:ascii="Calibri" w:hAnsi="Calibri" w:cs="Calibri"/>
          <w:b/>
          <w:iCs/>
          <w:sz w:val="34"/>
          <w:szCs w:val="34"/>
          <w:lang w:val="en-GB"/>
        </w:rPr>
        <w:t>Towards a</w:t>
      </w:r>
      <w:r w:rsidR="00156670">
        <w:rPr>
          <w:rFonts w:ascii="Calibri" w:hAnsi="Calibri" w:cs="Calibri"/>
          <w:b/>
          <w:iCs/>
          <w:sz w:val="34"/>
          <w:szCs w:val="34"/>
          <w:lang w:val="en-GB"/>
        </w:rPr>
        <w:t>n</w:t>
      </w:r>
      <w:r w:rsidRPr="00084FC0">
        <w:rPr>
          <w:rFonts w:ascii="Calibri" w:hAnsi="Calibri" w:cs="Calibri"/>
          <w:b/>
          <w:iCs/>
          <w:sz w:val="34"/>
          <w:szCs w:val="34"/>
          <w:lang w:val="en-GB"/>
        </w:rPr>
        <w:t xml:space="preserve"> European Law on Cooperative, Connected and Automated Mobility </w:t>
      </w:r>
      <w:r w:rsidR="00E1079B">
        <w:rPr>
          <w:rFonts w:ascii="Calibri" w:hAnsi="Calibri" w:cs="Calibri"/>
          <w:b/>
          <w:iCs/>
          <w:sz w:val="34"/>
          <w:szCs w:val="34"/>
          <w:lang w:val="en-GB"/>
        </w:rPr>
        <w:t>(CCAM)</w:t>
      </w:r>
    </w:p>
    <w:p w14:paraId="7FFD7245" w14:textId="77777777" w:rsidR="003C4648" w:rsidRPr="003C4648" w:rsidRDefault="003C4648" w:rsidP="003C4648">
      <w:pPr>
        <w:ind w:firstLine="0"/>
      </w:pPr>
    </w:p>
    <w:p w14:paraId="1792BFC0" w14:textId="576CE91B" w:rsidR="00520F5C" w:rsidRPr="003C4648" w:rsidRDefault="00084FC0" w:rsidP="003C4648">
      <w:pPr>
        <w:ind w:firstLine="0"/>
        <w:rPr>
          <w:position w:val="8"/>
          <w:sz w:val="24"/>
          <w:szCs w:val="24"/>
        </w:rPr>
      </w:pPr>
      <w:r>
        <w:rPr>
          <w:color w:val="7F7F7F"/>
          <w:sz w:val="24"/>
          <w:szCs w:val="24"/>
        </w:rPr>
        <w:t>Eliseo</w:t>
      </w:r>
      <w:r w:rsidR="00520F5C" w:rsidRPr="003C4648">
        <w:rPr>
          <w:color w:val="7F7F7F"/>
          <w:sz w:val="24"/>
          <w:szCs w:val="24"/>
        </w:rPr>
        <w:t xml:space="preserve"> </w:t>
      </w:r>
      <w:r>
        <w:rPr>
          <w:sz w:val="24"/>
          <w:szCs w:val="24"/>
        </w:rPr>
        <w:t>Sierra-Noguero</w:t>
      </w:r>
      <w:r w:rsidR="0076368C" w:rsidRPr="00466050">
        <w:rPr>
          <w:sz w:val="16"/>
          <w:szCs w:val="16"/>
        </w:rPr>
        <w:t xml:space="preserve"> </w:t>
      </w:r>
      <w:r w:rsidR="0076368C">
        <w:rPr>
          <w:i/>
          <w:iCs/>
          <w:sz w:val="24"/>
          <w:szCs w:val="24"/>
          <w:vertAlign w:val="superscript"/>
        </w:rPr>
        <w:t>1</w:t>
      </w:r>
      <w:r w:rsidR="00520F5C" w:rsidRPr="003C4648">
        <w:rPr>
          <w:position w:val="8"/>
          <w:sz w:val="24"/>
          <w:szCs w:val="24"/>
        </w:rPr>
        <w:t xml:space="preserve"> </w:t>
      </w:r>
    </w:p>
    <w:p w14:paraId="4412D0DB" w14:textId="77777777" w:rsidR="003C4648" w:rsidRPr="003C4648" w:rsidRDefault="003C4648" w:rsidP="003C4648">
      <w:pPr>
        <w:rPr>
          <w:sz w:val="20"/>
          <w:szCs w:val="20"/>
        </w:rPr>
      </w:pPr>
    </w:p>
    <w:p w14:paraId="3BDEDADA" w14:textId="0E9ED4BB" w:rsidR="005F42E4" w:rsidRDefault="0076368C" w:rsidP="0076368C">
      <w:pPr>
        <w:pStyle w:val="University"/>
        <w:numPr>
          <w:ilvl w:val="0"/>
          <w:numId w:val="0"/>
        </w:numPr>
      </w:pPr>
      <w:r w:rsidRPr="0076368C">
        <w:rPr>
          <w:vertAlign w:val="superscript"/>
        </w:rPr>
        <w:t>1</w:t>
      </w:r>
      <w:r>
        <w:t xml:space="preserve"> </w:t>
      </w:r>
      <w:r w:rsidR="00084FC0">
        <w:t xml:space="preserve">Autonomous </w:t>
      </w:r>
      <w:r w:rsidR="005F42E4" w:rsidRPr="005F42E4">
        <w:t xml:space="preserve">University </w:t>
      </w:r>
      <w:r w:rsidR="00084FC0">
        <w:t>of Barcelona</w:t>
      </w:r>
      <w:r w:rsidR="005F42E4" w:rsidRPr="005F42E4">
        <w:t xml:space="preserve">, </w:t>
      </w:r>
      <w:r w:rsidR="00084FC0">
        <w:t xml:space="preserve">Campus </w:t>
      </w:r>
      <w:proofErr w:type="spellStart"/>
      <w:r w:rsidR="00084FC0">
        <w:t>Universitari</w:t>
      </w:r>
      <w:proofErr w:type="spellEnd"/>
      <w:r w:rsidR="00084FC0">
        <w:t xml:space="preserve"> s/n, </w:t>
      </w:r>
      <w:proofErr w:type="spellStart"/>
      <w:r w:rsidR="00084FC0">
        <w:t>Cerdanyola</w:t>
      </w:r>
      <w:proofErr w:type="spellEnd"/>
      <w:r w:rsidR="00084FC0">
        <w:t xml:space="preserve"> del </w:t>
      </w:r>
      <w:proofErr w:type="spellStart"/>
      <w:r w:rsidR="00084FC0">
        <w:t>Vallès</w:t>
      </w:r>
      <w:proofErr w:type="spellEnd"/>
      <w:r w:rsidR="00084FC0">
        <w:t xml:space="preserve"> (Barcelona), 08193</w:t>
      </w:r>
      <w:r w:rsidR="005F42E4" w:rsidRPr="005F42E4">
        <w:t>,</w:t>
      </w:r>
      <w:r w:rsidR="00E1079B">
        <w:t xml:space="preserve"> </w:t>
      </w:r>
      <w:r w:rsidR="00084FC0">
        <w:t>Spain</w:t>
      </w:r>
      <w:r w:rsidR="005F42E4" w:rsidRPr="005F42E4">
        <w:t xml:space="preserve"> </w:t>
      </w:r>
    </w:p>
    <w:p w14:paraId="6E83E242" w14:textId="77777777" w:rsidR="005F42E4" w:rsidRPr="005F42E4" w:rsidRDefault="005F42E4" w:rsidP="005F42E4">
      <w:pPr>
        <w:ind w:left="284" w:firstLine="0"/>
      </w:pPr>
    </w:p>
    <w:p w14:paraId="4D9CC697" w14:textId="18256AEE" w:rsidR="005F42E4" w:rsidRPr="005F42E4" w:rsidRDefault="005F42E4" w:rsidP="005F42E4">
      <w:pPr>
        <w:ind w:left="284" w:firstLine="0"/>
      </w:pPr>
      <w:r w:rsidRPr="005F42E4">
        <w:t xml:space="preserve"> </w:t>
      </w:r>
    </w:p>
    <w:p w14:paraId="7C1AE5F2" w14:textId="77777777" w:rsidR="00520F5C" w:rsidRPr="00280109" w:rsidRDefault="00520F5C" w:rsidP="00785680">
      <w:pPr>
        <w:pStyle w:val="AbstractTitle"/>
      </w:pPr>
      <w:r w:rsidRPr="003C4648">
        <w:t>Abstract</w:t>
      </w:r>
      <w:r w:rsidRPr="00280109">
        <w:t xml:space="preserve"> </w:t>
      </w:r>
    </w:p>
    <w:p w14:paraId="0E4EB1AA" w14:textId="396270A8" w:rsidR="003C4648" w:rsidRDefault="00084FC0" w:rsidP="00785680">
      <w:pPr>
        <w:pStyle w:val="AbstractText"/>
      </w:pPr>
      <w:r w:rsidRPr="00084FC0">
        <w:t>The paper analyzes the legal framework on cooperative, connected and automated vehicles on the roads of the European Union. In particular, the Intelligent Transport Systems (ITS) services of Directive 2010/40/UE and its reform proposal for the adoption of a future Delegated Regulation on Cooperative Intelligent Transport Systems (C-ITS). European policy deals entirely with the cooperation, connection and automation of vehicles</w:t>
      </w:r>
      <w:r>
        <w:t>. This</w:t>
      </w:r>
      <w:r w:rsidRPr="00084FC0">
        <w:t xml:space="preserve"> is </w:t>
      </w:r>
      <w:r>
        <w:t xml:space="preserve">seen as </w:t>
      </w:r>
      <w:r w:rsidRPr="00084FC0">
        <w:t>the most appropriate to achieve its objectives. In parallel, the automotive industry and the national authorities of the Member States are certifying automated vehicles that already reach level 3 of the Classification System of the Society of Automotive Engineers.</w:t>
      </w:r>
    </w:p>
    <w:p w14:paraId="0B84B14A" w14:textId="77777777" w:rsidR="00084FC0" w:rsidRPr="00280109" w:rsidRDefault="00084FC0" w:rsidP="00785680">
      <w:pPr>
        <w:pStyle w:val="AbstractText"/>
      </w:pPr>
    </w:p>
    <w:p w14:paraId="18EB8315" w14:textId="77777777" w:rsidR="00084FC0" w:rsidRDefault="00520F5C" w:rsidP="00084FC0">
      <w:pPr>
        <w:pStyle w:val="AbstractTitle"/>
      </w:pPr>
      <w:r>
        <w:t>Keywords</w:t>
      </w:r>
    </w:p>
    <w:p w14:paraId="1E107521" w14:textId="77777777" w:rsidR="00084FC0" w:rsidRPr="00084FC0" w:rsidRDefault="00084FC0" w:rsidP="00084FC0">
      <w:pPr>
        <w:ind w:left="1134" w:firstLine="0"/>
        <w:rPr>
          <w:sz w:val="21"/>
          <w:szCs w:val="21"/>
          <w:lang w:val="en-GB"/>
        </w:rPr>
      </w:pPr>
      <w:r w:rsidRPr="00084FC0">
        <w:rPr>
          <w:sz w:val="21"/>
          <w:szCs w:val="21"/>
          <w:lang w:val="en-GB"/>
        </w:rPr>
        <w:t xml:space="preserve">Directive 2010/40/EU, </w:t>
      </w:r>
      <w:r w:rsidRPr="00084FC0">
        <w:rPr>
          <w:iCs/>
          <w:sz w:val="21"/>
          <w:szCs w:val="21"/>
          <w:lang w:val="en-GB"/>
        </w:rPr>
        <w:t>Cooperative Intelligent Transport Systems</w:t>
      </w:r>
      <w:r w:rsidRPr="00084FC0">
        <w:rPr>
          <w:i/>
          <w:sz w:val="21"/>
          <w:szCs w:val="21"/>
          <w:lang w:val="en-GB"/>
        </w:rPr>
        <w:t xml:space="preserve"> </w:t>
      </w:r>
      <w:r w:rsidRPr="00084FC0">
        <w:rPr>
          <w:sz w:val="21"/>
          <w:szCs w:val="21"/>
          <w:lang w:val="en-GB"/>
        </w:rPr>
        <w:t>(C-ITS), Vehicles, Road Transport, Technology, 5G.</w:t>
      </w:r>
    </w:p>
    <w:p w14:paraId="399E58CB" w14:textId="60A444AD" w:rsidR="00520F5C" w:rsidRDefault="00520F5C" w:rsidP="00084FC0">
      <w:pPr>
        <w:pStyle w:val="AbstractTitle"/>
      </w:pPr>
      <w:r>
        <w:t xml:space="preserve"> </w:t>
      </w:r>
      <w:r w:rsidR="00280109" w:rsidRPr="00280109">
        <w:t xml:space="preserve"> </w:t>
      </w:r>
      <w:r w:rsidR="00280109" w:rsidRPr="00E34537">
        <w:rPr>
          <w:rStyle w:val="Refernciadenotaapeudepgina"/>
          <w:color w:val="FFFFFF" w:themeColor="background1"/>
          <w:vertAlign w:val="baseline"/>
        </w:rPr>
        <w:footnoteReference w:id="1"/>
      </w:r>
      <w:r>
        <w:t xml:space="preserve"> </w:t>
      </w:r>
    </w:p>
    <w:p w14:paraId="0AC13ECA" w14:textId="4D66A59C" w:rsidR="00520F5C" w:rsidRDefault="00520F5C" w:rsidP="00785680">
      <w:pPr>
        <w:pStyle w:val="Ttol1"/>
      </w:pPr>
      <w:r w:rsidRPr="003C4648">
        <w:t>Introduction</w:t>
      </w:r>
    </w:p>
    <w:p w14:paraId="6A080CA9" w14:textId="38E84388" w:rsidR="00897704" w:rsidRPr="00695A55" w:rsidRDefault="00D25B6B" w:rsidP="00D25B6B">
      <w:pPr>
        <w:rPr>
          <w:lang w:val="en-GB"/>
        </w:rPr>
      </w:pPr>
      <w:r w:rsidRPr="00695A55">
        <w:rPr>
          <w:lang w:val="en-GB"/>
        </w:rPr>
        <w:t>The mobile phone is the device that citizens take with them on road journeys. It allows them to ascertain</w:t>
      </w:r>
      <w:r>
        <w:rPr>
          <w:lang w:val="en-GB"/>
        </w:rPr>
        <w:t xml:space="preserve"> </w:t>
      </w:r>
      <w:r w:rsidR="00897704" w:rsidRPr="00695A55">
        <w:rPr>
          <w:lang w:val="en-GB"/>
        </w:rPr>
        <w:t>the best route and the traffic conditions and also provides warnings of incidents or accidents. Gradually, in addition to mobile phones, "connected car" technology is being developed and implemented</w:t>
      </w:r>
      <w:r w:rsidR="00897704" w:rsidRPr="00695A55">
        <w:rPr>
          <w:rStyle w:val="Refernciadenotaapeudepgina"/>
          <w:lang w:val="en-GB"/>
        </w:rPr>
        <w:footnoteReference w:id="2"/>
      </w:r>
      <w:r w:rsidR="00897704" w:rsidRPr="00695A55">
        <w:rPr>
          <w:lang w:val="en-GB"/>
        </w:rPr>
        <w:t xml:space="preserve">. Cars and other road vehicles are being fitted as standard with elements that facilitate their connectivity, and are equipped, either as standard or optionally, with numerous sensors that turn them into another type of mobile device. These include </w:t>
      </w:r>
      <w:r w:rsidR="00897704" w:rsidRPr="00695A55">
        <w:rPr>
          <w:iCs/>
          <w:lang w:val="en-GB"/>
        </w:rPr>
        <w:t>On Board Diagnostics</w:t>
      </w:r>
      <w:r w:rsidR="00897704" w:rsidRPr="00695A55">
        <w:rPr>
          <w:i/>
          <w:lang w:val="en-GB"/>
        </w:rPr>
        <w:t xml:space="preserve"> </w:t>
      </w:r>
      <w:r w:rsidR="00897704" w:rsidRPr="00695A55">
        <w:rPr>
          <w:lang w:val="en-GB"/>
        </w:rPr>
        <w:t xml:space="preserve">(OBD), which is used for fault detection but offers a basic level of connectivity. Another sensor is the </w:t>
      </w:r>
      <w:proofErr w:type="spellStart"/>
      <w:r w:rsidR="00897704" w:rsidRPr="00695A55">
        <w:rPr>
          <w:iCs/>
          <w:lang w:val="en-GB"/>
        </w:rPr>
        <w:t>eCall</w:t>
      </w:r>
      <w:proofErr w:type="spellEnd"/>
      <w:r w:rsidR="00897704" w:rsidRPr="00695A55">
        <w:rPr>
          <w:i/>
          <w:lang w:val="en-GB"/>
        </w:rPr>
        <w:t xml:space="preserve"> </w:t>
      </w:r>
      <w:r w:rsidR="00897704" w:rsidRPr="00695A55">
        <w:rPr>
          <w:lang w:val="en-GB"/>
        </w:rPr>
        <w:t xml:space="preserve">or automatic emergency call system, used in the event of an accident or with a direct call from the driver. There are also geolocation systems installed in vehicles, which allow their position and speed to be known at all times. </w:t>
      </w:r>
    </w:p>
    <w:p w14:paraId="51DA9093" w14:textId="77777777" w:rsidR="00897704" w:rsidRPr="00695A55" w:rsidRDefault="00897704" w:rsidP="00D25B6B">
      <w:pPr>
        <w:rPr>
          <w:lang w:val="en-GB"/>
        </w:rPr>
      </w:pPr>
      <w:r w:rsidRPr="00695A55">
        <w:rPr>
          <w:lang w:val="en-GB"/>
        </w:rPr>
        <w:t>At the same time, while road vehicle connectivity systems are being implemented, the European Union is developing a policy called Cooperative, Connected and Automated Mobility, known by its acronym CCAM</w:t>
      </w:r>
      <w:r w:rsidRPr="00695A55">
        <w:rPr>
          <w:rStyle w:val="Refernciadenotaapeudepgina"/>
          <w:lang w:val="en-GB"/>
        </w:rPr>
        <w:footnoteReference w:id="3"/>
      </w:r>
      <w:r w:rsidRPr="00695A55">
        <w:rPr>
          <w:lang w:val="en-GB"/>
        </w:rPr>
        <w:t xml:space="preserve">. Its content includes the adoption of Community standards, the preparation of reports and communications by European institutions, mainly the European Commission, the creation of platforms to bring together experts and public and private entities to analyse the phenomenon, as well as important economic contributions through the financing of European research projects. The EU Member States, the automotive and technology industries, as well as numerous experts and researchers are also contributing towards making the CCAM a policy of great current interest and impact. </w:t>
      </w:r>
    </w:p>
    <w:p w14:paraId="48E947CB" w14:textId="77777777" w:rsidR="00897704" w:rsidRPr="00695A55" w:rsidRDefault="00897704" w:rsidP="00D25B6B">
      <w:pPr>
        <w:rPr>
          <w:bCs/>
          <w:lang w:val="en-GB"/>
        </w:rPr>
      </w:pPr>
      <w:r w:rsidRPr="00695A55">
        <w:rPr>
          <w:bCs/>
          <w:lang w:val="en-GB"/>
        </w:rPr>
        <w:lastRenderedPageBreak/>
        <w:t>The European Commission considers the most promising hybrid connectivity package for the future to be the combination of ETSI’s ITS-5G and mobile phone networks. Indeed, unconnected mobility is in decline, as car manufacturers, such as BMW, already connect their vehicles to 4G networks. Mobility can benefit from a “connected” environment</w:t>
      </w:r>
      <w:r w:rsidRPr="00695A55">
        <w:rPr>
          <w:rStyle w:val="Refernciadenotaapeudepgina"/>
          <w:bCs/>
          <w:lang w:val="en-GB"/>
        </w:rPr>
        <w:footnoteReference w:id="4"/>
      </w:r>
      <w:r w:rsidRPr="00695A55">
        <w:rPr>
          <w:bCs/>
          <w:lang w:val="en-GB"/>
        </w:rPr>
        <w:t>.</w:t>
      </w:r>
    </w:p>
    <w:p w14:paraId="38742245" w14:textId="77777777" w:rsidR="00897704" w:rsidRPr="00695A55" w:rsidRDefault="00897704" w:rsidP="00D25B6B">
      <w:pPr>
        <w:rPr>
          <w:bCs/>
          <w:lang w:val="en-GB"/>
        </w:rPr>
      </w:pPr>
      <w:r w:rsidRPr="00695A55">
        <w:rPr>
          <w:lang w:val="en-GB"/>
        </w:rPr>
        <w:t>T</w:t>
      </w:r>
      <w:r w:rsidRPr="00695A55">
        <w:rPr>
          <w:bCs/>
          <w:iCs/>
          <w:lang w:val="en-GB"/>
        </w:rPr>
        <w:t>he Communication from the Commission to the European Parliament, the Council, the European Economic and Social Committee and the Committee of the Regions. 5G for Europe: An Action Plan, of 14 September 2016</w:t>
      </w:r>
      <w:r w:rsidRPr="00695A55">
        <w:rPr>
          <w:vertAlign w:val="superscript"/>
          <w:lang w:val="en-GB"/>
        </w:rPr>
        <w:footnoteReference w:id="5"/>
      </w:r>
      <w:r w:rsidRPr="00695A55">
        <w:rPr>
          <w:bCs/>
          <w:iCs/>
          <w:lang w:val="en-GB"/>
        </w:rPr>
        <w:t xml:space="preserve">, notes that although </w:t>
      </w:r>
      <w:r w:rsidRPr="00695A55">
        <w:rPr>
          <w:lang w:val="en-GB"/>
        </w:rPr>
        <w:t>5G is not yet fully standardised, its main technological features and components are already being developed and tested. It has been pointed out that there are some barriers to 5G deployment, which are mainly attributed to the fact that consumers are already satisfied</w:t>
      </w:r>
      <w:r w:rsidRPr="00695A55">
        <w:rPr>
          <w:bCs/>
          <w:lang w:val="en-GB"/>
        </w:rPr>
        <w:t>, the need for cooperation between multiple stakeholders, such as technology operators and policy makers, and the high costs of infrastructure investment</w:t>
      </w:r>
      <w:r w:rsidRPr="00695A55">
        <w:rPr>
          <w:vertAlign w:val="superscript"/>
          <w:lang w:val="en-GB"/>
        </w:rPr>
        <w:footnoteReference w:id="6"/>
      </w:r>
      <w:r w:rsidRPr="00695A55">
        <w:rPr>
          <w:bCs/>
          <w:lang w:val="en-GB"/>
        </w:rPr>
        <w:t xml:space="preserve"> . </w:t>
      </w:r>
    </w:p>
    <w:p w14:paraId="5A537DA4" w14:textId="77777777" w:rsidR="00897704" w:rsidRPr="00695A55" w:rsidRDefault="00897704" w:rsidP="00D25B6B">
      <w:pPr>
        <w:rPr>
          <w:iCs/>
          <w:lang w:val="en-GB"/>
        </w:rPr>
      </w:pPr>
      <w:r w:rsidRPr="00695A55">
        <w:rPr>
          <w:iCs/>
          <w:lang w:val="en-GB"/>
        </w:rPr>
        <w:t xml:space="preserve">The European Commission believes that human error is by far the biggest cause of accidents in the transport sector, and that digital technologies can help to reduce the accident rate. Furthermore, citing other EU strategies, the European Commission adds that cooperative, connected and automated vehicles can reduce energy consumption and emissions from transport. Moreover, this technology can improve the competitiveness of European industry and foster new business models and employment in the European Union. </w:t>
      </w:r>
      <w:r w:rsidRPr="00695A55">
        <w:rPr>
          <w:lang w:val="en-GB"/>
        </w:rPr>
        <w:t>As well as this, it should lead to significant improvements in road safety, traffic efficiency and driving comfort, helping drivers to make the right decisions and to better adapt to conditions on the road</w:t>
      </w:r>
      <w:r w:rsidRPr="00695A55">
        <w:rPr>
          <w:rStyle w:val="Refernciadenotaapeudepgina"/>
          <w:lang w:val="en-GB"/>
        </w:rPr>
        <w:footnoteReference w:id="7"/>
      </w:r>
      <w:r w:rsidRPr="00695A55">
        <w:rPr>
          <w:lang w:val="en-GB"/>
        </w:rPr>
        <w:t>.</w:t>
      </w:r>
    </w:p>
    <w:p w14:paraId="5007EED8" w14:textId="77777777" w:rsidR="00897704" w:rsidRPr="00695A55" w:rsidRDefault="00897704" w:rsidP="00D25B6B">
      <w:pPr>
        <w:rPr>
          <w:iCs/>
          <w:shd w:val="clear" w:color="auto" w:fill="FFFFFF"/>
          <w:lang w:val="en-GB"/>
        </w:rPr>
      </w:pPr>
      <w:r w:rsidRPr="00695A55">
        <w:rPr>
          <w:lang w:val="en-GB"/>
        </w:rPr>
        <w:t xml:space="preserve">From a technological point of view, the European Union's CCAM strategy has one central element: what are known as Cooperative </w:t>
      </w:r>
      <w:r w:rsidRPr="00695A55">
        <w:rPr>
          <w:iCs/>
          <w:lang w:val="en-GB"/>
        </w:rPr>
        <w:t>Intelligent Transport Systems</w:t>
      </w:r>
      <w:r w:rsidRPr="00695A55">
        <w:rPr>
          <w:i/>
          <w:lang w:val="en-GB"/>
        </w:rPr>
        <w:t xml:space="preserve"> </w:t>
      </w:r>
      <w:r w:rsidRPr="00695A55">
        <w:rPr>
          <w:lang w:val="en-GB"/>
        </w:rPr>
        <w:t>(C-ITS). Vehicles are to be equipped with on-board technology that enables them to receive detailed information on road traffic and safety conditions throughout Europe</w:t>
      </w:r>
      <w:r w:rsidRPr="00695A55">
        <w:rPr>
          <w:rStyle w:val="Refernciadenotaapeudepgina"/>
          <w:lang w:val="en-GB"/>
        </w:rPr>
        <w:footnoteReference w:id="8"/>
      </w:r>
      <w:r w:rsidRPr="00695A55">
        <w:rPr>
          <w:lang w:val="en-GB"/>
        </w:rPr>
        <w:t xml:space="preserve">. The idea is that the vehicle is not only a "receiver", but also a "sender" of information, </w:t>
      </w:r>
      <w:r w:rsidRPr="00695A55">
        <w:rPr>
          <w:iCs/>
          <w:shd w:val="clear" w:color="auto" w:fill="FFFFFF"/>
          <w:lang w:val="en-GB"/>
        </w:rPr>
        <w:t xml:space="preserve">and to consider each vehicle as a device (like a mobile phone) which will also interact with other vehicles. To use the current terminology of cooperation, this phenomenon is known as </w:t>
      </w:r>
      <w:r w:rsidRPr="00695A55">
        <w:rPr>
          <w:shd w:val="clear" w:color="auto" w:fill="FFFFFF"/>
          <w:lang w:val="en-GB"/>
        </w:rPr>
        <w:t>vehicle-to-vehicle</w:t>
      </w:r>
      <w:r w:rsidRPr="00695A55">
        <w:rPr>
          <w:i/>
          <w:iCs/>
          <w:shd w:val="clear" w:color="auto" w:fill="FFFFFF"/>
          <w:lang w:val="en-GB"/>
        </w:rPr>
        <w:t xml:space="preserve"> </w:t>
      </w:r>
      <w:r w:rsidRPr="00695A55">
        <w:rPr>
          <w:iCs/>
          <w:shd w:val="clear" w:color="auto" w:fill="FFFFFF"/>
          <w:lang w:val="en-GB"/>
        </w:rPr>
        <w:t xml:space="preserve">(V2V) and </w:t>
      </w:r>
      <w:r w:rsidRPr="00695A55">
        <w:rPr>
          <w:shd w:val="clear" w:color="auto" w:fill="FFFFFF"/>
          <w:lang w:val="en-GB"/>
        </w:rPr>
        <w:t>vehicle-to-road-infrastructure</w:t>
      </w:r>
      <w:r w:rsidRPr="00695A55">
        <w:rPr>
          <w:i/>
          <w:iCs/>
          <w:shd w:val="clear" w:color="auto" w:fill="FFFFFF"/>
          <w:lang w:val="en-GB"/>
        </w:rPr>
        <w:t xml:space="preserve"> </w:t>
      </w:r>
      <w:r w:rsidRPr="00695A55">
        <w:rPr>
          <w:iCs/>
          <w:shd w:val="clear" w:color="auto" w:fill="FFFFFF"/>
          <w:lang w:val="en-GB"/>
        </w:rPr>
        <w:t>(V2I)</w:t>
      </w:r>
      <w:r w:rsidRPr="00695A55">
        <w:rPr>
          <w:rStyle w:val="Refernciadenotaapeudepgina"/>
          <w:iCs/>
          <w:shd w:val="clear" w:color="auto" w:fill="FFFFFF"/>
          <w:lang w:val="en-GB"/>
        </w:rPr>
        <w:footnoteReference w:id="9"/>
      </w:r>
      <w:r w:rsidRPr="00695A55">
        <w:rPr>
          <w:iCs/>
          <w:shd w:val="clear" w:color="auto" w:fill="FFFFFF"/>
          <w:lang w:val="en-GB"/>
        </w:rPr>
        <w:t>. Vehicles can also communicate with pedestrians (V2P) or with external cloud service providers (V2C). Ultimately, the aim is for the vehicle to have an unlimited exchange of information (V2X)</w:t>
      </w:r>
      <w:r w:rsidRPr="00695A55">
        <w:rPr>
          <w:rStyle w:val="Refernciadenotaapeudepgina"/>
          <w:iCs/>
          <w:shd w:val="clear" w:color="auto" w:fill="FFFFFF"/>
          <w:lang w:val="en-GB"/>
        </w:rPr>
        <w:footnoteReference w:id="10"/>
      </w:r>
      <w:r w:rsidRPr="00695A55">
        <w:rPr>
          <w:iCs/>
          <w:shd w:val="clear" w:color="auto" w:fill="FFFFFF"/>
          <w:lang w:val="en-GB"/>
        </w:rPr>
        <w:t>.</w:t>
      </w:r>
    </w:p>
    <w:p w14:paraId="5B62AE62" w14:textId="4A9A5717" w:rsidR="00897704" w:rsidRPr="00695A55" w:rsidRDefault="00897704" w:rsidP="00D25B6B">
      <w:pPr>
        <w:rPr>
          <w:lang w:val="en-GB"/>
        </w:rPr>
      </w:pPr>
      <w:r w:rsidRPr="00695A55">
        <w:rPr>
          <w:lang w:val="en-GB"/>
        </w:rPr>
        <w:t>Thanks to C</w:t>
      </w:r>
      <w:r w:rsidR="00D25B6B">
        <w:rPr>
          <w:lang w:val="en-GB"/>
        </w:rPr>
        <w:t>-ITS</w:t>
      </w:r>
      <w:r w:rsidRPr="00695A55">
        <w:rPr>
          <w:lang w:val="en-GB"/>
        </w:rPr>
        <w:t xml:space="preserve"> technology, drivers and traffic managers will be able to share and use previously unavailable information and coordinate their actions</w:t>
      </w:r>
      <w:r w:rsidRPr="00695A55">
        <w:rPr>
          <w:rStyle w:val="Refernciadenotaapeudepgina"/>
          <w:lang w:val="en-GB"/>
        </w:rPr>
        <w:footnoteReference w:id="11"/>
      </w:r>
      <w:r w:rsidRPr="00695A55">
        <w:rPr>
          <w:lang w:val="en-GB"/>
        </w:rPr>
        <w:t>. The European Commission expects that this cooperation, in the sense of interaction between vehicles and with the road infrastructure, will be made possible thanks to the digital connectivity of the vehicle</w:t>
      </w:r>
      <w:r w:rsidRPr="00695A55">
        <w:rPr>
          <w:rStyle w:val="Refernciadenotaapeudepgina"/>
          <w:lang w:val="en-GB"/>
        </w:rPr>
        <w:footnoteReference w:id="12"/>
      </w:r>
      <w:r w:rsidRPr="00695A55">
        <w:rPr>
          <w:lang w:val="en-GB"/>
        </w:rPr>
        <w:t>. Finally, sending and receiving messages from each vehicle and infrastructure and exchanging data between the various participants in the transport system will enable the various stakeholders in the European transport system to be connected in real time</w:t>
      </w:r>
      <w:r w:rsidRPr="00695A55">
        <w:rPr>
          <w:rStyle w:val="Refernciadenotaapeudepgina"/>
          <w:lang w:val="en-GB"/>
        </w:rPr>
        <w:footnoteReference w:id="13"/>
      </w:r>
      <w:r w:rsidRPr="00695A55">
        <w:rPr>
          <w:lang w:val="en-GB"/>
        </w:rPr>
        <w:t xml:space="preserve">. </w:t>
      </w:r>
    </w:p>
    <w:p w14:paraId="73C8BE3D" w14:textId="77777777" w:rsidR="00897704" w:rsidRPr="00695A55" w:rsidRDefault="00897704" w:rsidP="00D25B6B">
      <w:pPr>
        <w:rPr>
          <w:lang w:val="en-GB"/>
        </w:rPr>
      </w:pPr>
      <w:r w:rsidRPr="00695A55">
        <w:rPr>
          <w:lang w:val="en-GB"/>
        </w:rPr>
        <w:lastRenderedPageBreak/>
        <w:t>Special mention should be made of EU funding of projects for cooperative, connected and automated vehicles. Between 2014 and 2016 alone, through the Horizon 2020 Programme and the Connecting Europe Facility, the European Union co-funded more than €130 million for cooperative, connected and automated vehicles</w:t>
      </w:r>
      <w:r w:rsidRPr="00695A55">
        <w:rPr>
          <w:rStyle w:val="Refernciadenotaapeudepgina"/>
          <w:lang w:val="en-GB"/>
        </w:rPr>
        <w:footnoteReference w:id="14"/>
      </w:r>
      <w:r w:rsidRPr="00695A55">
        <w:rPr>
          <w:lang w:val="en-GB"/>
        </w:rPr>
        <w:t>. European investment has continued with other projects under the Horizon 2020 Programme</w:t>
      </w:r>
      <w:r w:rsidRPr="00695A55">
        <w:rPr>
          <w:vertAlign w:val="superscript"/>
          <w:lang w:val="en-GB"/>
        </w:rPr>
        <w:footnoteReference w:id="15"/>
      </w:r>
      <w:r w:rsidRPr="00695A55">
        <w:rPr>
          <w:lang w:val="en-GB"/>
        </w:rPr>
        <w:t xml:space="preserve">, where numerous projects linked to this area can be found, all related to research and technological innovation. </w:t>
      </w:r>
    </w:p>
    <w:p w14:paraId="773725CA" w14:textId="127397E2" w:rsidR="00897704" w:rsidRDefault="00897704" w:rsidP="00D25B6B">
      <w:pPr>
        <w:rPr>
          <w:lang w:val="en-GB"/>
        </w:rPr>
      </w:pPr>
      <w:r w:rsidRPr="00695A55">
        <w:rPr>
          <w:lang w:val="en-GB"/>
        </w:rPr>
        <w:t>Among the projects funded by the European Union, there is a particular interest in 5th-Generation, or 5G, technology as a facilitator of connected and automated mobility in cross-border corridors</w:t>
      </w:r>
      <w:r w:rsidRPr="00695A55">
        <w:rPr>
          <w:vertAlign w:val="superscript"/>
          <w:lang w:val="en-GB"/>
        </w:rPr>
        <w:footnoteReference w:id="16"/>
      </w:r>
      <w:r w:rsidRPr="00695A55">
        <w:rPr>
          <w:lang w:val="en-GB"/>
        </w:rPr>
        <w:t xml:space="preserve">. These are pilot projects to verify </w:t>
      </w:r>
      <w:r w:rsidRPr="00695A55">
        <w:rPr>
          <w:iCs/>
          <w:lang w:val="en-GB"/>
        </w:rPr>
        <w:t>in situ</w:t>
      </w:r>
      <w:r w:rsidRPr="00695A55">
        <w:rPr>
          <w:lang w:val="en-GB"/>
        </w:rPr>
        <w:t xml:space="preserve"> how intelligent transport services (ITS) work in real conditions, following the principles of harmonisation, standardisation and interoperability between the various countries</w:t>
      </w:r>
      <w:r w:rsidRPr="00695A55">
        <w:rPr>
          <w:vertAlign w:val="superscript"/>
          <w:lang w:val="en-GB"/>
        </w:rPr>
        <w:footnoteReference w:id="17"/>
      </w:r>
      <w:r w:rsidRPr="00695A55">
        <w:rPr>
          <w:lang w:val="en-GB"/>
        </w:rPr>
        <w:t>. For example, as part of the Horizon 2020 Programme, the European Union has funded several projects to test 5G technology in connected and automated mobility corridors. These tests cover more than 1000 kilometres, including four cross-border corridors: Metz-</w:t>
      </w:r>
      <w:proofErr w:type="spellStart"/>
      <w:r w:rsidRPr="00695A55">
        <w:rPr>
          <w:lang w:val="en-GB"/>
        </w:rPr>
        <w:t>Merzig</w:t>
      </w:r>
      <w:proofErr w:type="spellEnd"/>
      <w:r w:rsidRPr="00695A55">
        <w:rPr>
          <w:lang w:val="en-GB"/>
        </w:rPr>
        <w:t xml:space="preserve">-Luxembourg, Munich-Bologna via the Brenner Pass, Porto-Vito and </w:t>
      </w:r>
      <w:proofErr w:type="spellStart"/>
      <w:r w:rsidRPr="00695A55">
        <w:rPr>
          <w:lang w:val="en-GB"/>
        </w:rPr>
        <w:t>Evora</w:t>
      </w:r>
      <w:proofErr w:type="spellEnd"/>
      <w:r w:rsidRPr="00695A55">
        <w:rPr>
          <w:lang w:val="en-GB"/>
        </w:rPr>
        <w:t>-Merida, both between Spain and Portugal, as shown in the picture below:</w:t>
      </w:r>
    </w:p>
    <w:p w14:paraId="779683A7" w14:textId="0CD8C103" w:rsidR="00897704" w:rsidRDefault="00897704" w:rsidP="00897704">
      <w:pPr>
        <w:ind w:firstLine="0"/>
        <w:rPr>
          <w:lang w:val="en-GB"/>
        </w:rPr>
      </w:pPr>
    </w:p>
    <w:p w14:paraId="727153AC" w14:textId="443FBD81" w:rsidR="00897704" w:rsidRDefault="00897704" w:rsidP="00897704">
      <w:pPr>
        <w:ind w:firstLine="0"/>
        <w:rPr>
          <w:lang w:val="en-GB"/>
        </w:rPr>
      </w:pPr>
      <w:r>
        <w:rPr>
          <w:noProof/>
          <w:lang w:val="es-ES" w:eastAsia="es-ES"/>
        </w:rPr>
        <w:lastRenderedPageBreak/>
        <w:drawing>
          <wp:inline distT="0" distB="0" distL="0" distR="0" wp14:anchorId="4EF1668E" wp14:editId="12BEFEC0">
            <wp:extent cx="5730875" cy="5340350"/>
            <wp:effectExtent l="0" t="0" r="3175" b="0"/>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875" cy="5340350"/>
                    </a:xfrm>
                    <a:prstGeom prst="rect">
                      <a:avLst/>
                    </a:prstGeom>
                    <a:noFill/>
                  </pic:spPr>
                </pic:pic>
              </a:graphicData>
            </a:graphic>
          </wp:inline>
        </w:drawing>
      </w:r>
    </w:p>
    <w:p w14:paraId="5C3C778D" w14:textId="16C338B0" w:rsidR="00897704" w:rsidRDefault="00897704" w:rsidP="00897704">
      <w:pPr>
        <w:ind w:firstLine="0"/>
        <w:rPr>
          <w:lang w:val="en-GB"/>
        </w:rPr>
      </w:pPr>
    </w:p>
    <w:p w14:paraId="0D94499D" w14:textId="64EF7B99" w:rsidR="00897704" w:rsidRDefault="00897704" w:rsidP="00897704">
      <w:pPr>
        <w:pStyle w:val="Figurecaption"/>
        <w:keepNext/>
      </w:pPr>
      <w:r w:rsidRPr="00DD4755">
        <w:rPr>
          <w:b/>
          <w:bCs/>
        </w:rPr>
        <w:t xml:space="preserve">Figure </w:t>
      </w:r>
      <w:r w:rsidRPr="00DD4755">
        <w:rPr>
          <w:b/>
          <w:bCs/>
        </w:rPr>
        <w:fldChar w:fldCharType="begin"/>
      </w:r>
      <w:r w:rsidRPr="00DD4755">
        <w:rPr>
          <w:b/>
          <w:bCs/>
        </w:rPr>
        <w:instrText xml:space="preserve"> SEQ Figure \* ARABIC </w:instrText>
      </w:r>
      <w:r w:rsidRPr="00DD4755">
        <w:rPr>
          <w:b/>
          <w:bCs/>
        </w:rPr>
        <w:fldChar w:fldCharType="separate"/>
      </w:r>
      <w:r>
        <w:rPr>
          <w:b/>
          <w:bCs/>
          <w:noProof/>
        </w:rPr>
        <w:t>1</w:t>
      </w:r>
      <w:r w:rsidRPr="00DD4755">
        <w:rPr>
          <w:b/>
          <w:bCs/>
        </w:rPr>
        <w:fldChar w:fldCharType="end"/>
      </w:r>
      <w:r w:rsidRPr="00734587">
        <w:t xml:space="preserve">: </w:t>
      </w:r>
      <w:r>
        <w:t>5G Cross-Border Corridors for Connected and Automated Mobility in Europe</w:t>
      </w:r>
    </w:p>
    <w:p w14:paraId="5A6270F5" w14:textId="526582B5" w:rsidR="00897704" w:rsidRDefault="00897704" w:rsidP="00897704">
      <w:pPr>
        <w:ind w:firstLine="0"/>
        <w:rPr>
          <w:lang w:val="en-GB"/>
        </w:rPr>
      </w:pPr>
    </w:p>
    <w:p w14:paraId="4AE16297" w14:textId="77777777" w:rsidR="00897704" w:rsidRPr="00897704" w:rsidRDefault="00897704" w:rsidP="00D25B6B">
      <w:pPr>
        <w:rPr>
          <w:bCs/>
          <w:lang w:val="en-GB"/>
        </w:rPr>
      </w:pPr>
      <w:r w:rsidRPr="00897704">
        <w:rPr>
          <w:bCs/>
          <w:lang w:val="en-GB"/>
        </w:rPr>
        <w:t>With the end of the Horizon 2020 Programme, the European Commission has launched new funding opportunities for cooperative, connected and automated mobility (CCAM) projects through the current Horizon Europe Research &amp; Innovation Programme</w:t>
      </w:r>
      <w:r w:rsidRPr="00897704">
        <w:rPr>
          <w:bCs/>
          <w:vertAlign w:val="superscript"/>
          <w:lang w:val="en-GB"/>
        </w:rPr>
        <w:footnoteReference w:id="18"/>
      </w:r>
      <w:r w:rsidRPr="00897704">
        <w:rPr>
          <w:bCs/>
          <w:lang w:val="en-GB"/>
        </w:rPr>
        <w:t xml:space="preserve">. It can be seen how EU policy focuses on cooperative technologies in road transport; indeed, the acronym itself has changed from CAM to CCAM. </w:t>
      </w:r>
    </w:p>
    <w:p w14:paraId="4390136C" w14:textId="77777777" w:rsidR="00897704" w:rsidRPr="00897704" w:rsidRDefault="00897704" w:rsidP="00D25B6B">
      <w:pPr>
        <w:rPr>
          <w:bCs/>
          <w:iCs/>
          <w:lang w:val="en-GB"/>
        </w:rPr>
      </w:pPr>
      <w:r w:rsidRPr="00897704">
        <w:rPr>
          <w:bCs/>
          <w:lang w:val="en-GB"/>
        </w:rPr>
        <w:t xml:space="preserve">Finally, special mention should be made of </w:t>
      </w:r>
      <w:r w:rsidRPr="00897704">
        <w:rPr>
          <w:bCs/>
          <w:iCs/>
          <w:lang w:val="en-GB"/>
        </w:rPr>
        <w:t xml:space="preserve">the </w:t>
      </w:r>
      <w:r w:rsidRPr="00897704">
        <w:rPr>
          <w:bCs/>
          <w:lang w:val="en-GB"/>
        </w:rPr>
        <w:t>C-ITS Platform</w:t>
      </w:r>
      <w:r w:rsidRPr="00897704">
        <w:rPr>
          <w:bCs/>
          <w:i/>
          <w:iCs/>
          <w:lang w:val="en-GB"/>
        </w:rPr>
        <w:t xml:space="preserve"> </w:t>
      </w:r>
      <w:r w:rsidRPr="00897704">
        <w:rPr>
          <w:bCs/>
          <w:iCs/>
          <w:lang w:val="en-GB"/>
        </w:rPr>
        <w:t>for the deployment of C-ITS in the European Union. It was launched in November 2014 as a Commission expert group, as an operational tool for dialogue, exchange of technical knowledge and cooperation between the Commission, public sector stakeholders from Member States, local and regional authorities and private sector stakeholders such as car manufacturers, equipment manufacturers, road and telecom operators and service providers</w:t>
      </w:r>
      <w:r w:rsidRPr="00897704">
        <w:rPr>
          <w:bCs/>
          <w:iCs/>
          <w:vertAlign w:val="superscript"/>
          <w:lang w:val="en-GB"/>
        </w:rPr>
        <w:footnoteReference w:id="19"/>
      </w:r>
      <w:r w:rsidRPr="00897704">
        <w:rPr>
          <w:bCs/>
          <w:iCs/>
          <w:lang w:val="en-GB"/>
        </w:rPr>
        <w:t xml:space="preserve">. </w:t>
      </w:r>
    </w:p>
    <w:p w14:paraId="0945E48A" w14:textId="4B4389E0" w:rsidR="00897704" w:rsidRDefault="00897704" w:rsidP="00D25B6B">
      <w:pPr>
        <w:rPr>
          <w:bCs/>
          <w:lang w:val="en-GB"/>
        </w:rPr>
      </w:pPr>
      <w:r w:rsidRPr="00897704">
        <w:rPr>
          <w:bCs/>
          <w:lang w:val="en-GB"/>
        </w:rPr>
        <w:t xml:space="preserve">At present, the </w:t>
      </w:r>
      <w:r w:rsidRPr="00897704">
        <w:rPr>
          <w:bCs/>
          <w:iCs/>
          <w:lang w:val="en-GB"/>
        </w:rPr>
        <w:t>C-ITS Platform seems to be acting mainly in the form Expert group on cooperative, connected, automated and autonomous mobility</w:t>
      </w:r>
      <w:r w:rsidRPr="00897704">
        <w:rPr>
          <w:bCs/>
          <w:lang w:val="en-GB"/>
        </w:rPr>
        <w:t>, a public-private partnership known as CCAM that brings together state and industry representatives</w:t>
      </w:r>
      <w:r w:rsidRPr="00897704">
        <w:rPr>
          <w:bCs/>
          <w:vertAlign w:val="superscript"/>
          <w:lang w:val="en-GB"/>
        </w:rPr>
        <w:footnoteReference w:id="20"/>
      </w:r>
      <w:r w:rsidRPr="00897704">
        <w:rPr>
          <w:bCs/>
          <w:lang w:val="en-GB"/>
        </w:rPr>
        <w:t xml:space="preserve">. According to its statutes, the purpose of the association is to promote and facilitate competitive research on cooperative, connected, automated and </w:t>
      </w:r>
      <w:r w:rsidRPr="00897704">
        <w:rPr>
          <w:bCs/>
          <w:lang w:val="en-GB"/>
        </w:rPr>
        <w:lastRenderedPageBreak/>
        <w:t>autonomous mobility at EU level by bringing together different CCAM actors. The partnership focuses on the coordination of research and innovation activities at European and international level to accelerate the implementation of CCAM technologies and services (Art. 3.1). To this end, the partnership will collaborate with the European Union within the framework of the Horizon Europe Programmes (Art. 3.2)</w:t>
      </w:r>
      <w:r w:rsidRPr="00897704">
        <w:rPr>
          <w:bCs/>
          <w:vertAlign w:val="superscript"/>
          <w:lang w:val="en-GB"/>
        </w:rPr>
        <w:footnoteReference w:id="21"/>
      </w:r>
      <w:r w:rsidRPr="00897704">
        <w:rPr>
          <w:bCs/>
          <w:lang w:val="en-GB"/>
        </w:rPr>
        <w:t xml:space="preserve">. </w:t>
      </w:r>
    </w:p>
    <w:p w14:paraId="790D37B4" w14:textId="77777777" w:rsidR="00897704" w:rsidRPr="00897704" w:rsidRDefault="00897704" w:rsidP="00897704">
      <w:pPr>
        <w:ind w:firstLine="0"/>
        <w:rPr>
          <w:bCs/>
          <w:lang w:val="en-GB"/>
        </w:rPr>
      </w:pPr>
    </w:p>
    <w:p w14:paraId="1B5449B3" w14:textId="77777777" w:rsidR="00897704" w:rsidRPr="00695A55" w:rsidRDefault="00897704" w:rsidP="00897704">
      <w:pPr>
        <w:ind w:firstLine="0"/>
        <w:rPr>
          <w:lang w:val="en-GB"/>
        </w:rPr>
      </w:pPr>
    </w:p>
    <w:p w14:paraId="42DAE053" w14:textId="77777777" w:rsidR="00897704" w:rsidRPr="00897704" w:rsidRDefault="00897704" w:rsidP="00897704">
      <w:pPr>
        <w:numPr>
          <w:ilvl w:val="0"/>
          <w:numId w:val="8"/>
        </w:numPr>
        <w:outlineLvl w:val="0"/>
        <w:rPr>
          <w:rFonts w:ascii="Calibri" w:hAnsi="Calibri" w:cs="Calibri"/>
          <w:b/>
          <w:bCs/>
          <w:sz w:val="28"/>
          <w:szCs w:val="28"/>
          <w:lang w:val="en-GB"/>
        </w:rPr>
      </w:pPr>
      <w:r w:rsidRPr="00897704">
        <w:rPr>
          <w:rFonts w:ascii="Calibri" w:hAnsi="Calibri" w:cs="Calibri"/>
          <w:b/>
          <w:bCs/>
          <w:sz w:val="28"/>
          <w:szCs w:val="28"/>
          <w:lang w:val="en-GB"/>
        </w:rPr>
        <w:t>Regulatory framework for CCAM in the European Union</w:t>
      </w:r>
    </w:p>
    <w:p w14:paraId="14713A27" w14:textId="0B1EF2B9" w:rsidR="00785680" w:rsidRDefault="00785680" w:rsidP="00785680"/>
    <w:p w14:paraId="6352A648" w14:textId="77777777" w:rsidR="00897704" w:rsidRPr="00897704" w:rsidRDefault="00897704" w:rsidP="00897704">
      <w:pPr>
        <w:ind w:firstLine="360"/>
        <w:rPr>
          <w:lang w:val="en-GB"/>
        </w:rPr>
      </w:pPr>
      <w:r w:rsidRPr="00897704">
        <w:rPr>
          <w:lang w:val="en-GB"/>
        </w:rPr>
        <w:t xml:space="preserve">Among the EU legal instruments, a reference to cooperative systems and vehicle-infrastructure interfaces can be found in the European Commission's White Paper "Roadmap to a Single European Transport Area – Towards a competitive and resource efficient transport system" of 28 March 2011. To achieve the goal of "zero fatalities" in road transport by 2050, the White Paper refers to cooperative systems as one of the road safety technologies which should be standardised and deployed throughout the European Union. Other technologies include driver assistance systems, intelligent speed limiters, seat-belt reminders, </w:t>
      </w:r>
      <w:proofErr w:type="spellStart"/>
      <w:r w:rsidRPr="00897704">
        <w:rPr>
          <w:lang w:val="en-GB"/>
        </w:rPr>
        <w:t>eCall</w:t>
      </w:r>
      <w:proofErr w:type="spellEnd"/>
      <w:r w:rsidRPr="00897704">
        <w:rPr>
          <w:lang w:val="en-GB"/>
        </w:rPr>
        <w:t xml:space="preserve"> systems and improved roadworthiness testing systems, including for vehicles with alternative propulsion systems. However, the White Paper lacks the regulatory and binding force of a Community Regulation or Directive.</w:t>
      </w:r>
    </w:p>
    <w:p w14:paraId="74C201BA" w14:textId="77777777" w:rsidR="00897704" w:rsidRPr="00897704" w:rsidRDefault="00897704" w:rsidP="00D25B6B">
      <w:pPr>
        <w:ind w:firstLine="360"/>
        <w:rPr>
          <w:lang w:val="en-GB"/>
        </w:rPr>
      </w:pPr>
      <w:r w:rsidRPr="00897704">
        <w:rPr>
          <w:lang w:val="en-GB"/>
        </w:rPr>
        <w:t>Also without regulatory value, but with more detail on CCAM, the Commission Communication of 30 November 2016 entitled "A European Strategy on Cooperative Intelligent Transport Systems, a milestone towards cooperative, connected and automated mobility"</w:t>
      </w:r>
      <w:r w:rsidRPr="00897704">
        <w:rPr>
          <w:iCs/>
          <w:shd w:val="clear" w:color="auto" w:fill="FFFFFF"/>
          <w:vertAlign w:val="superscript"/>
          <w:lang w:val="en-GB"/>
        </w:rPr>
        <w:footnoteReference w:id="22"/>
      </w:r>
      <w:r w:rsidRPr="00897704">
        <w:rPr>
          <w:lang w:val="en-GB"/>
        </w:rPr>
        <w:t xml:space="preserve"> is of great interest. It highlights that investments and regulatory frameworks need to converge across Europe</w:t>
      </w:r>
      <w:r w:rsidRPr="00897704">
        <w:rPr>
          <w:vertAlign w:val="superscript"/>
          <w:lang w:val="en-GB"/>
        </w:rPr>
        <w:footnoteReference w:id="23"/>
      </w:r>
      <w:r w:rsidRPr="00897704">
        <w:rPr>
          <w:lang w:val="en-GB"/>
        </w:rPr>
        <w:t>, for which it is imperative that operators have a regulatory framework that provides legal certainty for the phenomenon of cooperative, connected and automated vehicle deployment within the European Union.</w:t>
      </w:r>
    </w:p>
    <w:p w14:paraId="51C93A26" w14:textId="77777777" w:rsidR="00897704" w:rsidRPr="00897704" w:rsidRDefault="00897704" w:rsidP="00D25B6B">
      <w:pPr>
        <w:ind w:firstLine="360"/>
        <w:rPr>
          <w:iCs/>
          <w:lang w:val="en-GB"/>
        </w:rPr>
      </w:pPr>
      <w:r w:rsidRPr="00897704">
        <w:rPr>
          <w:bCs/>
          <w:iCs/>
          <w:lang w:val="en-GB"/>
        </w:rPr>
        <w:t>In the same vein, the Communication from the Commission to the European Parliament, the Council, the European Economic and Social Committee and the Committee of the Regions, Europe on the move. Sustainable mobility for Europe: safe, connected and clean, of 17 May 2018</w:t>
      </w:r>
      <w:r w:rsidRPr="00897704">
        <w:rPr>
          <w:bCs/>
          <w:iCs/>
          <w:vertAlign w:val="superscript"/>
          <w:lang w:val="en-GB"/>
        </w:rPr>
        <w:footnoteReference w:id="24"/>
      </w:r>
      <w:r w:rsidRPr="00897704">
        <w:rPr>
          <w:bCs/>
          <w:iCs/>
          <w:lang w:val="en-GB"/>
        </w:rPr>
        <w:t xml:space="preserve">, uses two crucial concepts: connectivity and vehicle automation. It adds that </w:t>
      </w:r>
      <w:r w:rsidRPr="00897704">
        <w:rPr>
          <w:iCs/>
          <w:lang w:val="en-GB"/>
        </w:rPr>
        <w:t xml:space="preserve">provided a sound regulatory framework is in place, automated vehicles and advanced connectivity systems will provide safer vehicles. </w:t>
      </w:r>
    </w:p>
    <w:p w14:paraId="2FC8AE21" w14:textId="21D4C4F4" w:rsidR="00897704" w:rsidRPr="00897704" w:rsidRDefault="00897704" w:rsidP="00D25B6B">
      <w:pPr>
        <w:ind w:firstLine="360"/>
        <w:rPr>
          <w:lang w:val="en-GB"/>
        </w:rPr>
      </w:pPr>
      <w:r w:rsidRPr="00897704">
        <w:rPr>
          <w:lang w:val="en-GB"/>
        </w:rPr>
        <w:t>In view of the above, it is clear that the regulatory framework for cooperative, connected and automated mobility (CCAM) and the C-ITS technology that will make it possible is insufficient. Indeed, the European Union currently lacks a legal regulation that expresses what this policy aims to achieve and what measures will be taken to achieve it. This is also the case in some Member States, such as Spain. The European Commission is aware that other countries outside the EU, such as the United States, Australia, Japan, Korea and China, are making rapid progress in the deployment of cooperative intelligent transport vehicles and services</w:t>
      </w:r>
      <w:r w:rsidRPr="00897704">
        <w:rPr>
          <w:vertAlign w:val="superscript"/>
          <w:lang w:val="en-GB"/>
        </w:rPr>
        <w:footnoteReference w:id="25"/>
      </w:r>
      <w:r w:rsidRPr="00897704">
        <w:rPr>
          <w:lang w:val="en-GB"/>
        </w:rPr>
        <w:t xml:space="preserve">. </w:t>
      </w:r>
    </w:p>
    <w:p w14:paraId="40CCF829" w14:textId="77777777" w:rsidR="00897704" w:rsidRPr="00897704" w:rsidRDefault="00897704" w:rsidP="00D25B6B">
      <w:pPr>
        <w:ind w:firstLine="360"/>
        <w:rPr>
          <w:lang w:val="en-GB"/>
        </w:rPr>
      </w:pPr>
      <w:r w:rsidRPr="00897704">
        <w:rPr>
          <w:lang w:val="en-GB"/>
        </w:rPr>
        <w:t>The future regulatory framework for CCAM should be a Community one, which will require coordination within European institutions and between Member States. The aim is to ensure continuity of service, so that it is maintained when the vehicle moves between EU countries. Finally, it is necessary to avoid fragmentation of the internal market with different rules, which could harm public acceptance of these technologies</w:t>
      </w:r>
      <w:r w:rsidRPr="00897704">
        <w:rPr>
          <w:vertAlign w:val="superscript"/>
          <w:lang w:val="en-GB"/>
        </w:rPr>
        <w:footnoteReference w:id="26"/>
      </w:r>
      <w:r w:rsidRPr="00897704">
        <w:rPr>
          <w:lang w:val="en-GB"/>
        </w:rPr>
        <w:t xml:space="preserve">. </w:t>
      </w:r>
    </w:p>
    <w:p w14:paraId="12592460" w14:textId="77777777" w:rsidR="00897704" w:rsidRPr="00897704" w:rsidRDefault="00897704" w:rsidP="00D25B6B">
      <w:pPr>
        <w:shd w:val="clear" w:color="auto" w:fill="FFFFFF"/>
        <w:ind w:firstLine="360"/>
        <w:rPr>
          <w:shd w:val="clear" w:color="auto" w:fill="FFFFFF"/>
          <w:lang w:val="en-GB"/>
        </w:rPr>
      </w:pPr>
      <w:r w:rsidRPr="00897704">
        <w:rPr>
          <w:lang w:val="en-GB"/>
        </w:rPr>
        <w:t xml:space="preserve">Directive </w:t>
      </w:r>
      <w:r w:rsidRPr="00897704">
        <w:rPr>
          <w:iCs/>
          <w:shd w:val="clear" w:color="auto" w:fill="FFFFFF"/>
          <w:lang w:val="en-GB"/>
        </w:rPr>
        <w:t xml:space="preserve">2010/40/EU </w:t>
      </w:r>
      <w:r w:rsidRPr="00897704">
        <w:rPr>
          <w:shd w:val="clear" w:color="auto" w:fill="FFFFFF"/>
          <w:lang w:val="en-GB"/>
        </w:rPr>
        <w:t>of the European Parliament and of the Council of 7 July 2010 on the framework for the deployment of Intelligent Transport Systems in the field of road transport and for interfaces with other modes of transport</w:t>
      </w:r>
      <w:r w:rsidRPr="00897704">
        <w:rPr>
          <w:shd w:val="clear" w:color="auto" w:fill="FFFFFF"/>
          <w:vertAlign w:val="superscript"/>
          <w:lang w:val="en-GB"/>
        </w:rPr>
        <w:footnoteReference w:id="27"/>
      </w:r>
      <w:r w:rsidRPr="00897704">
        <w:rPr>
          <w:shd w:val="clear" w:color="auto" w:fill="FFFFFF"/>
          <w:lang w:val="en-GB"/>
        </w:rPr>
        <w:t xml:space="preserve"> (hereinafter Directive 2010/40/EU) is applicable, although it focuses on Intelligent Transport Systems (ITS).</w:t>
      </w:r>
    </w:p>
    <w:p w14:paraId="00D52470" w14:textId="77777777" w:rsidR="00897704" w:rsidRPr="00897704" w:rsidRDefault="00897704" w:rsidP="00D25B6B">
      <w:pPr>
        <w:shd w:val="clear" w:color="auto" w:fill="FFFFFF"/>
        <w:ind w:firstLine="360"/>
        <w:rPr>
          <w:bCs/>
          <w:shd w:val="clear" w:color="auto" w:fill="FFFFFF"/>
          <w:lang w:val="en-GB"/>
        </w:rPr>
      </w:pPr>
      <w:r w:rsidRPr="00897704">
        <w:rPr>
          <w:shd w:val="clear" w:color="auto" w:fill="FFFFFF"/>
          <w:lang w:val="en-GB"/>
        </w:rPr>
        <w:lastRenderedPageBreak/>
        <w:t xml:space="preserve">The future EU regulation will hinge on Directive 2010/40/EU and future Delegated Regulations complementing it and adopted by the Commission. The </w:t>
      </w:r>
      <w:r w:rsidRPr="00897704">
        <w:rPr>
          <w:bCs/>
          <w:shd w:val="clear" w:color="auto" w:fill="FFFFFF"/>
          <w:lang w:val="en-GB"/>
        </w:rPr>
        <w:t>Proposal for a Directive of the European Parliament and of the Council amending Directive 2010/40/EU on the framework for the deployment of Intelligent Transport Systems in the field of road transport and for interfaces with other modes of transport of 14 December 2021</w:t>
      </w:r>
      <w:r w:rsidRPr="00897704">
        <w:rPr>
          <w:bCs/>
          <w:shd w:val="clear" w:color="auto" w:fill="FFFFFF"/>
          <w:vertAlign w:val="superscript"/>
          <w:lang w:val="en-GB"/>
        </w:rPr>
        <w:footnoteReference w:id="28"/>
      </w:r>
      <w:r w:rsidRPr="00897704">
        <w:rPr>
          <w:shd w:val="clear" w:color="auto" w:fill="FFFFFF"/>
          <w:lang w:val="en-GB"/>
        </w:rPr>
        <w:t xml:space="preserve"> is analysed for this purpose. </w:t>
      </w:r>
      <w:r w:rsidRPr="00897704">
        <w:rPr>
          <w:bCs/>
          <w:shd w:val="clear" w:color="auto" w:fill="FFFFFF"/>
          <w:lang w:val="en-GB"/>
        </w:rPr>
        <w:t>Among the contents of the Proposal, Article 2 of Directive 2010/40/EU is amended to include cooperative, connected and automated mobility services (CCAM) as a new priority area for the development and use of specifications and standards (new Article 2.1.d.IV).</w:t>
      </w:r>
    </w:p>
    <w:p w14:paraId="3D526046" w14:textId="77777777" w:rsidR="00897704" w:rsidRPr="00785680" w:rsidRDefault="00897704" w:rsidP="00785680"/>
    <w:p w14:paraId="5D7D304A" w14:textId="77777777" w:rsidR="00897704" w:rsidRDefault="00897704" w:rsidP="00897704">
      <w:pPr>
        <w:ind w:firstLine="0"/>
        <w:outlineLvl w:val="1"/>
        <w:rPr>
          <w:b/>
          <w:bCs/>
          <w:lang w:val="en-GB"/>
        </w:rPr>
      </w:pPr>
    </w:p>
    <w:p w14:paraId="0981EC04" w14:textId="584801E2" w:rsidR="00897704" w:rsidRPr="00897704" w:rsidRDefault="00897704" w:rsidP="00897704">
      <w:pPr>
        <w:numPr>
          <w:ilvl w:val="1"/>
          <w:numId w:val="8"/>
        </w:numPr>
        <w:ind w:left="0" w:firstLine="0"/>
        <w:outlineLvl w:val="1"/>
        <w:rPr>
          <w:rFonts w:ascii="Calibri" w:hAnsi="Calibri" w:cs="Calibri"/>
          <w:b/>
          <w:bCs/>
          <w:sz w:val="28"/>
          <w:szCs w:val="28"/>
          <w:lang w:val="en-GB"/>
        </w:rPr>
      </w:pPr>
      <w:r w:rsidRPr="00897704">
        <w:rPr>
          <w:rFonts w:ascii="Calibri" w:hAnsi="Calibri" w:cs="Calibri"/>
          <w:b/>
          <w:bCs/>
          <w:sz w:val="28"/>
          <w:szCs w:val="28"/>
          <w:lang w:val="en-GB"/>
        </w:rPr>
        <w:t>Legal framework for the implementation of Intelligent Transport Systems (ITS) in Directive 2010/40/EU and Delegated Regulations</w:t>
      </w:r>
    </w:p>
    <w:p w14:paraId="2E635677" w14:textId="77777777" w:rsidR="00D25B6B" w:rsidRDefault="00D25B6B" w:rsidP="00D25B6B">
      <w:pPr>
        <w:shd w:val="clear" w:color="auto" w:fill="FFFFFF"/>
        <w:ind w:firstLine="0"/>
        <w:rPr>
          <w:lang w:val="en-GB"/>
        </w:rPr>
      </w:pPr>
    </w:p>
    <w:p w14:paraId="52BD80ED" w14:textId="1244FB93" w:rsidR="00897704" w:rsidRPr="00695A55" w:rsidRDefault="00897704" w:rsidP="00D25B6B">
      <w:pPr>
        <w:shd w:val="clear" w:color="auto" w:fill="FFFFFF"/>
        <w:rPr>
          <w:lang w:val="en-GB"/>
        </w:rPr>
      </w:pPr>
      <w:r w:rsidRPr="00695A55">
        <w:rPr>
          <w:lang w:val="en-GB"/>
        </w:rPr>
        <w:t xml:space="preserve">The original text of Directive 2010/40/EU was subsequently amended by Decision (EU) 2017/2380 of the European Parliament and of the Council of 12 December 2017 amending Directive 2010/40/EU for the extension of the deadline of Art. 12 of the Directive for the adoption of delegated acts by the European Commission. The </w:t>
      </w:r>
      <w:r w:rsidRPr="00695A55">
        <w:rPr>
          <w:shd w:val="clear" w:color="auto" w:fill="FFFFFF"/>
          <w:lang w:val="en-GB"/>
        </w:rPr>
        <w:t xml:space="preserve">consolidated text is available on </w:t>
      </w:r>
      <w:proofErr w:type="spellStart"/>
      <w:r w:rsidRPr="00695A55">
        <w:rPr>
          <w:shd w:val="clear" w:color="auto" w:fill="FFFFFF"/>
          <w:lang w:val="en-GB"/>
        </w:rPr>
        <w:t>Eurlex</w:t>
      </w:r>
      <w:proofErr w:type="spellEnd"/>
      <w:r w:rsidRPr="00695A55">
        <w:rPr>
          <w:shd w:val="clear" w:color="auto" w:fill="FFFFFF"/>
          <w:vertAlign w:val="superscript"/>
          <w:lang w:val="en-GB"/>
        </w:rPr>
        <w:footnoteReference w:id="29"/>
      </w:r>
      <w:r w:rsidRPr="00695A55">
        <w:rPr>
          <w:shd w:val="clear" w:color="auto" w:fill="FFFFFF"/>
          <w:lang w:val="en-GB"/>
        </w:rPr>
        <w:t xml:space="preserve">. </w:t>
      </w:r>
    </w:p>
    <w:p w14:paraId="4B07ECFF" w14:textId="77777777" w:rsidR="00897704" w:rsidRPr="00695A55" w:rsidRDefault="00897704" w:rsidP="00D25B6B">
      <w:pPr>
        <w:rPr>
          <w:shd w:val="clear" w:color="auto" w:fill="FFFFFF"/>
          <w:lang w:val="en-GB"/>
        </w:rPr>
      </w:pPr>
      <w:r w:rsidRPr="00695A55">
        <w:rPr>
          <w:shd w:val="clear" w:color="auto" w:fill="FFFFFF"/>
          <w:lang w:val="en-GB"/>
        </w:rPr>
        <w:t>As a Directive, it has been transposed into the legal systems of the Member States of the European Union</w:t>
      </w:r>
      <w:r w:rsidRPr="00695A55">
        <w:rPr>
          <w:shd w:val="clear" w:color="auto" w:fill="FFFFFF"/>
          <w:vertAlign w:val="superscript"/>
          <w:lang w:val="en-GB"/>
        </w:rPr>
        <w:footnoteReference w:id="30"/>
      </w:r>
      <w:r w:rsidRPr="00695A55">
        <w:rPr>
          <w:shd w:val="clear" w:color="auto" w:fill="FFFFFF"/>
          <w:lang w:val="en-GB"/>
        </w:rPr>
        <w:t>. In Spain, Directive 2010/40/EU has been transposed through Royal Decree 662/2012 of 13 April, which establishes the framework for the implementation of Intelligent Transport Systems (ITS) in the road transport sector and for interfaces with other modes of transport</w:t>
      </w:r>
      <w:r w:rsidRPr="00695A55">
        <w:rPr>
          <w:shd w:val="clear" w:color="auto" w:fill="FFFFFF"/>
          <w:vertAlign w:val="superscript"/>
          <w:lang w:val="en-GB"/>
        </w:rPr>
        <w:footnoteReference w:id="31"/>
      </w:r>
      <w:r w:rsidRPr="00695A55">
        <w:rPr>
          <w:shd w:val="clear" w:color="auto" w:fill="FFFFFF"/>
          <w:lang w:val="en-GB"/>
        </w:rPr>
        <w:t>.</w:t>
      </w:r>
    </w:p>
    <w:p w14:paraId="0A1BD7DE" w14:textId="77777777" w:rsidR="00897704" w:rsidRPr="00695A55" w:rsidRDefault="00897704" w:rsidP="00D25B6B">
      <w:pPr>
        <w:rPr>
          <w:shd w:val="clear" w:color="auto" w:fill="FFFFFF"/>
          <w:lang w:val="en-GB"/>
        </w:rPr>
      </w:pPr>
      <w:r w:rsidRPr="00695A55">
        <w:rPr>
          <w:shd w:val="clear" w:color="auto" w:fill="FFFFFF"/>
          <w:lang w:val="en-GB"/>
        </w:rPr>
        <w:t>Furthermore, in accordance with Art. 7 of Directive 2010/40/EU, the European Commission may adopt delegated acts in accordance with Article 290 of the Treaty on the Functioning of the European Union in accordance with the provisions of Article 6. A separate delegated act shall be adopted for each of the priority actions (Art. 7.2).</w:t>
      </w:r>
    </w:p>
    <w:p w14:paraId="69352255" w14:textId="77777777" w:rsidR="00897704" w:rsidRPr="00695A55" w:rsidRDefault="00897704" w:rsidP="00D25B6B">
      <w:pPr>
        <w:rPr>
          <w:i/>
          <w:iCs/>
          <w:lang w:val="en-GB" w:eastAsia="es-ES"/>
        </w:rPr>
      </w:pPr>
      <w:r w:rsidRPr="00695A55">
        <w:rPr>
          <w:shd w:val="clear" w:color="auto" w:fill="FFFFFF"/>
          <w:lang w:val="en-GB" w:eastAsia="es-ES"/>
        </w:rPr>
        <w:t xml:space="preserve">In particular, following the list of priority actions listed in Art. 3 of Directive 2010/40/EU, this is </w:t>
      </w:r>
      <w:r w:rsidRPr="00695A55">
        <w:rPr>
          <w:lang w:val="en-GB" w:eastAsia="es-ES"/>
        </w:rPr>
        <w:t>Commission Regulation (EU) 2017/1926, which complements Directive 2010/40/EU as regards the provision of multimodal travel information services throughout the Union</w:t>
      </w:r>
      <w:r w:rsidRPr="00695A55">
        <w:rPr>
          <w:vertAlign w:val="superscript"/>
          <w:lang w:val="en-GB" w:eastAsia="es-ES"/>
        </w:rPr>
        <w:footnoteReference w:id="32"/>
      </w:r>
      <w:r w:rsidRPr="00695A55">
        <w:rPr>
          <w:lang w:val="en-GB" w:eastAsia="es-ES"/>
        </w:rPr>
        <w:t xml:space="preserve">. </w:t>
      </w:r>
    </w:p>
    <w:p w14:paraId="36730A0B" w14:textId="77777777" w:rsidR="00897704" w:rsidRPr="00695A55" w:rsidRDefault="00897704" w:rsidP="00D25B6B">
      <w:pPr>
        <w:rPr>
          <w:i/>
          <w:iCs/>
          <w:lang w:val="en-GB" w:eastAsia="es-ES"/>
        </w:rPr>
      </w:pPr>
      <w:r w:rsidRPr="00695A55">
        <w:rPr>
          <w:lang w:val="en-GB" w:eastAsia="es-ES"/>
        </w:rPr>
        <w:t>Commission Delegated Regulation (EU) 2015/962 of 18 December 2014 supplementing Directive 2010/40/EU with regard to the provision of EU-wide real-time traffic information services</w:t>
      </w:r>
      <w:r w:rsidRPr="00695A55">
        <w:rPr>
          <w:vertAlign w:val="superscript"/>
          <w:lang w:val="en-GB" w:eastAsia="es-ES"/>
        </w:rPr>
        <w:footnoteReference w:id="33"/>
      </w:r>
      <w:r w:rsidRPr="00695A55">
        <w:rPr>
          <w:lang w:val="en-GB" w:eastAsia="es-ES"/>
        </w:rPr>
        <w:t>. This Regulation will be repealed as of 1 January 2025, with the entry into force of the new Commission Delegated Regulation (EU) 2022/670 of 2 February 2022 supplementing Directive 2010/40/EU as regards the provision of EU-wide real-time traffic information services</w:t>
      </w:r>
      <w:r w:rsidRPr="00695A55">
        <w:rPr>
          <w:vertAlign w:val="superscript"/>
          <w:lang w:val="en-GB" w:eastAsia="es-ES"/>
        </w:rPr>
        <w:footnoteReference w:id="34"/>
      </w:r>
      <w:r w:rsidRPr="00695A55">
        <w:rPr>
          <w:lang w:val="en-GB" w:eastAsia="es-ES"/>
        </w:rPr>
        <w:t>.</w:t>
      </w:r>
    </w:p>
    <w:p w14:paraId="765528CD" w14:textId="77777777" w:rsidR="00897704" w:rsidRPr="00695A55" w:rsidRDefault="00897704" w:rsidP="00D25B6B">
      <w:pPr>
        <w:rPr>
          <w:iCs/>
          <w:lang w:val="en-GB" w:eastAsia="es-ES"/>
        </w:rPr>
      </w:pPr>
      <w:r w:rsidRPr="00695A55">
        <w:rPr>
          <w:iCs/>
          <w:lang w:val="en-GB" w:eastAsia="es-ES"/>
        </w:rPr>
        <w:t>Commission Delegated Regulation (EU) No 886/2013 of 15 May 2013 with regard to data and procedures for the provision, where possible, of road safety-related minimum universal traffic information free of charge to users</w:t>
      </w:r>
      <w:r w:rsidRPr="00695A55">
        <w:rPr>
          <w:iCs/>
          <w:vertAlign w:val="superscript"/>
          <w:lang w:val="en-GB" w:eastAsia="es-ES"/>
        </w:rPr>
        <w:footnoteReference w:id="35"/>
      </w:r>
      <w:r w:rsidRPr="00695A55">
        <w:rPr>
          <w:iCs/>
          <w:lang w:val="en-GB" w:eastAsia="es-ES"/>
        </w:rPr>
        <w:t xml:space="preserve">. </w:t>
      </w:r>
    </w:p>
    <w:p w14:paraId="3C0B3463" w14:textId="77777777" w:rsidR="00897704" w:rsidRPr="00695A55" w:rsidRDefault="00897704" w:rsidP="00D25B6B">
      <w:pPr>
        <w:rPr>
          <w:iCs/>
          <w:lang w:val="en-GB" w:eastAsia="es-ES"/>
        </w:rPr>
      </w:pPr>
      <w:r w:rsidRPr="00695A55">
        <w:rPr>
          <w:iCs/>
          <w:lang w:val="en-GB" w:eastAsia="es-ES"/>
        </w:rPr>
        <w:t xml:space="preserve">In relation to the priority action of Article 3(d) of Directive 2010/40/EU, several instruments have been adopted: Commission Delegated Regulation (EU) No 305/2013 of 26 November 2012 supplementing Directive 2010/40/EU with regard to the harmonised provision for an interoperable EU-wide </w:t>
      </w:r>
      <w:proofErr w:type="spellStart"/>
      <w:r w:rsidRPr="00695A55">
        <w:rPr>
          <w:iCs/>
          <w:lang w:val="en-GB" w:eastAsia="es-ES"/>
        </w:rPr>
        <w:t>eCall</w:t>
      </w:r>
      <w:proofErr w:type="spellEnd"/>
      <w:r w:rsidRPr="00695A55">
        <w:rPr>
          <w:iCs/>
          <w:lang w:val="en-GB" w:eastAsia="es-ES"/>
        </w:rPr>
        <w:t xml:space="preserve"> Text</w:t>
      </w:r>
      <w:r w:rsidRPr="00695A55">
        <w:rPr>
          <w:iCs/>
          <w:vertAlign w:val="superscript"/>
          <w:lang w:val="en-GB" w:eastAsia="es-ES"/>
        </w:rPr>
        <w:footnoteReference w:id="36"/>
      </w:r>
      <w:r w:rsidRPr="00695A55">
        <w:rPr>
          <w:iCs/>
          <w:lang w:val="en-GB" w:eastAsia="es-ES"/>
        </w:rPr>
        <w:t xml:space="preserve">; Commission Delegated Regulation (EU) 2017/79 of 12 September 2016 establishing detailed technical requirements and test procedures for the EC type-approval of motor vehicles with respect to their 112-based </w:t>
      </w:r>
      <w:proofErr w:type="spellStart"/>
      <w:r w:rsidRPr="00695A55">
        <w:rPr>
          <w:iCs/>
          <w:lang w:val="en-GB" w:eastAsia="es-ES"/>
        </w:rPr>
        <w:t>eCall</w:t>
      </w:r>
      <w:proofErr w:type="spellEnd"/>
      <w:r w:rsidRPr="00695A55">
        <w:rPr>
          <w:iCs/>
          <w:lang w:val="en-GB" w:eastAsia="es-ES"/>
        </w:rPr>
        <w:t xml:space="preserve"> in-vehicles systems, as well as 112-based </w:t>
      </w:r>
      <w:proofErr w:type="spellStart"/>
      <w:r w:rsidRPr="00695A55">
        <w:rPr>
          <w:iCs/>
          <w:lang w:val="en-GB" w:eastAsia="es-ES"/>
        </w:rPr>
        <w:t>eCall</w:t>
      </w:r>
      <w:proofErr w:type="spellEnd"/>
      <w:r w:rsidRPr="00695A55">
        <w:rPr>
          <w:iCs/>
          <w:lang w:val="en-GB" w:eastAsia="es-ES"/>
        </w:rPr>
        <w:t xml:space="preserve"> in-vehicle separate technical units and components</w:t>
      </w:r>
      <w:r w:rsidRPr="00695A55">
        <w:rPr>
          <w:iCs/>
          <w:vertAlign w:val="superscript"/>
          <w:lang w:val="en-GB" w:eastAsia="es-ES"/>
        </w:rPr>
        <w:footnoteReference w:id="37"/>
      </w:r>
      <w:r w:rsidRPr="00695A55">
        <w:rPr>
          <w:iCs/>
          <w:lang w:val="en-GB" w:eastAsia="es-ES"/>
        </w:rPr>
        <w:t xml:space="preserve">, and; Regulation (EU) 2015/758 of the European Parliament and of </w:t>
      </w:r>
      <w:r w:rsidRPr="00695A55">
        <w:rPr>
          <w:iCs/>
          <w:lang w:val="en-GB" w:eastAsia="es-ES"/>
        </w:rPr>
        <w:lastRenderedPageBreak/>
        <w:t xml:space="preserve">the Council of 29 April 2015 concerning type-approval requirements for the deployment of the </w:t>
      </w:r>
      <w:proofErr w:type="spellStart"/>
      <w:r w:rsidRPr="00695A55">
        <w:rPr>
          <w:iCs/>
          <w:lang w:val="en-GB" w:eastAsia="es-ES"/>
        </w:rPr>
        <w:t>eCall</w:t>
      </w:r>
      <w:proofErr w:type="spellEnd"/>
      <w:r w:rsidRPr="00695A55">
        <w:rPr>
          <w:iCs/>
          <w:lang w:val="en-GB" w:eastAsia="es-ES"/>
        </w:rPr>
        <w:t xml:space="preserve"> in-vehicle system based on the 112 service</w:t>
      </w:r>
      <w:r w:rsidRPr="00695A55">
        <w:rPr>
          <w:iCs/>
          <w:vertAlign w:val="superscript"/>
          <w:lang w:val="en-GB" w:eastAsia="es-ES"/>
        </w:rPr>
        <w:footnoteReference w:id="38"/>
      </w:r>
      <w:r w:rsidRPr="00695A55">
        <w:rPr>
          <w:iCs/>
          <w:lang w:val="en-GB" w:eastAsia="es-ES"/>
        </w:rPr>
        <w:t>.</w:t>
      </w:r>
    </w:p>
    <w:p w14:paraId="14E593CF" w14:textId="77777777" w:rsidR="00897704" w:rsidRPr="00695A55" w:rsidRDefault="00897704" w:rsidP="00D25B6B">
      <w:pPr>
        <w:rPr>
          <w:iCs/>
          <w:lang w:val="en-GB" w:eastAsia="es-ES"/>
        </w:rPr>
      </w:pPr>
      <w:r w:rsidRPr="00695A55">
        <w:rPr>
          <w:iCs/>
          <w:lang w:val="en-GB" w:eastAsia="es-ES"/>
        </w:rPr>
        <w:t>Commission Delegated Regulation (EU) No 885/2013 of 15 May 2013 with regard to the provision of information services for safe and secure parking places for trucks and commercial vehicles</w:t>
      </w:r>
      <w:r w:rsidRPr="00695A55">
        <w:rPr>
          <w:iCs/>
          <w:vertAlign w:val="superscript"/>
          <w:lang w:val="en-GB" w:eastAsia="es-ES"/>
        </w:rPr>
        <w:footnoteReference w:id="39"/>
      </w:r>
      <w:r w:rsidRPr="00695A55">
        <w:rPr>
          <w:iCs/>
          <w:lang w:val="en-GB" w:eastAsia="es-ES"/>
        </w:rPr>
        <w:t>.</w:t>
      </w:r>
    </w:p>
    <w:p w14:paraId="46641782" w14:textId="77777777" w:rsidR="00897704" w:rsidRPr="00695A55" w:rsidRDefault="00897704" w:rsidP="00897704">
      <w:pPr>
        <w:ind w:firstLine="0"/>
        <w:rPr>
          <w:shd w:val="clear" w:color="auto" w:fill="FFFFFF"/>
          <w:lang w:val="en-GB"/>
        </w:rPr>
      </w:pPr>
      <w:r w:rsidRPr="00695A55">
        <w:rPr>
          <w:shd w:val="clear" w:color="auto" w:fill="FFFFFF"/>
          <w:lang w:val="en-GB"/>
        </w:rPr>
        <w:t>However, no Commission Delegated Regulation has been found to complement Directive 2010/40/EU with regard to the priority action of Art. 3(f) on the provision of reservation services for safe and secure parking places for trucks and commercial vehicles.</w:t>
      </w:r>
    </w:p>
    <w:p w14:paraId="08E6AF9F" w14:textId="77777777" w:rsidR="00897704" w:rsidRPr="00695A55" w:rsidRDefault="00897704" w:rsidP="00D25B6B">
      <w:pPr>
        <w:rPr>
          <w:lang w:val="en-GB"/>
        </w:rPr>
      </w:pPr>
      <w:r w:rsidRPr="00695A55">
        <w:rPr>
          <w:iCs/>
          <w:shd w:val="clear" w:color="auto" w:fill="FFFFFF"/>
          <w:lang w:val="en-GB"/>
        </w:rPr>
        <w:t xml:space="preserve">Among the reasons for the implementation of ITS, Directive 2010/40/EU points out that the increase in road traffic volume cannot be dealt with by the traditional method of expanding infrastructure, but through the use of Intelligent Transport Systems (ITS) (points 1 to 3 </w:t>
      </w:r>
      <w:r w:rsidRPr="00695A55">
        <w:rPr>
          <w:shd w:val="clear" w:color="auto" w:fill="FFFFFF"/>
          <w:lang w:val="en-GB"/>
        </w:rPr>
        <w:t xml:space="preserve">preamble). </w:t>
      </w:r>
    </w:p>
    <w:p w14:paraId="14EC0EA0" w14:textId="77777777" w:rsidR="00897704" w:rsidRPr="00695A55" w:rsidRDefault="00897704" w:rsidP="00897704">
      <w:pPr>
        <w:ind w:firstLine="0"/>
        <w:rPr>
          <w:lang w:val="en-GB"/>
        </w:rPr>
      </w:pPr>
      <w:r w:rsidRPr="00695A55">
        <w:rPr>
          <w:lang w:val="en-GB"/>
        </w:rPr>
        <w:t xml:space="preserve">The legal definition of ITS is that they are systems in which information and communication technologies are applied in the field of road transport, including infrastructure, vehicles and users, and in traffic and mobility management, as well as for interfaces with other transport modes (Art. 1). </w:t>
      </w:r>
    </w:p>
    <w:p w14:paraId="3EF9DBE1" w14:textId="77777777" w:rsidR="00897704" w:rsidRPr="00695A55" w:rsidRDefault="00897704" w:rsidP="00D25B6B">
      <w:pPr>
        <w:rPr>
          <w:lang w:val="en-GB"/>
        </w:rPr>
      </w:pPr>
      <w:r w:rsidRPr="00695A55">
        <w:rPr>
          <w:lang w:val="en-GB"/>
        </w:rPr>
        <w:t xml:space="preserve">ITS make it possible to capture data on road networks, traffic and journeys (Art. 2.1). These data are made available to all providers and users of applications and services (point 11 Preamble), and coordinated and consistent deployment of interoperable ITS is required throughout the European Union (preamble 23). </w:t>
      </w:r>
    </w:p>
    <w:p w14:paraId="127512B8" w14:textId="77777777" w:rsidR="00897704" w:rsidRPr="00695A55" w:rsidRDefault="00897704" w:rsidP="00D25B6B">
      <w:pPr>
        <w:rPr>
          <w:iCs/>
          <w:lang w:val="en-GB" w:eastAsia="es-ES"/>
        </w:rPr>
      </w:pPr>
      <w:r w:rsidRPr="00695A55">
        <w:rPr>
          <w:iCs/>
          <w:lang w:val="en-GB" w:eastAsia="es-ES"/>
        </w:rPr>
        <w:t>Under the European Data Strategy, national access points are an important component of the common European mobility data space and need to be built upon, especially in terms of data accessibility</w:t>
      </w:r>
      <w:r w:rsidRPr="00695A55">
        <w:rPr>
          <w:iCs/>
          <w:vertAlign w:val="superscript"/>
          <w:lang w:val="en-GB" w:eastAsia="es-ES"/>
        </w:rPr>
        <w:footnoteReference w:id="40"/>
      </w:r>
      <w:r w:rsidRPr="00695A55">
        <w:rPr>
          <w:iCs/>
          <w:lang w:val="en-GB" w:eastAsia="es-ES"/>
        </w:rPr>
        <w:t>. According to Art. 2(o) of Delegated Regulation (EU) 886/2013, an 'access point' is defined as a digital point of access where the road safety-related traffic data necessary for generating the minimum universal traffic information regarding road safety are collected, formatted and made available for exchange and reuse. In Spain, the Directorate-General for Traffic has implemented a National Access Point (NAP – http://nap.dgt.es) which provides high-quality real-time traffic information and collects the information provided by Spanish traffic management bodies in accordance with Delegated Regulation 886/2013</w:t>
      </w:r>
      <w:r w:rsidRPr="00695A55">
        <w:rPr>
          <w:iCs/>
          <w:vertAlign w:val="superscript"/>
          <w:lang w:val="en-GB" w:eastAsia="es-ES"/>
        </w:rPr>
        <w:footnoteReference w:id="41"/>
      </w:r>
      <w:r w:rsidRPr="00695A55">
        <w:rPr>
          <w:iCs/>
          <w:lang w:val="en-GB" w:eastAsia="es-ES"/>
        </w:rPr>
        <w:t>.</w:t>
      </w:r>
    </w:p>
    <w:p w14:paraId="62C0DE2A" w14:textId="50D68A2D" w:rsidR="005F42E4" w:rsidRPr="005F42E4" w:rsidRDefault="005F42E4" w:rsidP="00D91BB5">
      <w:pPr>
        <w:ind w:firstLine="0"/>
      </w:pPr>
    </w:p>
    <w:p w14:paraId="6AFDB5F3" w14:textId="70D6A675" w:rsidR="00DD4755" w:rsidRPr="00DD4755" w:rsidRDefault="00D25B6B" w:rsidP="00D25B6B">
      <w:pPr>
        <w:pStyle w:val="Ttol3"/>
        <w:numPr>
          <w:ilvl w:val="0"/>
          <w:numId w:val="0"/>
        </w:numPr>
      </w:pPr>
      <w:r w:rsidRPr="00D25B6B">
        <w:t>2.2. Cooperative Intelligent Transport Systems (C-ITS) in the 2021 Proposa</w:t>
      </w:r>
      <w:r>
        <w:t>l amending Directive 2010/40/EU</w:t>
      </w:r>
    </w:p>
    <w:p w14:paraId="501E1996" w14:textId="77777777" w:rsidR="00076EF3" w:rsidRPr="00076EF3" w:rsidRDefault="00076EF3" w:rsidP="00076EF3">
      <w:pPr>
        <w:rPr>
          <w:i/>
          <w:iCs/>
          <w:lang w:val="en-GB" w:eastAsia="es-ES"/>
        </w:rPr>
      </w:pPr>
      <w:r w:rsidRPr="00076EF3">
        <w:rPr>
          <w:lang w:val="en-GB" w:eastAsia="es-ES"/>
        </w:rPr>
        <w:t>Directive 2010/40/EU, among the priority areas provided for under Art. 2, requires "</w:t>
      </w:r>
      <w:r w:rsidRPr="00076EF3">
        <w:rPr>
          <w:iCs/>
          <w:lang w:val="en-GB" w:eastAsia="es-ES"/>
        </w:rPr>
        <w:t>linking the vehicle with the transport infrastructure</w:t>
      </w:r>
      <w:r w:rsidRPr="00076EF3">
        <w:rPr>
          <w:lang w:val="en-GB" w:eastAsia="es-ES"/>
        </w:rPr>
        <w:t>" (Art. 2.1.IV). To make this a reality, it stipulates that measures must be taken to integrate the various ITS applications into an open in-vehicle platform. Furthermore, it states that progress should be made in the development and implementation of cooperative ITS, i.e. vehicle-to-vehicle, vehicle-to-infrastructure or infrastructure-to-infrastructure, based on facilitating the exchange of data or information. This would require the use of a standardised message format for the exchange of data or information between vehicle and infrastructure (Annex I).</w:t>
      </w:r>
    </w:p>
    <w:p w14:paraId="2DC87552" w14:textId="77777777" w:rsidR="00076EF3" w:rsidRPr="00076EF3" w:rsidRDefault="00076EF3" w:rsidP="00076EF3">
      <w:pPr>
        <w:ind w:firstLine="0"/>
        <w:rPr>
          <w:i/>
          <w:iCs/>
          <w:lang w:val="en-GB" w:eastAsia="es-ES"/>
        </w:rPr>
      </w:pPr>
      <w:r w:rsidRPr="00076EF3">
        <w:rPr>
          <w:lang w:val="en-GB" w:eastAsia="es-ES"/>
        </w:rPr>
        <w:t xml:space="preserve">However, among the priority actions of Article 3 that have led to the adaptation of Delegated Regulations, there is none explicitly related to the connection of vehicles to transport infrastructures. </w:t>
      </w:r>
    </w:p>
    <w:p w14:paraId="7E499EDB" w14:textId="77777777" w:rsidR="00076EF3" w:rsidRPr="00076EF3" w:rsidRDefault="00076EF3" w:rsidP="00076EF3">
      <w:pPr>
        <w:shd w:val="clear" w:color="auto" w:fill="FFFFFF"/>
        <w:ind w:firstLine="0"/>
        <w:rPr>
          <w:bCs/>
          <w:lang w:val="en-GB" w:eastAsia="es-ES"/>
        </w:rPr>
      </w:pPr>
      <w:r w:rsidRPr="00076EF3">
        <w:rPr>
          <w:shd w:val="clear" w:color="auto" w:fill="FFFFFF"/>
          <w:lang w:val="en-GB"/>
        </w:rPr>
        <w:t xml:space="preserve">On 13 March </w:t>
      </w:r>
      <w:r w:rsidRPr="00076EF3">
        <w:rPr>
          <w:lang w:val="en-GB"/>
        </w:rPr>
        <w:t>2019, the European Commission adopted a Delegated Regulation on specifications for Cooperative Intelligent Transport Systems (C-ITS)</w:t>
      </w:r>
      <w:r w:rsidRPr="00076EF3">
        <w:rPr>
          <w:vertAlign w:val="superscript"/>
          <w:lang w:val="en-GB"/>
        </w:rPr>
        <w:footnoteReference w:id="42"/>
      </w:r>
      <w:r w:rsidRPr="00076EF3">
        <w:rPr>
          <w:lang w:val="en-GB"/>
        </w:rPr>
        <w:t>, but it did not enter into force following an objection by the Council of the European Union</w:t>
      </w:r>
      <w:r w:rsidRPr="00076EF3">
        <w:rPr>
          <w:vertAlign w:val="superscript"/>
          <w:lang w:val="en-GB"/>
        </w:rPr>
        <w:footnoteReference w:id="43"/>
      </w:r>
      <w:r w:rsidRPr="00076EF3">
        <w:rPr>
          <w:lang w:val="en-GB"/>
        </w:rPr>
        <w:t>.</w:t>
      </w:r>
    </w:p>
    <w:p w14:paraId="6960301E" w14:textId="77777777" w:rsidR="00076EF3" w:rsidRPr="00076EF3" w:rsidRDefault="00076EF3" w:rsidP="00076EF3">
      <w:pPr>
        <w:shd w:val="clear" w:color="auto" w:fill="FFFFFF"/>
        <w:ind w:firstLine="0"/>
        <w:rPr>
          <w:bCs/>
          <w:lang w:val="en-GB" w:eastAsia="es-ES"/>
        </w:rPr>
      </w:pPr>
      <w:r w:rsidRPr="00076EF3">
        <w:rPr>
          <w:bCs/>
          <w:lang w:val="en-GB" w:eastAsia="es-ES"/>
        </w:rPr>
        <w:t xml:space="preserve">At the present time, the above-mentioned Proposal for a Directive of the European Parliament and of the Council amending Directive 2010/40/EU on the framework for the deployment of Intelligent </w:t>
      </w:r>
      <w:r w:rsidRPr="00076EF3">
        <w:rPr>
          <w:bCs/>
          <w:lang w:val="en-GB" w:eastAsia="es-ES"/>
        </w:rPr>
        <w:lastRenderedPageBreak/>
        <w:t>Transport Systems in the field of road transport and for interfaces with other modes of transport, of 14 December 2021, should be highlighted.</w:t>
      </w:r>
    </w:p>
    <w:p w14:paraId="2A22D2C8" w14:textId="77777777" w:rsidR="00076EF3" w:rsidRPr="00076EF3" w:rsidRDefault="00076EF3" w:rsidP="00076EF3">
      <w:pPr>
        <w:shd w:val="clear" w:color="auto" w:fill="FFFFFF"/>
        <w:rPr>
          <w:bCs/>
          <w:lang w:val="en-GB" w:eastAsia="es-ES"/>
        </w:rPr>
      </w:pPr>
      <w:r w:rsidRPr="00076EF3">
        <w:rPr>
          <w:bCs/>
          <w:lang w:val="en-GB" w:eastAsia="es-ES"/>
        </w:rPr>
        <w:t>The Proposal notes that the European Commission has identified two problems: the lack of coordination of ITS across the European Union and the slow, risky and ineffective deployment of ITS. Furthermore, although the use of ITS is increasing, ITS deployment is geographically limited, and continuous and uninterrupted ITS services must be achieved throughout the European Union (Preamble).</w:t>
      </w:r>
    </w:p>
    <w:p w14:paraId="14FCFB01" w14:textId="77777777" w:rsidR="00076EF3" w:rsidRPr="00076EF3" w:rsidRDefault="00076EF3" w:rsidP="00076EF3">
      <w:pPr>
        <w:shd w:val="clear" w:color="auto" w:fill="FFFFFF"/>
        <w:tabs>
          <w:tab w:val="left" w:pos="3686"/>
        </w:tabs>
        <w:rPr>
          <w:bCs/>
          <w:lang w:val="en-GB" w:eastAsia="es-ES"/>
        </w:rPr>
      </w:pPr>
      <w:r w:rsidRPr="00076EF3">
        <w:rPr>
          <w:bCs/>
          <w:lang w:val="en-GB" w:eastAsia="es-ES"/>
        </w:rPr>
        <w:t xml:space="preserve">Furthermore, the Proposal notes that, as a consequence of societal and technological developments, cooperative, connected and automated mobility requires more attention in the future (point 3 preamble). </w:t>
      </w:r>
    </w:p>
    <w:p w14:paraId="48361F9E" w14:textId="77777777" w:rsidR="00076EF3" w:rsidRPr="00076EF3" w:rsidRDefault="00076EF3" w:rsidP="00076EF3">
      <w:pPr>
        <w:shd w:val="clear" w:color="auto" w:fill="FFFFFF"/>
        <w:tabs>
          <w:tab w:val="left" w:pos="3686"/>
        </w:tabs>
        <w:ind w:firstLine="0"/>
        <w:rPr>
          <w:bCs/>
          <w:lang w:val="en-GB" w:eastAsia="es-ES"/>
        </w:rPr>
      </w:pPr>
      <w:r w:rsidRPr="00076EF3">
        <w:rPr>
          <w:bCs/>
          <w:lang w:val="en-GB" w:eastAsia="es-ES"/>
        </w:rPr>
        <w:t>To this end, it identifies the deployment of intelligent transport systems as a key measure to create a connected and automated multimodal mobility system. For such purpose, the Proposal refers to the Communication from the Commission to the European Parliament, the Council, the European Economic and Social Committee and the Committee of the Regions. Sustainable and Smart Mobility Strategy – putting European transport on track for the future, of 9 December 2020</w:t>
      </w:r>
      <w:r w:rsidRPr="00076EF3">
        <w:rPr>
          <w:bCs/>
          <w:vertAlign w:val="superscript"/>
          <w:lang w:val="en-GB" w:eastAsia="es-ES"/>
        </w:rPr>
        <w:footnoteReference w:id="44"/>
      </w:r>
      <w:r w:rsidRPr="00076EF3">
        <w:rPr>
          <w:bCs/>
          <w:lang w:val="en-GB" w:eastAsia="es-ES"/>
        </w:rPr>
        <w:t>, which stated that from its adoption until 2030, automated mobility would be deployed on a large scale (paragraph 9).</w:t>
      </w:r>
    </w:p>
    <w:p w14:paraId="5F67CA76" w14:textId="77777777" w:rsidR="00076EF3" w:rsidRPr="00076EF3" w:rsidRDefault="00076EF3" w:rsidP="00076EF3">
      <w:pPr>
        <w:shd w:val="clear" w:color="auto" w:fill="FFFFFF"/>
        <w:tabs>
          <w:tab w:val="left" w:pos="3686"/>
        </w:tabs>
        <w:rPr>
          <w:bCs/>
          <w:lang w:val="en-GB" w:eastAsia="es-ES"/>
        </w:rPr>
      </w:pPr>
      <w:r w:rsidRPr="00076EF3">
        <w:rPr>
          <w:bCs/>
          <w:lang w:val="en-GB" w:eastAsia="es-ES"/>
        </w:rPr>
        <w:t>As mentioned above, the Proposal amends Art. 2.1.d.IV of Directive 2010/40/EU to include cooperative, connected and automated mobility services (CCAM) as a new priority area for the development and use of specifications and standards.</w:t>
      </w:r>
    </w:p>
    <w:p w14:paraId="2BCEF772" w14:textId="77777777" w:rsidR="00076EF3" w:rsidRPr="00076EF3" w:rsidRDefault="00076EF3" w:rsidP="00076EF3">
      <w:pPr>
        <w:shd w:val="clear" w:color="auto" w:fill="FFFFFF"/>
        <w:tabs>
          <w:tab w:val="left" w:pos="3686"/>
        </w:tabs>
        <w:rPr>
          <w:bCs/>
          <w:lang w:val="en-GB" w:eastAsia="es-ES"/>
        </w:rPr>
      </w:pPr>
      <w:r w:rsidRPr="00076EF3">
        <w:rPr>
          <w:bCs/>
          <w:lang w:val="en-GB" w:eastAsia="es-ES"/>
        </w:rPr>
        <w:t>Among the contents of the Proposal, Art. 2 of Directive 2010/40/EU is amended to include cooperative, connected and automated mobility services as a new priority area for the development and use of specifications and standards (new Art. 2.1.d.IV).</w:t>
      </w:r>
    </w:p>
    <w:p w14:paraId="3DF79D71" w14:textId="77777777" w:rsidR="00076EF3" w:rsidRPr="00076EF3" w:rsidRDefault="00076EF3" w:rsidP="00076EF3">
      <w:pPr>
        <w:shd w:val="clear" w:color="auto" w:fill="FFFFFF"/>
        <w:rPr>
          <w:bCs/>
          <w:lang w:val="en-GB" w:eastAsia="es-ES"/>
        </w:rPr>
      </w:pPr>
      <w:r w:rsidRPr="00076EF3">
        <w:rPr>
          <w:bCs/>
          <w:lang w:val="en-GB" w:eastAsia="es-ES"/>
        </w:rPr>
        <w:t xml:space="preserve">The Proposal to amend Directive 2010/40/EU also proposes a new Art. 4.19 to define Cooperative Intelligent Transport Systems, or C-ITS, as those "intelligent transport systems that enable ITS users to cooperate by exchanging secure and trusted messages". In addition, a new Art. 4.20 is introduced to define a "C-ITS service" as an ITS service provided through cooperative-ITS. </w:t>
      </w:r>
    </w:p>
    <w:p w14:paraId="5F5FC766" w14:textId="77777777" w:rsidR="00076EF3" w:rsidRPr="00076EF3" w:rsidRDefault="00076EF3" w:rsidP="00076EF3">
      <w:pPr>
        <w:shd w:val="clear" w:color="auto" w:fill="FFFFFF"/>
        <w:rPr>
          <w:bCs/>
          <w:lang w:val="en-GB" w:eastAsia="es-ES"/>
        </w:rPr>
      </w:pPr>
      <w:r w:rsidRPr="00076EF3">
        <w:rPr>
          <w:bCs/>
          <w:lang w:val="en-GB" w:eastAsia="es-ES"/>
        </w:rPr>
        <w:t>Unlike the aforementioned 2016 Communication, the Proposal to amend Directive 2010/40/EU does not include a list of what C-ITS services are. In the "initial list", the communication cited, for example, slow-moving traffic warnings, road works warnings and weather conditions among the hazardous location notifications. In terms of signage applications, the Communication cites vehicle signage and vehicle speed limits, among others. It also foresees a "second list" of C-ITS services, such as information on fuelling stations or on-street parking management and information</w:t>
      </w:r>
      <w:r w:rsidRPr="00076EF3">
        <w:rPr>
          <w:bCs/>
          <w:vertAlign w:val="superscript"/>
          <w:lang w:val="en-GB" w:eastAsia="es-ES"/>
        </w:rPr>
        <w:footnoteReference w:id="45"/>
      </w:r>
      <w:r w:rsidRPr="00076EF3">
        <w:rPr>
          <w:bCs/>
          <w:lang w:val="en-GB" w:eastAsia="es-ES"/>
        </w:rPr>
        <w:t xml:space="preserve">. The future delegated regulation will then have to determine what the necessary C-ITS services are. </w:t>
      </w:r>
    </w:p>
    <w:p w14:paraId="78717B9A" w14:textId="77777777" w:rsidR="00076EF3" w:rsidRPr="00076EF3" w:rsidRDefault="00076EF3" w:rsidP="00076EF3">
      <w:pPr>
        <w:shd w:val="clear" w:color="auto" w:fill="FFFFFF"/>
        <w:rPr>
          <w:bCs/>
          <w:lang w:val="en-GB" w:eastAsia="es-ES"/>
        </w:rPr>
      </w:pPr>
      <w:r w:rsidRPr="00076EF3">
        <w:rPr>
          <w:bCs/>
          <w:lang w:val="en-GB" w:eastAsia="es-ES"/>
        </w:rPr>
        <w:t xml:space="preserve">Indeed, should the Proposal be successful, the consideration of cooperative, connected and automated mobility as a new priority area will assure the future adoption of a new Commission Regulation for this area. The aim is to ensure a coordinated and efficient deployment of ITS in the Union as a whole, for which purpose specifications should be introduced, including, where appropriate, standards, setting out more detailed provisions and procedures, in addition to those already adopted (point 8 preamble). Priority should be given first to the four main areas of ITS development and deployment. </w:t>
      </w:r>
    </w:p>
    <w:p w14:paraId="349FC433" w14:textId="77777777" w:rsidR="00076EF3" w:rsidRPr="00076EF3" w:rsidRDefault="00076EF3" w:rsidP="00076EF3">
      <w:pPr>
        <w:tabs>
          <w:tab w:val="num" w:pos="850"/>
        </w:tabs>
        <w:rPr>
          <w:bCs/>
          <w:lang w:val="en-GB" w:eastAsia="es-ES"/>
        </w:rPr>
      </w:pPr>
      <w:r w:rsidRPr="00076EF3">
        <w:rPr>
          <w:bCs/>
          <w:lang w:val="en-GB" w:eastAsia="es-ES"/>
        </w:rPr>
        <w:t>Prior to the adoption of the Delegated Regulation, the Commission will have to take into account the Annexes to the Proposal. The measures include the need to ensure the authenticity and integrity of messages for the majority of C-ITS services. The aim is to establish a common European C-ITS trust model for all C-ITS stations, irrespective of the communication technologies used. This model is to be implemented through the adoption of a policy on the use of Public Key Infrastructure (PKI) (preamble, paragraph 11). PKI is a combination of software, services and processes and asymmetric cryptographic technologies which enable organisations to secure C-ITS communications</w:t>
      </w:r>
      <w:r w:rsidRPr="00076EF3">
        <w:rPr>
          <w:bCs/>
          <w:vertAlign w:val="superscript"/>
          <w:lang w:val="en-GB" w:eastAsia="es-ES"/>
        </w:rPr>
        <w:footnoteReference w:id="46"/>
      </w:r>
      <w:r w:rsidRPr="00076EF3">
        <w:rPr>
          <w:bCs/>
          <w:lang w:val="en-GB" w:eastAsia="es-ES"/>
        </w:rPr>
        <w:t>.</w:t>
      </w:r>
    </w:p>
    <w:p w14:paraId="703698BD" w14:textId="77777777" w:rsidR="00076EF3" w:rsidRPr="00076EF3" w:rsidRDefault="00076EF3" w:rsidP="00076EF3">
      <w:pPr>
        <w:shd w:val="clear" w:color="auto" w:fill="FFFFFF"/>
        <w:rPr>
          <w:bCs/>
          <w:lang w:val="en-GB" w:eastAsia="es-ES"/>
        </w:rPr>
      </w:pPr>
      <w:r w:rsidRPr="00076EF3">
        <w:rPr>
          <w:bCs/>
          <w:lang w:val="en-GB" w:eastAsia="es-ES"/>
        </w:rPr>
        <w:t>The Preamble of the Proposal states that future specifications on cooperative, connected and automated mobility should build on the experience and results already achieved in the field of ITS, C-ITS and cooperative, connected and automated mobility, notably in the context of the abovementioned C-ITS and CCAM platforms, the European Forum for Multimodal Passenger Mobility</w:t>
      </w:r>
      <w:r w:rsidRPr="00076EF3">
        <w:rPr>
          <w:bCs/>
          <w:vertAlign w:val="superscript"/>
          <w:lang w:val="en-GB" w:eastAsia="es-ES"/>
        </w:rPr>
        <w:footnoteReference w:id="47"/>
      </w:r>
      <w:r w:rsidRPr="00076EF3">
        <w:rPr>
          <w:bCs/>
          <w:lang w:val="en-GB" w:eastAsia="es-ES"/>
        </w:rPr>
        <w:t xml:space="preserve"> and the </w:t>
      </w:r>
      <w:r w:rsidRPr="00076EF3">
        <w:rPr>
          <w:bCs/>
          <w:lang w:val="en-GB" w:eastAsia="es-ES"/>
        </w:rPr>
        <w:lastRenderedPageBreak/>
        <w:t xml:space="preserve">European </w:t>
      </w:r>
      <w:proofErr w:type="spellStart"/>
      <w:r w:rsidRPr="00076EF3">
        <w:rPr>
          <w:bCs/>
          <w:lang w:val="en-GB" w:eastAsia="es-ES"/>
        </w:rPr>
        <w:t>eCall</w:t>
      </w:r>
      <w:proofErr w:type="spellEnd"/>
      <w:r w:rsidRPr="00076EF3">
        <w:rPr>
          <w:bCs/>
          <w:lang w:val="en-GB" w:eastAsia="es-ES"/>
        </w:rPr>
        <w:t xml:space="preserve"> Implementation Platform</w:t>
      </w:r>
      <w:r w:rsidRPr="00076EF3">
        <w:rPr>
          <w:bCs/>
          <w:vertAlign w:val="superscript"/>
          <w:lang w:val="en-GB" w:eastAsia="es-ES"/>
        </w:rPr>
        <w:footnoteReference w:id="48"/>
      </w:r>
      <w:r w:rsidRPr="00076EF3">
        <w:rPr>
          <w:bCs/>
          <w:lang w:val="en-GB" w:eastAsia="es-ES"/>
        </w:rPr>
        <w:t xml:space="preserve">. These entities are listed in the </w:t>
      </w:r>
      <w:r w:rsidRPr="00076EF3">
        <w:rPr>
          <w:bCs/>
          <w:iCs/>
          <w:lang w:val="en-GB" w:eastAsia="es-ES"/>
        </w:rPr>
        <w:t>Register of Commission Expert Groups and Other Similar Entities</w:t>
      </w:r>
      <w:r w:rsidRPr="00076EF3">
        <w:rPr>
          <w:bCs/>
          <w:vertAlign w:val="superscript"/>
          <w:lang w:val="en-GB" w:eastAsia="es-ES"/>
        </w:rPr>
        <w:footnoteReference w:id="49"/>
      </w:r>
      <w:r w:rsidRPr="00076EF3">
        <w:rPr>
          <w:bCs/>
          <w:lang w:val="en-GB" w:eastAsia="es-ES"/>
        </w:rPr>
        <w:t xml:space="preserve">. </w:t>
      </w:r>
    </w:p>
    <w:p w14:paraId="6C46277A" w14:textId="4BDDA39A" w:rsidR="0068422E" w:rsidRDefault="0068422E" w:rsidP="00482C62">
      <w:pPr>
        <w:rPr>
          <w:lang w:val="en-GB"/>
        </w:rPr>
      </w:pPr>
    </w:p>
    <w:p w14:paraId="10DA3100" w14:textId="77777777" w:rsidR="00076EF3" w:rsidRDefault="00076EF3" w:rsidP="00482C62">
      <w:pPr>
        <w:rPr>
          <w:lang w:val="en-GB"/>
        </w:rPr>
      </w:pPr>
    </w:p>
    <w:p w14:paraId="037219DA" w14:textId="77777777" w:rsidR="0068422E" w:rsidRPr="0068422E" w:rsidRDefault="0068422E" w:rsidP="0068422E">
      <w:pPr>
        <w:numPr>
          <w:ilvl w:val="0"/>
          <w:numId w:val="8"/>
        </w:numPr>
        <w:rPr>
          <w:rFonts w:ascii="Calibri" w:hAnsi="Calibri" w:cs="Calibri"/>
          <w:b/>
          <w:bCs/>
          <w:sz w:val="28"/>
          <w:szCs w:val="28"/>
          <w:lang w:val="en-GB"/>
        </w:rPr>
      </w:pPr>
      <w:r w:rsidRPr="0068422E">
        <w:rPr>
          <w:rFonts w:ascii="Calibri" w:hAnsi="Calibri" w:cs="Calibri"/>
          <w:b/>
          <w:bCs/>
          <w:sz w:val="28"/>
          <w:szCs w:val="28"/>
          <w:lang w:val="en-GB"/>
        </w:rPr>
        <w:t>Classification and type-approval of autonomous and semi-autonomous vehicles</w:t>
      </w:r>
    </w:p>
    <w:p w14:paraId="003BD6F2" w14:textId="77777777" w:rsidR="0068422E" w:rsidRDefault="0068422E" w:rsidP="00482C62">
      <w:pPr>
        <w:rPr>
          <w:lang w:val="en-GB"/>
        </w:rPr>
      </w:pPr>
    </w:p>
    <w:p w14:paraId="09C7E2D0" w14:textId="5A656E0D" w:rsidR="00482C62" w:rsidRPr="00482C62" w:rsidRDefault="00482C62" w:rsidP="00482C62">
      <w:pPr>
        <w:rPr>
          <w:lang w:val="en-GB"/>
        </w:rPr>
      </w:pPr>
      <w:r w:rsidRPr="00482C62">
        <w:rPr>
          <w:lang w:val="en-GB"/>
        </w:rPr>
        <w:t>The EU's CCAM policy is based on the need to treat connectivity, cooperation and automation as complementary technologies which need to be brought together to achieve the objectives</w:t>
      </w:r>
      <w:r w:rsidRPr="00482C62">
        <w:rPr>
          <w:vertAlign w:val="superscript"/>
          <w:lang w:val="en-GB"/>
        </w:rPr>
        <w:footnoteReference w:id="50"/>
      </w:r>
      <w:r w:rsidRPr="00482C62">
        <w:rPr>
          <w:lang w:val="en-GB"/>
        </w:rPr>
        <w:t>. The joint vision of the European Union, through the CCAM, considers that the deployment of vehicles will significantly contribute to improving road safety and road transport efficiency, as well as ensuring the competitiveness of EU industry</w:t>
      </w:r>
      <w:r w:rsidRPr="00482C62">
        <w:rPr>
          <w:vertAlign w:val="superscript"/>
          <w:lang w:val="en-GB"/>
        </w:rPr>
        <w:footnoteReference w:id="51"/>
      </w:r>
      <w:r w:rsidRPr="00482C62">
        <w:rPr>
          <w:lang w:val="en-GB"/>
        </w:rPr>
        <w:t xml:space="preserve">. However, another policy option would be possible, as the process of "automating" vehicles is progressing without the need for their "connection" to 5G or satellite networks or their "cooperation" with other vehicles and road infrastructure. </w:t>
      </w:r>
    </w:p>
    <w:p w14:paraId="54550134" w14:textId="77777777" w:rsidR="00482C62" w:rsidRPr="00482C62" w:rsidRDefault="00482C62" w:rsidP="00482C62">
      <w:pPr>
        <w:rPr>
          <w:bCs/>
          <w:lang w:val="en-GB"/>
        </w:rPr>
      </w:pPr>
      <w:r w:rsidRPr="00482C62">
        <w:rPr>
          <w:bCs/>
          <w:lang w:val="en-GB"/>
        </w:rPr>
        <w:t>There are already numerous Advanced Driving Assistance Systems (ADAS) available on the market. These include, for example, forward collision warning, autonomous emergency braking, lane departure warning and parking assistance</w:t>
      </w:r>
      <w:r w:rsidRPr="00482C62">
        <w:rPr>
          <w:bCs/>
          <w:vertAlign w:val="superscript"/>
          <w:lang w:val="en-GB"/>
        </w:rPr>
        <w:footnoteReference w:id="52"/>
      </w:r>
      <w:r w:rsidRPr="00482C62">
        <w:rPr>
          <w:bCs/>
          <w:lang w:val="en-GB"/>
        </w:rPr>
        <w:t xml:space="preserve">. </w:t>
      </w:r>
    </w:p>
    <w:p w14:paraId="5C1C1835" w14:textId="354069D4" w:rsidR="00482C62" w:rsidRPr="00482C62" w:rsidRDefault="00482C62" w:rsidP="00482C62">
      <w:pPr>
        <w:rPr>
          <w:lang w:val="en-GB"/>
        </w:rPr>
      </w:pPr>
      <w:r w:rsidRPr="00482C62">
        <w:rPr>
          <w:bCs/>
          <w:lang w:val="en-GB"/>
        </w:rPr>
        <w:t>Autonomous vehicles can be classified in terms of their technology into a number of categories ranging from non-automated vehicles (level 0) to fully automated vehicles (level 5). For example, in Spain, Instruction 15/V-113 of the Directorate General for Traffic of the Ministry of the Interior of 13 November 2015</w:t>
      </w:r>
      <w:r w:rsidRPr="00482C62">
        <w:rPr>
          <w:bCs/>
          <w:vertAlign w:val="superscript"/>
          <w:lang w:val="en-GB"/>
        </w:rPr>
        <w:footnoteReference w:id="53"/>
      </w:r>
      <w:r>
        <w:rPr>
          <w:bCs/>
          <w:lang w:val="en-GB"/>
        </w:rPr>
        <w:t>, as amended by Written Directive SGGMT 7/2020,</w:t>
      </w:r>
      <w:r w:rsidRPr="00482C62">
        <w:rPr>
          <w:bCs/>
          <w:lang w:val="en-GB"/>
        </w:rPr>
        <w:t xml:space="preserve"> incorporates into Spanish law the driving automation classification system created by the </w:t>
      </w:r>
      <w:r w:rsidRPr="00482C62">
        <w:rPr>
          <w:bCs/>
          <w:iCs/>
          <w:lang w:val="en-GB"/>
        </w:rPr>
        <w:t>Society of Automotive Engineers</w:t>
      </w:r>
      <w:r w:rsidRPr="00482C62">
        <w:rPr>
          <w:bCs/>
          <w:i/>
          <w:lang w:val="en-GB"/>
        </w:rPr>
        <w:t xml:space="preserve"> </w:t>
      </w:r>
      <w:r w:rsidRPr="00482C62">
        <w:rPr>
          <w:bCs/>
          <w:lang w:val="en-GB"/>
        </w:rPr>
        <w:t>(SAE), which is publicly available</w:t>
      </w:r>
      <w:r w:rsidRPr="00482C62">
        <w:rPr>
          <w:vertAlign w:val="superscript"/>
          <w:lang w:val="en-GB"/>
        </w:rPr>
        <w:footnoteReference w:id="54"/>
      </w:r>
      <w:r w:rsidRPr="00482C62">
        <w:rPr>
          <w:lang w:val="en-GB"/>
        </w:rPr>
        <w:t xml:space="preserve">. </w:t>
      </w:r>
    </w:p>
    <w:p w14:paraId="517729AD" w14:textId="241EE5FD" w:rsidR="00520F5C" w:rsidRDefault="00520F5C" w:rsidP="003C4648"/>
    <w:p w14:paraId="29B5E5A5" w14:textId="77777777" w:rsidR="00785680" w:rsidRDefault="00785680" w:rsidP="00785680">
      <w:pPr>
        <w:ind w:firstLine="0"/>
      </w:pPr>
    </w:p>
    <w:p w14:paraId="209898D5" w14:textId="066AD3BE" w:rsidR="00785680" w:rsidRDefault="00DF0DD6" w:rsidP="00DF0DD6">
      <w:pPr>
        <w:pStyle w:val="Tablenumber"/>
      </w:pPr>
      <w:bookmarkStart w:id="1" w:name="_Ref37069322"/>
      <w:r>
        <w:t xml:space="preserve">Table </w:t>
      </w:r>
      <w:r w:rsidR="004C17BF">
        <w:rPr>
          <w:noProof/>
        </w:rPr>
        <w:fldChar w:fldCharType="begin"/>
      </w:r>
      <w:r w:rsidR="004C17BF">
        <w:rPr>
          <w:noProof/>
        </w:rPr>
        <w:instrText xml:space="preserve"> SEQ Table \* ARABIC </w:instrText>
      </w:r>
      <w:r w:rsidR="004C17BF">
        <w:rPr>
          <w:noProof/>
        </w:rPr>
        <w:fldChar w:fldCharType="separate"/>
      </w:r>
      <w:r w:rsidR="00A8149E">
        <w:rPr>
          <w:noProof/>
        </w:rPr>
        <w:t>1</w:t>
      </w:r>
      <w:r w:rsidR="004C17BF">
        <w:rPr>
          <w:noProof/>
        </w:rPr>
        <w:fldChar w:fldCharType="end"/>
      </w:r>
      <w:bookmarkEnd w:id="1"/>
    </w:p>
    <w:p w14:paraId="35F100DA" w14:textId="64607D25" w:rsidR="00785680" w:rsidRDefault="00482C62" w:rsidP="00785680">
      <w:pPr>
        <w:pStyle w:val="Tablenumber"/>
        <w:rPr>
          <w:b w:val="0"/>
          <w:bCs w:val="0"/>
        </w:rPr>
      </w:pPr>
      <w:r w:rsidRPr="00482C62">
        <w:rPr>
          <w:b w:val="0"/>
          <w:bCs w:val="0"/>
        </w:rPr>
        <w:t>S</w:t>
      </w:r>
      <w:r>
        <w:rPr>
          <w:b w:val="0"/>
          <w:bCs w:val="0"/>
        </w:rPr>
        <w:t xml:space="preserve">ummary Table on Levels of Automation </w:t>
      </w:r>
      <w:r w:rsidRPr="00482C62">
        <w:rPr>
          <w:b w:val="0"/>
          <w:bCs w:val="0"/>
        </w:rPr>
        <w:t>(Copyright © 2014 SAE International).</w:t>
      </w:r>
    </w:p>
    <w:tbl>
      <w:tblPr>
        <w:tblStyle w:val="TableNormal"/>
        <w:tblW w:w="9240"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9"/>
        <w:gridCol w:w="1136"/>
        <w:gridCol w:w="3261"/>
        <w:gridCol w:w="1134"/>
        <w:gridCol w:w="1134"/>
        <w:gridCol w:w="1134"/>
        <w:gridCol w:w="992"/>
      </w:tblGrid>
      <w:tr w:rsidR="0068422E" w14:paraId="442296CB" w14:textId="77777777" w:rsidTr="0068422E">
        <w:trPr>
          <w:trHeight w:val="894"/>
        </w:trPr>
        <w:tc>
          <w:tcPr>
            <w:tcW w:w="449" w:type="dxa"/>
          </w:tcPr>
          <w:p w14:paraId="4070C892" w14:textId="77777777" w:rsidR="00482C62" w:rsidRDefault="00482C62" w:rsidP="00336410">
            <w:pPr>
              <w:pStyle w:val="TableParagraph"/>
              <w:spacing w:before="10"/>
              <w:rPr>
                <w:sz w:val="23"/>
              </w:rPr>
            </w:pPr>
          </w:p>
          <w:p w14:paraId="41CB5D1C" w14:textId="77777777" w:rsidR="00482C62" w:rsidRDefault="00482C62" w:rsidP="00336410">
            <w:pPr>
              <w:pStyle w:val="TableParagraph"/>
              <w:spacing w:line="183" w:lineRule="exact"/>
              <w:ind w:left="110"/>
              <w:rPr>
                <w:b/>
                <w:sz w:val="16"/>
              </w:rPr>
            </w:pPr>
            <w:r>
              <w:rPr>
                <w:b/>
                <w:color w:val="1F487C"/>
                <w:sz w:val="16"/>
              </w:rPr>
              <w:t>SAE</w:t>
            </w:r>
          </w:p>
          <w:p w14:paraId="31BFCD5F" w14:textId="77777777" w:rsidR="00482C62" w:rsidRDefault="00482C62" w:rsidP="00336410">
            <w:pPr>
              <w:pStyle w:val="TableParagraph"/>
              <w:spacing w:line="183" w:lineRule="exact"/>
              <w:ind w:left="110"/>
              <w:rPr>
                <w:b/>
                <w:sz w:val="16"/>
              </w:rPr>
            </w:pPr>
            <w:r>
              <w:rPr>
                <w:b/>
                <w:color w:val="1F487C"/>
                <w:sz w:val="16"/>
              </w:rPr>
              <w:t>level</w:t>
            </w:r>
          </w:p>
        </w:tc>
        <w:tc>
          <w:tcPr>
            <w:tcW w:w="1136" w:type="dxa"/>
          </w:tcPr>
          <w:p w14:paraId="263672F4" w14:textId="77777777" w:rsidR="00482C62" w:rsidRDefault="00482C62" w:rsidP="00336410">
            <w:pPr>
              <w:pStyle w:val="TableParagraph"/>
              <w:rPr>
                <w:sz w:val="18"/>
              </w:rPr>
            </w:pPr>
          </w:p>
          <w:p w14:paraId="11E4D263" w14:textId="77777777" w:rsidR="00482C62" w:rsidRDefault="00482C62" w:rsidP="00336410">
            <w:pPr>
              <w:pStyle w:val="TableParagraph"/>
              <w:spacing w:before="159"/>
              <w:ind w:left="343"/>
              <w:rPr>
                <w:b/>
                <w:sz w:val="16"/>
              </w:rPr>
            </w:pPr>
            <w:r>
              <w:rPr>
                <w:b/>
                <w:color w:val="1F487C"/>
                <w:sz w:val="16"/>
              </w:rPr>
              <w:t>Name</w:t>
            </w:r>
          </w:p>
        </w:tc>
        <w:tc>
          <w:tcPr>
            <w:tcW w:w="3261" w:type="dxa"/>
          </w:tcPr>
          <w:p w14:paraId="1267C7FB" w14:textId="77777777" w:rsidR="00482C62" w:rsidRDefault="00482C62" w:rsidP="00336410">
            <w:pPr>
              <w:pStyle w:val="TableParagraph"/>
              <w:rPr>
                <w:sz w:val="18"/>
              </w:rPr>
            </w:pPr>
          </w:p>
          <w:p w14:paraId="326F9B83" w14:textId="27CF4F88" w:rsidR="00482C62" w:rsidRDefault="0068422E" w:rsidP="0068422E">
            <w:pPr>
              <w:pStyle w:val="TableParagraph"/>
              <w:spacing w:before="159"/>
              <w:ind w:right="1623"/>
              <w:rPr>
                <w:b/>
                <w:sz w:val="16"/>
              </w:rPr>
            </w:pPr>
            <w:r>
              <w:rPr>
                <w:b/>
                <w:color w:val="1F487C"/>
                <w:sz w:val="16"/>
              </w:rPr>
              <w:t xml:space="preserve">          </w:t>
            </w:r>
            <w:r w:rsidR="00482C62">
              <w:rPr>
                <w:b/>
                <w:color w:val="1F487C"/>
                <w:sz w:val="16"/>
              </w:rPr>
              <w:t>Narrative</w:t>
            </w:r>
            <w:r w:rsidR="00482C62">
              <w:rPr>
                <w:b/>
                <w:color w:val="1F487C"/>
                <w:spacing w:val="-6"/>
                <w:sz w:val="16"/>
              </w:rPr>
              <w:t xml:space="preserve"> </w:t>
            </w:r>
            <w:r w:rsidR="00482C62">
              <w:rPr>
                <w:b/>
                <w:color w:val="1F487C"/>
                <w:sz w:val="16"/>
              </w:rPr>
              <w:t>Definition</w:t>
            </w:r>
          </w:p>
        </w:tc>
        <w:tc>
          <w:tcPr>
            <w:tcW w:w="1134" w:type="dxa"/>
          </w:tcPr>
          <w:p w14:paraId="7EADB452" w14:textId="77777777" w:rsidR="00482C62" w:rsidRDefault="00482C62" w:rsidP="00336410">
            <w:pPr>
              <w:pStyle w:val="TableParagraph"/>
              <w:spacing w:before="90"/>
              <w:ind w:left="115" w:right="110" w:firstLine="24"/>
              <w:jc w:val="both"/>
              <w:rPr>
                <w:b/>
                <w:sz w:val="16"/>
              </w:rPr>
            </w:pPr>
            <w:r>
              <w:rPr>
                <w:b/>
                <w:color w:val="1F487C"/>
                <w:sz w:val="16"/>
              </w:rPr>
              <w:t>Execution of</w:t>
            </w:r>
            <w:r>
              <w:rPr>
                <w:b/>
                <w:color w:val="1F487C"/>
                <w:spacing w:val="-37"/>
                <w:sz w:val="16"/>
              </w:rPr>
              <w:t xml:space="preserve"> </w:t>
            </w:r>
            <w:r>
              <w:rPr>
                <w:b/>
                <w:color w:val="1F487C"/>
                <w:sz w:val="16"/>
              </w:rPr>
              <w:t>Steering and</w:t>
            </w:r>
            <w:r>
              <w:rPr>
                <w:b/>
                <w:color w:val="1F487C"/>
                <w:spacing w:val="1"/>
                <w:sz w:val="16"/>
              </w:rPr>
              <w:t xml:space="preserve"> </w:t>
            </w:r>
            <w:r>
              <w:rPr>
                <w:b/>
                <w:color w:val="1F487C"/>
                <w:sz w:val="16"/>
              </w:rPr>
              <w:t>Acceleration/</w:t>
            </w:r>
            <w:r>
              <w:rPr>
                <w:b/>
                <w:color w:val="1F487C"/>
                <w:spacing w:val="-38"/>
                <w:sz w:val="16"/>
              </w:rPr>
              <w:t xml:space="preserve"> </w:t>
            </w:r>
            <w:r>
              <w:rPr>
                <w:b/>
                <w:color w:val="1F487C"/>
                <w:sz w:val="16"/>
              </w:rPr>
              <w:t>Deceleration</w:t>
            </w:r>
          </w:p>
        </w:tc>
        <w:tc>
          <w:tcPr>
            <w:tcW w:w="1134" w:type="dxa"/>
          </w:tcPr>
          <w:p w14:paraId="68EBB5C8" w14:textId="77777777" w:rsidR="00482C62" w:rsidRDefault="00482C62" w:rsidP="00336410">
            <w:pPr>
              <w:pStyle w:val="TableParagraph"/>
              <w:spacing w:before="9"/>
              <w:rPr>
                <w:sz w:val="15"/>
              </w:rPr>
            </w:pPr>
          </w:p>
          <w:p w14:paraId="35A9AD92" w14:textId="77777777" w:rsidR="00482C62" w:rsidRDefault="00482C62" w:rsidP="00336410">
            <w:pPr>
              <w:pStyle w:val="TableParagraph"/>
              <w:ind w:left="107" w:right="99" w:hanging="3"/>
              <w:jc w:val="center"/>
              <w:rPr>
                <w:b/>
                <w:sz w:val="16"/>
              </w:rPr>
            </w:pPr>
            <w:r>
              <w:rPr>
                <w:b/>
                <w:color w:val="1F487C"/>
                <w:sz w:val="16"/>
              </w:rPr>
              <w:t>Monitoring</w:t>
            </w:r>
            <w:r>
              <w:rPr>
                <w:b/>
                <w:color w:val="1F487C"/>
                <w:spacing w:val="1"/>
                <w:sz w:val="16"/>
              </w:rPr>
              <w:t xml:space="preserve"> </w:t>
            </w:r>
            <w:r>
              <w:rPr>
                <w:b/>
                <w:color w:val="1F487C"/>
                <w:sz w:val="16"/>
              </w:rPr>
              <w:t>of Driving</w:t>
            </w:r>
            <w:r>
              <w:rPr>
                <w:b/>
                <w:color w:val="1F487C"/>
                <w:spacing w:val="1"/>
                <w:sz w:val="16"/>
              </w:rPr>
              <w:t xml:space="preserve"> </w:t>
            </w:r>
            <w:r>
              <w:rPr>
                <w:b/>
                <w:color w:val="1F487C"/>
                <w:spacing w:val="-1"/>
                <w:sz w:val="16"/>
              </w:rPr>
              <w:t>Environment</w:t>
            </w:r>
          </w:p>
        </w:tc>
        <w:tc>
          <w:tcPr>
            <w:tcW w:w="1134" w:type="dxa"/>
          </w:tcPr>
          <w:p w14:paraId="497493CE" w14:textId="77777777" w:rsidR="00482C62" w:rsidRDefault="00482C62" w:rsidP="00336410">
            <w:pPr>
              <w:pStyle w:val="TableParagraph"/>
              <w:ind w:left="105" w:right="97" w:firstLine="1"/>
              <w:jc w:val="center"/>
              <w:rPr>
                <w:b/>
                <w:sz w:val="16"/>
              </w:rPr>
            </w:pPr>
            <w:r>
              <w:rPr>
                <w:b/>
                <w:color w:val="1F487C"/>
                <w:sz w:val="16"/>
              </w:rPr>
              <w:t>Fallback</w:t>
            </w:r>
            <w:r>
              <w:rPr>
                <w:b/>
                <w:color w:val="1F487C"/>
                <w:spacing w:val="1"/>
                <w:sz w:val="16"/>
              </w:rPr>
              <w:t xml:space="preserve"> </w:t>
            </w:r>
            <w:r>
              <w:rPr>
                <w:b/>
                <w:color w:val="1F487C"/>
                <w:sz w:val="16"/>
              </w:rPr>
              <w:t>Performance</w:t>
            </w:r>
            <w:r>
              <w:rPr>
                <w:b/>
                <w:color w:val="1F487C"/>
                <w:spacing w:val="-37"/>
                <w:sz w:val="16"/>
              </w:rPr>
              <w:t xml:space="preserve"> </w:t>
            </w:r>
            <w:r>
              <w:rPr>
                <w:b/>
                <w:color w:val="1F487C"/>
                <w:sz w:val="16"/>
              </w:rPr>
              <w:t>of Dynamic</w:t>
            </w:r>
            <w:r>
              <w:rPr>
                <w:b/>
                <w:color w:val="1F487C"/>
                <w:spacing w:val="1"/>
                <w:sz w:val="16"/>
              </w:rPr>
              <w:t xml:space="preserve"> </w:t>
            </w:r>
            <w:r>
              <w:rPr>
                <w:b/>
                <w:color w:val="1F487C"/>
                <w:sz w:val="16"/>
              </w:rPr>
              <w:t>Driving</w:t>
            </w:r>
          </w:p>
          <w:p w14:paraId="1857108B" w14:textId="77777777" w:rsidR="00482C62" w:rsidRDefault="00482C62" w:rsidP="00336410">
            <w:pPr>
              <w:pStyle w:val="TableParagraph"/>
              <w:spacing w:line="166" w:lineRule="exact"/>
              <w:ind w:left="292" w:right="288"/>
              <w:jc w:val="center"/>
              <w:rPr>
                <w:b/>
                <w:sz w:val="16"/>
              </w:rPr>
            </w:pPr>
            <w:r>
              <w:rPr>
                <w:b/>
                <w:color w:val="1F487C"/>
                <w:sz w:val="16"/>
              </w:rPr>
              <w:t>Task</w:t>
            </w:r>
          </w:p>
        </w:tc>
        <w:tc>
          <w:tcPr>
            <w:tcW w:w="992" w:type="dxa"/>
          </w:tcPr>
          <w:p w14:paraId="5F225BA4" w14:textId="77777777" w:rsidR="00482C62" w:rsidRDefault="00482C62" w:rsidP="00336410">
            <w:pPr>
              <w:pStyle w:val="TableParagraph"/>
              <w:spacing w:before="90"/>
              <w:ind w:left="121" w:right="112" w:firstLine="5"/>
              <w:jc w:val="center"/>
              <w:rPr>
                <w:b/>
                <w:sz w:val="16"/>
              </w:rPr>
            </w:pPr>
            <w:r>
              <w:rPr>
                <w:b/>
                <w:color w:val="1F487C"/>
                <w:sz w:val="16"/>
              </w:rPr>
              <w:t>System</w:t>
            </w:r>
            <w:r>
              <w:rPr>
                <w:b/>
                <w:color w:val="1F487C"/>
                <w:spacing w:val="1"/>
                <w:sz w:val="16"/>
              </w:rPr>
              <w:t xml:space="preserve"> </w:t>
            </w:r>
            <w:r>
              <w:rPr>
                <w:b/>
                <w:color w:val="1F487C"/>
                <w:sz w:val="16"/>
              </w:rPr>
              <w:t>Capability</w:t>
            </w:r>
            <w:r>
              <w:rPr>
                <w:b/>
                <w:color w:val="1F487C"/>
                <w:spacing w:val="-37"/>
                <w:sz w:val="16"/>
              </w:rPr>
              <w:t xml:space="preserve"> </w:t>
            </w:r>
            <w:r>
              <w:rPr>
                <w:b/>
                <w:color w:val="1F487C"/>
                <w:sz w:val="16"/>
              </w:rPr>
              <w:t>(Driving</w:t>
            </w:r>
            <w:r>
              <w:rPr>
                <w:b/>
                <w:color w:val="1F487C"/>
                <w:spacing w:val="1"/>
                <w:sz w:val="16"/>
              </w:rPr>
              <w:t xml:space="preserve"> </w:t>
            </w:r>
            <w:r>
              <w:rPr>
                <w:b/>
                <w:color w:val="1F487C"/>
                <w:sz w:val="16"/>
              </w:rPr>
              <w:t>Modes)</w:t>
            </w:r>
          </w:p>
        </w:tc>
      </w:tr>
      <w:tr w:rsidR="00482C62" w14:paraId="352C8924" w14:textId="77777777" w:rsidTr="0068422E">
        <w:trPr>
          <w:trHeight w:val="178"/>
        </w:trPr>
        <w:tc>
          <w:tcPr>
            <w:tcW w:w="4846" w:type="dxa"/>
            <w:gridSpan w:val="3"/>
            <w:shd w:val="clear" w:color="auto" w:fill="1F487C"/>
          </w:tcPr>
          <w:p w14:paraId="7DFFB904" w14:textId="77777777" w:rsidR="00482C62" w:rsidRDefault="00482C62" w:rsidP="00336410">
            <w:pPr>
              <w:pStyle w:val="TableParagraph"/>
              <w:spacing w:line="165" w:lineRule="exact"/>
              <w:ind w:left="107"/>
              <w:rPr>
                <w:b/>
                <w:sz w:val="16"/>
              </w:rPr>
            </w:pPr>
            <w:r>
              <w:rPr>
                <w:b/>
                <w:i/>
                <w:color w:val="FFFFFF"/>
                <w:sz w:val="16"/>
              </w:rPr>
              <w:t>Human</w:t>
            </w:r>
            <w:r>
              <w:rPr>
                <w:b/>
                <w:i/>
                <w:color w:val="FFFFFF"/>
                <w:spacing w:val="-6"/>
                <w:sz w:val="16"/>
              </w:rPr>
              <w:t xml:space="preserve"> </w:t>
            </w:r>
            <w:r>
              <w:rPr>
                <w:b/>
                <w:i/>
                <w:color w:val="FFFFFF"/>
                <w:sz w:val="16"/>
              </w:rPr>
              <w:t>driver</w:t>
            </w:r>
            <w:r>
              <w:rPr>
                <w:b/>
                <w:i/>
                <w:color w:val="FFFFFF"/>
                <w:spacing w:val="-3"/>
                <w:sz w:val="16"/>
              </w:rPr>
              <w:t xml:space="preserve"> </w:t>
            </w:r>
            <w:r>
              <w:rPr>
                <w:b/>
                <w:color w:val="FFFFFF"/>
                <w:sz w:val="16"/>
              </w:rPr>
              <w:t>monitors</w:t>
            </w:r>
            <w:r>
              <w:rPr>
                <w:b/>
                <w:color w:val="FFFFFF"/>
                <w:spacing w:val="-3"/>
                <w:sz w:val="16"/>
              </w:rPr>
              <w:t xml:space="preserve"> </w:t>
            </w:r>
            <w:r>
              <w:rPr>
                <w:b/>
                <w:color w:val="FFFFFF"/>
                <w:sz w:val="16"/>
              </w:rPr>
              <w:t>the</w:t>
            </w:r>
            <w:r>
              <w:rPr>
                <w:b/>
                <w:color w:val="FFFFFF"/>
                <w:spacing w:val="-4"/>
                <w:sz w:val="16"/>
              </w:rPr>
              <w:t xml:space="preserve"> </w:t>
            </w:r>
            <w:r>
              <w:rPr>
                <w:b/>
                <w:color w:val="FFFFFF"/>
                <w:sz w:val="16"/>
              </w:rPr>
              <w:t>driving</w:t>
            </w:r>
            <w:r>
              <w:rPr>
                <w:b/>
                <w:color w:val="FFFFFF"/>
                <w:spacing w:val="-6"/>
                <w:sz w:val="16"/>
              </w:rPr>
              <w:t xml:space="preserve"> </w:t>
            </w:r>
            <w:r>
              <w:rPr>
                <w:b/>
                <w:color w:val="FFFFFF"/>
                <w:sz w:val="16"/>
              </w:rPr>
              <w:t>environment</w:t>
            </w:r>
          </w:p>
        </w:tc>
        <w:tc>
          <w:tcPr>
            <w:tcW w:w="4394" w:type="dxa"/>
            <w:gridSpan w:val="4"/>
          </w:tcPr>
          <w:p w14:paraId="5669D566" w14:textId="77777777" w:rsidR="00482C62" w:rsidRDefault="00482C62" w:rsidP="00336410">
            <w:pPr>
              <w:pStyle w:val="TableParagraph"/>
              <w:rPr>
                <w:sz w:val="12"/>
              </w:rPr>
            </w:pPr>
          </w:p>
        </w:tc>
      </w:tr>
      <w:tr w:rsidR="0068422E" w14:paraId="7D3ED8B0" w14:textId="77777777" w:rsidTr="0068422E">
        <w:trPr>
          <w:trHeight w:val="535"/>
        </w:trPr>
        <w:tc>
          <w:tcPr>
            <w:tcW w:w="449" w:type="dxa"/>
          </w:tcPr>
          <w:p w14:paraId="0895F0D0" w14:textId="77777777" w:rsidR="00482C62" w:rsidRDefault="00482C62" w:rsidP="00336410">
            <w:pPr>
              <w:pStyle w:val="TableParagraph"/>
              <w:spacing w:before="9"/>
              <w:rPr>
                <w:sz w:val="15"/>
              </w:rPr>
            </w:pPr>
          </w:p>
          <w:p w14:paraId="7B442105" w14:textId="77777777" w:rsidR="00482C62" w:rsidRDefault="00482C62" w:rsidP="00336410">
            <w:pPr>
              <w:pStyle w:val="TableParagraph"/>
              <w:ind w:left="6"/>
              <w:jc w:val="center"/>
              <w:rPr>
                <w:b/>
                <w:sz w:val="16"/>
              </w:rPr>
            </w:pPr>
            <w:r>
              <w:rPr>
                <w:b/>
                <w:sz w:val="16"/>
              </w:rPr>
              <w:t>0</w:t>
            </w:r>
          </w:p>
        </w:tc>
        <w:tc>
          <w:tcPr>
            <w:tcW w:w="1136" w:type="dxa"/>
            <w:shd w:val="clear" w:color="auto" w:fill="C5D9F0"/>
          </w:tcPr>
          <w:p w14:paraId="7FB3A543" w14:textId="77777777" w:rsidR="00482C62" w:rsidRDefault="00482C62" w:rsidP="00336410">
            <w:pPr>
              <w:pStyle w:val="TableParagraph"/>
              <w:spacing w:before="88"/>
              <w:ind w:left="134" w:right="113" w:firstLine="312"/>
              <w:rPr>
                <w:b/>
                <w:sz w:val="16"/>
              </w:rPr>
            </w:pPr>
            <w:r>
              <w:rPr>
                <w:b/>
                <w:sz w:val="16"/>
              </w:rPr>
              <w:t>No</w:t>
            </w:r>
            <w:r>
              <w:rPr>
                <w:b/>
                <w:spacing w:val="1"/>
                <w:sz w:val="16"/>
              </w:rPr>
              <w:t xml:space="preserve"> </w:t>
            </w:r>
            <w:r>
              <w:rPr>
                <w:b/>
                <w:sz w:val="16"/>
              </w:rPr>
              <w:t>Automation</w:t>
            </w:r>
          </w:p>
        </w:tc>
        <w:tc>
          <w:tcPr>
            <w:tcW w:w="3261" w:type="dxa"/>
            <w:shd w:val="clear" w:color="auto" w:fill="C5D9F0"/>
          </w:tcPr>
          <w:p w14:paraId="5F104746" w14:textId="1D808D1E" w:rsidR="00482C62" w:rsidRDefault="00482C62" w:rsidP="0068422E">
            <w:pPr>
              <w:pStyle w:val="TableParagraph"/>
              <w:spacing w:line="178" w:lineRule="exact"/>
              <w:ind w:left="107"/>
              <w:rPr>
                <w:sz w:val="16"/>
              </w:rPr>
            </w:pPr>
            <w:r>
              <w:rPr>
                <w:sz w:val="16"/>
              </w:rPr>
              <w:t>the</w:t>
            </w:r>
            <w:r>
              <w:rPr>
                <w:spacing w:val="-3"/>
                <w:sz w:val="16"/>
              </w:rPr>
              <w:t xml:space="preserve"> </w:t>
            </w:r>
            <w:r>
              <w:rPr>
                <w:i/>
                <w:sz w:val="16"/>
              </w:rPr>
              <w:t>full-time</w:t>
            </w:r>
            <w:r>
              <w:rPr>
                <w:i/>
                <w:spacing w:val="-3"/>
                <w:sz w:val="16"/>
              </w:rPr>
              <w:t xml:space="preserve"> </w:t>
            </w:r>
            <w:r>
              <w:rPr>
                <w:sz w:val="16"/>
              </w:rPr>
              <w:t>performance</w:t>
            </w:r>
            <w:r>
              <w:rPr>
                <w:spacing w:val="-3"/>
                <w:sz w:val="16"/>
              </w:rPr>
              <w:t xml:space="preserve"> </w:t>
            </w:r>
            <w:r>
              <w:rPr>
                <w:sz w:val="16"/>
              </w:rPr>
              <w:t>by</w:t>
            </w:r>
            <w:r>
              <w:rPr>
                <w:spacing w:val="-5"/>
                <w:sz w:val="16"/>
              </w:rPr>
              <w:t xml:space="preserve"> </w:t>
            </w:r>
            <w:r>
              <w:rPr>
                <w:sz w:val="16"/>
              </w:rPr>
              <w:t>the</w:t>
            </w:r>
            <w:r>
              <w:rPr>
                <w:spacing w:val="-1"/>
                <w:sz w:val="16"/>
              </w:rPr>
              <w:t xml:space="preserve"> </w:t>
            </w:r>
            <w:r>
              <w:rPr>
                <w:i/>
                <w:sz w:val="16"/>
              </w:rPr>
              <w:t>human</w:t>
            </w:r>
            <w:r>
              <w:rPr>
                <w:i/>
                <w:spacing w:val="-3"/>
                <w:sz w:val="16"/>
              </w:rPr>
              <w:t xml:space="preserve"> </w:t>
            </w:r>
            <w:r>
              <w:rPr>
                <w:i/>
                <w:sz w:val="16"/>
              </w:rPr>
              <w:t xml:space="preserve">driver </w:t>
            </w:r>
            <w:r>
              <w:rPr>
                <w:sz w:val="16"/>
              </w:rPr>
              <w:t>of</w:t>
            </w:r>
            <w:r>
              <w:rPr>
                <w:spacing w:val="-5"/>
                <w:sz w:val="16"/>
              </w:rPr>
              <w:t xml:space="preserve"> </w:t>
            </w:r>
            <w:r>
              <w:rPr>
                <w:i/>
                <w:sz w:val="16"/>
              </w:rPr>
              <w:t>all</w:t>
            </w:r>
            <w:r>
              <w:rPr>
                <w:i/>
                <w:spacing w:val="-2"/>
                <w:sz w:val="16"/>
              </w:rPr>
              <w:t xml:space="preserve"> </w:t>
            </w:r>
            <w:r>
              <w:rPr>
                <w:i/>
                <w:sz w:val="16"/>
              </w:rPr>
              <w:t>aspects</w:t>
            </w:r>
            <w:r>
              <w:rPr>
                <w:i/>
                <w:spacing w:val="-1"/>
                <w:sz w:val="16"/>
              </w:rPr>
              <w:t xml:space="preserve"> </w:t>
            </w:r>
            <w:r>
              <w:rPr>
                <w:sz w:val="16"/>
              </w:rPr>
              <w:t>of</w:t>
            </w:r>
            <w:r>
              <w:rPr>
                <w:spacing w:val="-2"/>
                <w:sz w:val="16"/>
              </w:rPr>
              <w:t xml:space="preserve"> </w:t>
            </w:r>
            <w:r>
              <w:rPr>
                <w:sz w:val="16"/>
              </w:rPr>
              <w:t>the</w:t>
            </w:r>
            <w:r w:rsidR="0068422E">
              <w:rPr>
                <w:sz w:val="16"/>
              </w:rPr>
              <w:t xml:space="preserve"> </w:t>
            </w:r>
            <w:r>
              <w:rPr>
                <w:sz w:val="16"/>
              </w:rPr>
              <w:t>dynamic</w:t>
            </w:r>
            <w:r>
              <w:rPr>
                <w:spacing w:val="-5"/>
                <w:sz w:val="16"/>
              </w:rPr>
              <w:t xml:space="preserve"> </w:t>
            </w:r>
            <w:r>
              <w:rPr>
                <w:sz w:val="16"/>
              </w:rPr>
              <w:t>driving</w:t>
            </w:r>
            <w:r>
              <w:rPr>
                <w:spacing w:val="-6"/>
                <w:sz w:val="16"/>
              </w:rPr>
              <w:t xml:space="preserve"> </w:t>
            </w:r>
            <w:r>
              <w:rPr>
                <w:sz w:val="16"/>
              </w:rPr>
              <w:t>task,</w:t>
            </w:r>
            <w:r>
              <w:rPr>
                <w:spacing w:val="-4"/>
                <w:sz w:val="16"/>
              </w:rPr>
              <w:t xml:space="preserve"> </w:t>
            </w:r>
            <w:r>
              <w:rPr>
                <w:sz w:val="16"/>
              </w:rPr>
              <w:t>even</w:t>
            </w:r>
            <w:r>
              <w:rPr>
                <w:spacing w:val="-2"/>
                <w:sz w:val="16"/>
              </w:rPr>
              <w:t xml:space="preserve"> </w:t>
            </w:r>
            <w:r>
              <w:rPr>
                <w:sz w:val="16"/>
              </w:rPr>
              <w:t>when</w:t>
            </w:r>
            <w:r>
              <w:rPr>
                <w:spacing w:val="-2"/>
                <w:sz w:val="16"/>
              </w:rPr>
              <w:t xml:space="preserve"> </w:t>
            </w:r>
            <w:r>
              <w:rPr>
                <w:sz w:val="16"/>
              </w:rPr>
              <w:t>enhanced</w:t>
            </w:r>
            <w:r>
              <w:rPr>
                <w:spacing w:val="-4"/>
                <w:sz w:val="16"/>
              </w:rPr>
              <w:t xml:space="preserve"> </w:t>
            </w:r>
            <w:r>
              <w:rPr>
                <w:sz w:val="16"/>
              </w:rPr>
              <w:t>by</w:t>
            </w:r>
            <w:r>
              <w:rPr>
                <w:spacing w:val="-4"/>
                <w:sz w:val="16"/>
              </w:rPr>
              <w:t xml:space="preserve"> </w:t>
            </w:r>
            <w:r>
              <w:rPr>
                <w:sz w:val="16"/>
              </w:rPr>
              <w:t>warning</w:t>
            </w:r>
            <w:r>
              <w:rPr>
                <w:spacing w:val="-3"/>
                <w:sz w:val="16"/>
              </w:rPr>
              <w:t xml:space="preserve"> </w:t>
            </w:r>
            <w:r>
              <w:rPr>
                <w:sz w:val="16"/>
              </w:rPr>
              <w:t>or</w:t>
            </w:r>
            <w:r>
              <w:rPr>
                <w:spacing w:val="-37"/>
                <w:sz w:val="16"/>
              </w:rPr>
              <w:t xml:space="preserve"> </w:t>
            </w:r>
            <w:r>
              <w:rPr>
                <w:sz w:val="16"/>
              </w:rPr>
              <w:t xml:space="preserve">intervention </w:t>
            </w:r>
            <w:r w:rsidR="0068422E">
              <w:rPr>
                <w:sz w:val="16"/>
              </w:rPr>
              <w:t>s</w:t>
            </w:r>
            <w:r>
              <w:rPr>
                <w:sz w:val="16"/>
              </w:rPr>
              <w:t>ystems</w:t>
            </w:r>
          </w:p>
        </w:tc>
        <w:tc>
          <w:tcPr>
            <w:tcW w:w="1134" w:type="dxa"/>
            <w:shd w:val="clear" w:color="auto" w:fill="C5D9F0"/>
          </w:tcPr>
          <w:p w14:paraId="0E8B3814" w14:textId="77777777" w:rsidR="00482C62" w:rsidRDefault="00482C62" w:rsidP="00336410">
            <w:pPr>
              <w:pStyle w:val="TableParagraph"/>
              <w:spacing w:before="6"/>
              <w:rPr>
                <w:sz w:val="15"/>
              </w:rPr>
            </w:pPr>
          </w:p>
          <w:p w14:paraId="0DF2FD1C" w14:textId="77777777" w:rsidR="00482C62" w:rsidRDefault="00482C62" w:rsidP="00336410">
            <w:pPr>
              <w:pStyle w:val="TableParagraph"/>
              <w:ind w:left="103" w:right="101"/>
              <w:jc w:val="center"/>
              <w:rPr>
                <w:sz w:val="16"/>
              </w:rPr>
            </w:pPr>
            <w:r>
              <w:rPr>
                <w:sz w:val="16"/>
              </w:rPr>
              <w:t>Human</w:t>
            </w:r>
            <w:r>
              <w:rPr>
                <w:spacing w:val="-4"/>
                <w:sz w:val="16"/>
              </w:rPr>
              <w:t xml:space="preserve"> </w:t>
            </w:r>
            <w:r>
              <w:rPr>
                <w:sz w:val="16"/>
              </w:rPr>
              <w:t>driver</w:t>
            </w:r>
          </w:p>
        </w:tc>
        <w:tc>
          <w:tcPr>
            <w:tcW w:w="1134" w:type="dxa"/>
            <w:shd w:val="clear" w:color="auto" w:fill="C5D9F0"/>
          </w:tcPr>
          <w:p w14:paraId="3DE4C43C" w14:textId="77777777" w:rsidR="00482C62" w:rsidRDefault="00482C62" w:rsidP="00336410">
            <w:pPr>
              <w:pStyle w:val="TableParagraph"/>
              <w:spacing w:before="6"/>
              <w:rPr>
                <w:sz w:val="15"/>
              </w:rPr>
            </w:pPr>
          </w:p>
          <w:p w14:paraId="0C48F9F5" w14:textId="77777777" w:rsidR="00482C62" w:rsidRDefault="00482C62" w:rsidP="00336410">
            <w:pPr>
              <w:pStyle w:val="TableParagraph"/>
              <w:ind w:left="96" w:right="88"/>
              <w:jc w:val="center"/>
              <w:rPr>
                <w:sz w:val="16"/>
              </w:rPr>
            </w:pPr>
            <w:r>
              <w:rPr>
                <w:sz w:val="16"/>
              </w:rPr>
              <w:t>Human</w:t>
            </w:r>
            <w:r>
              <w:rPr>
                <w:spacing w:val="-4"/>
                <w:sz w:val="16"/>
              </w:rPr>
              <w:t xml:space="preserve"> </w:t>
            </w:r>
            <w:r>
              <w:rPr>
                <w:sz w:val="16"/>
              </w:rPr>
              <w:t>driver</w:t>
            </w:r>
          </w:p>
        </w:tc>
        <w:tc>
          <w:tcPr>
            <w:tcW w:w="1134" w:type="dxa"/>
            <w:shd w:val="clear" w:color="auto" w:fill="C5D9F0"/>
          </w:tcPr>
          <w:p w14:paraId="66A9DC68" w14:textId="77777777" w:rsidR="00482C62" w:rsidRDefault="00482C62" w:rsidP="00336410">
            <w:pPr>
              <w:pStyle w:val="TableParagraph"/>
              <w:spacing w:before="85"/>
              <w:ind w:left="357" w:right="291" w:hanging="46"/>
              <w:rPr>
                <w:sz w:val="16"/>
              </w:rPr>
            </w:pPr>
            <w:r>
              <w:rPr>
                <w:sz w:val="16"/>
              </w:rPr>
              <w:t>Human</w:t>
            </w:r>
            <w:r>
              <w:rPr>
                <w:spacing w:val="-38"/>
                <w:sz w:val="16"/>
              </w:rPr>
              <w:t xml:space="preserve"> </w:t>
            </w:r>
            <w:r>
              <w:rPr>
                <w:sz w:val="16"/>
              </w:rPr>
              <w:t>driver</w:t>
            </w:r>
          </w:p>
        </w:tc>
        <w:tc>
          <w:tcPr>
            <w:tcW w:w="992" w:type="dxa"/>
            <w:shd w:val="clear" w:color="auto" w:fill="C5D9F0"/>
          </w:tcPr>
          <w:p w14:paraId="1D7968A9" w14:textId="77777777" w:rsidR="00482C62" w:rsidRDefault="00482C62" w:rsidP="00336410">
            <w:pPr>
              <w:pStyle w:val="TableParagraph"/>
              <w:spacing w:before="6"/>
              <w:rPr>
                <w:sz w:val="15"/>
              </w:rPr>
            </w:pPr>
          </w:p>
          <w:p w14:paraId="55B0DDEE" w14:textId="77777777" w:rsidR="00482C62" w:rsidRDefault="00482C62" w:rsidP="00336410">
            <w:pPr>
              <w:pStyle w:val="TableParagraph"/>
              <w:ind w:left="365" w:right="355"/>
              <w:jc w:val="center"/>
              <w:rPr>
                <w:sz w:val="16"/>
              </w:rPr>
            </w:pPr>
            <w:r>
              <w:rPr>
                <w:sz w:val="16"/>
              </w:rPr>
              <w:t>n/a</w:t>
            </w:r>
          </w:p>
        </w:tc>
      </w:tr>
      <w:tr w:rsidR="0068422E" w14:paraId="59D0072A" w14:textId="77777777" w:rsidTr="0068422E">
        <w:trPr>
          <w:trHeight w:val="697"/>
        </w:trPr>
        <w:tc>
          <w:tcPr>
            <w:tcW w:w="449" w:type="dxa"/>
          </w:tcPr>
          <w:p w14:paraId="6F0BC0FC" w14:textId="77777777" w:rsidR="00482C62" w:rsidRDefault="00482C62" w:rsidP="00336410">
            <w:pPr>
              <w:pStyle w:val="TableParagraph"/>
              <w:spacing w:before="8"/>
              <w:rPr>
                <w:sz w:val="23"/>
              </w:rPr>
            </w:pPr>
          </w:p>
          <w:p w14:paraId="30F776DD" w14:textId="77777777" w:rsidR="00482C62" w:rsidRDefault="00482C62" w:rsidP="00336410">
            <w:pPr>
              <w:pStyle w:val="TableParagraph"/>
              <w:ind w:left="6"/>
              <w:jc w:val="center"/>
              <w:rPr>
                <w:b/>
                <w:sz w:val="16"/>
              </w:rPr>
            </w:pPr>
            <w:r>
              <w:rPr>
                <w:b/>
                <w:sz w:val="16"/>
              </w:rPr>
              <w:t>1</w:t>
            </w:r>
          </w:p>
        </w:tc>
        <w:tc>
          <w:tcPr>
            <w:tcW w:w="1136" w:type="dxa"/>
            <w:shd w:val="clear" w:color="auto" w:fill="C5D9F0"/>
          </w:tcPr>
          <w:p w14:paraId="2097C4BE" w14:textId="77777777" w:rsidR="00482C62" w:rsidRDefault="00482C62" w:rsidP="00336410">
            <w:pPr>
              <w:pStyle w:val="TableParagraph"/>
              <w:spacing w:before="9"/>
              <w:rPr>
                <w:sz w:val="15"/>
              </w:rPr>
            </w:pPr>
          </w:p>
          <w:p w14:paraId="7963794C" w14:textId="77777777" w:rsidR="00482C62" w:rsidRDefault="00482C62" w:rsidP="00336410">
            <w:pPr>
              <w:pStyle w:val="TableParagraph"/>
              <w:ind w:left="190" w:right="163" w:firstLine="127"/>
              <w:rPr>
                <w:b/>
                <w:sz w:val="16"/>
              </w:rPr>
            </w:pPr>
            <w:r>
              <w:rPr>
                <w:b/>
                <w:sz w:val="16"/>
              </w:rPr>
              <w:t>Driver</w:t>
            </w:r>
            <w:r>
              <w:rPr>
                <w:b/>
                <w:spacing w:val="1"/>
                <w:sz w:val="16"/>
              </w:rPr>
              <w:t xml:space="preserve"> </w:t>
            </w:r>
            <w:r>
              <w:rPr>
                <w:b/>
                <w:sz w:val="16"/>
              </w:rPr>
              <w:t>Assistance</w:t>
            </w:r>
          </w:p>
        </w:tc>
        <w:tc>
          <w:tcPr>
            <w:tcW w:w="3261" w:type="dxa"/>
            <w:shd w:val="clear" w:color="auto" w:fill="C5D9F0"/>
          </w:tcPr>
          <w:p w14:paraId="17A4BB43" w14:textId="54EBAA2E" w:rsidR="00482C62" w:rsidRDefault="00482C62" w:rsidP="0068422E">
            <w:pPr>
              <w:pStyle w:val="TableParagraph"/>
              <w:ind w:left="107" w:right="165"/>
              <w:rPr>
                <w:sz w:val="16"/>
              </w:rPr>
            </w:pPr>
            <w:r>
              <w:rPr>
                <w:sz w:val="16"/>
              </w:rPr>
              <w:t xml:space="preserve">the driving mode-specific execution by a </w:t>
            </w:r>
            <w:r>
              <w:rPr>
                <w:i/>
                <w:sz w:val="16"/>
              </w:rPr>
              <w:t xml:space="preserve">driver assistance system </w:t>
            </w:r>
            <w:r>
              <w:rPr>
                <w:sz w:val="16"/>
              </w:rPr>
              <w:t>of</w:t>
            </w:r>
            <w:r>
              <w:rPr>
                <w:spacing w:val="-37"/>
                <w:sz w:val="16"/>
              </w:rPr>
              <w:t xml:space="preserve"> </w:t>
            </w:r>
            <w:r>
              <w:rPr>
                <w:sz w:val="16"/>
              </w:rPr>
              <w:t>either</w:t>
            </w:r>
            <w:r>
              <w:rPr>
                <w:spacing w:val="-5"/>
                <w:sz w:val="16"/>
              </w:rPr>
              <w:t xml:space="preserve"> </w:t>
            </w:r>
            <w:r>
              <w:rPr>
                <w:i/>
                <w:sz w:val="16"/>
              </w:rPr>
              <w:t>steering</w:t>
            </w:r>
            <w:r>
              <w:rPr>
                <w:i/>
                <w:spacing w:val="-2"/>
                <w:sz w:val="16"/>
              </w:rPr>
              <w:t xml:space="preserve"> </w:t>
            </w:r>
            <w:r>
              <w:rPr>
                <w:sz w:val="16"/>
              </w:rPr>
              <w:t>or</w:t>
            </w:r>
            <w:r>
              <w:rPr>
                <w:spacing w:val="-7"/>
                <w:sz w:val="16"/>
              </w:rPr>
              <w:t xml:space="preserve"> </w:t>
            </w:r>
            <w:r w:rsidR="0068422E">
              <w:rPr>
                <w:spacing w:val="-7"/>
                <w:sz w:val="16"/>
              </w:rPr>
              <w:t>a</w:t>
            </w:r>
            <w:r>
              <w:rPr>
                <w:i/>
                <w:sz w:val="16"/>
              </w:rPr>
              <w:t>cceleration/deceleration</w:t>
            </w:r>
            <w:r>
              <w:rPr>
                <w:i/>
                <w:spacing w:val="-3"/>
                <w:sz w:val="16"/>
              </w:rPr>
              <w:t xml:space="preserve"> </w:t>
            </w:r>
            <w:r>
              <w:rPr>
                <w:sz w:val="16"/>
              </w:rPr>
              <w:t>using</w:t>
            </w:r>
            <w:r>
              <w:rPr>
                <w:spacing w:val="-7"/>
                <w:sz w:val="16"/>
              </w:rPr>
              <w:t xml:space="preserve"> </w:t>
            </w:r>
            <w:r>
              <w:rPr>
                <w:sz w:val="16"/>
              </w:rPr>
              <w:t>information</w:t>
            </w:r>
            <w:r>
              <w:rPr>
                <w:spacing w:val="-5"/>
                <w:sz w:val="16"/>
              </w:rPr>
              <w:t xml:space="preserve"> </w:t>
            </w:r>
            <w:r>
              <w:rPr>
                <w:sz w:val="16"/>
              </w:rPr>
              <w:t>about</w:t>
            </w:r>
            <w:r w:rsidR="0068422E">
              <w:rPr>
                <w:sz w:val="16"/>
              </w:rPr>
              <w:t xml:space="preserve"> </w:t>
            </w:r>
            <w:r>
              <w:rPr>
                <w:sz w:val="16"/>
              </w:rPr>
              <w:t xml:space="preserve">the driving environment and with the expectation that the </w:t>
            </w:r>
            <w:r>
              <w:rPr>
                <w:i/>
                <w:sz w:val="16"/>
              </w:rPr>
              <w:t>human</w:t>
            </w:r>
            <w:r>
              <w:rPr>
                <w:i/>
                <w:spacing w:val="-37"/>
                <w:sz w:val="16"/>
              </w:rPr>
              <w:t xml:space="preserve"> </w:t>
            </w:r>
            <w:r>
              <w:rPr>
                <w:i/>
                <w:sz w:val="16"/>
              </w:rPr>
              <w:t>driver</w:t>
            </w:r>
            <w:r>
              <w:rPr>
                <w:i/>
                <w:spacing w:val="-5"/>
                <w:sz w:val="16"/>
              </w:rPr>
              <w:t xml:space="preserve"> </w:t>
            </w:r>
            <w:r>
              <w:rPr>
                <w:sz w:val="16"/>
              </w:rPr>
              <w:t>perform</w:t>
            </w:r>
            <w:r>
              <w:rPr>
                <w:spacing w:val="-2"/>
                <w:sz w:val="16"/>
              </w:rPr>
              <w:t xml:space="preserve"> </w:t>
            </w:r>
            <w:r>
              <w:rPr>
                <w:i/>
                <w:sz w:val="16"/>
              </w:rPr>
              <w:t>all</w:t>
            </w:r>
            <w:r>
              <w:rPr>
                <w:i/>
                <w:spacing w:val="-2"/>
                <w:sz w:val="16"/>
              </w:rPr>
              <w:t xml:space="preserve"> </w:t>
            </w:r>
            <w:r>
              <w:rPr>
                <w:i/>
                <w:sz w:val="16"/>
              </w:rPr>
              <w:t>remaining</w:t>
            </w:r>
            <w:r>
              <w:rPr>
                <w:i/>
                <w:spacing w:val="-3"/>
                <w:sz w:val="16"/>
              </w:rPr>
              <w:t xml:space="preserve"> </w:t>
            </w:r>
            <w:r>
              <w:rPr>
                <w:i/>
                <w:sz w:val="16"/>
              </w:rPr>
              <w:t>aspects</w:t>
            </w:r>
            <w:r>
              <w:rPr>
                <w:i/>
                <w:spacing w:val="-2"/>
                <w:sz w:val="16"/>
              </w:rPr>
              <w:t xml:space="preserve"> </w:t>
            </w:r>
            <w:r>
              <w:rPr>
                <w:sz w:val="16"/>
              </w:rPr>
              <w:t>of</w:t>
            </w:r>
            <w:r>
              <w:rPr>
                <w:spacing w:val="-4"/>
                <w:sz w:val="16"/>
              </w:rPr>
              <w:t xml:space="preserve"> </w:t>
            </w:r>
            <w:r>
              <w:rPr>
                <w:sz w:val="16"/>
              </w:rPr>
              <w:t>the</w:t>
            </w:r>
            <w:r>
              <w:rPr>
                <w:spacing w:val="-4"/>
                <w:sz w:val="16"/>
              </w:rPr>
              <w:t xml:space="preserve"> </w:t>
            </w:r>
            <w:r>
              <w:rPr>
                <w:sz w:val="16"/>
              </w:rPr>
              <w:t>dynamic</w:t>
            </w:r>
            <w:r>
              <w:rPr>
                <w:spacing w:val="-4"/>
                <w:sz w:val="16"/>
              </w:rPr>
              <w:t xml:space="preserve"> </w:t>
            </w:r>
            <w:r>
              <w:rPr>
                <w:sz w:val="16"/>
              </w:rPr>
              <w:t>driving</w:t>
            </w:r>
            <w:r>
              <w:rPr>
                <w:spacing w:val="-5"/>
                <w:sz w:val="16"/>
              </w:rPr>
              <w:t xml:space="preserve"> </w:t>
            </w:r>
            <w:r>
              <w:rPr>
                <w:sz w:val="16"/>
              </w:rPr>
              <w:t>task</w:t>
            </w:r>
          </w:p>
        </w:tc>
        <w:tc>
          <w:tcPr>
            <w:tcW w:w="1134" w:type="dxa"/>
            <w:tcBorders>
              <w:bottom w:val="single" w:sz="18" w:space="0" w:color="000000"/>
            </w:tcBorders>
            <w:shd w:val="clear" w:color="auto" w:fill="C5D9F0"/>
          </w:tcPr>
          <w:p w14:paraId="25B0B12A" w14:textId="77777777" w:rsidR="00482C62" w:rsidRDefault="00482C62" w:rsidP="00336410">
            <w:pPr>
              <w:pStyle w:val="TableParagraph"/>
              <w:spacing w:before="6"/>
              <w:rPr>
                <w:sz w:val="15"/>
              </w:rPr>
            </w:pPr>
          </w:p>
          <w:p w14:paraId="0689581A" w14:textId="77777777" w:rsidR="00482C62" w:rsidRDefault="00482C62" w:rsidP="00336410">
            <w:pPr>
              <w:pStyle w:val="TableParagraph"/>
              <w:ind w:left="211" w:right="105" w:hanging="89"/>
              <w:rPr>
                <w:sz w:val="16"/>
              </w:rPr>
            </w:pPr>
            <w:r>
              <w:rPr>
                <w:spacing w:val="-1"/>
                <w:sz w:val="16"/>
              </w:rPr>
              <w:t xml:space="preserve">Human </w:t>
            </w:r>
            <w:r>
              <w:rPr>
                <w:sz w:val="16"/>
              </w:rPr>
              <w:t>driver</w:t>
            </w:r>
            <w:r>
              <w:rPr>
                <w:spacing w:val="-37"/>
                <w:sz w:val="16"/>
              </w:rPr>
              <w:t xml:space="preserve"> </w:t>
            </w:r>
            <w:r>
              <w:rPr>
                <w:sz w:val="16"/>
              </w:rPr>
              <w:t>and</w:t>
            </w:r>
            <w:r>
              <w:rPr>
                <w:spacing w:val="-1"/>
                <w:sz w:val="16"/>
              </w:rPr>
              <w:t xml:space="preserve"> </w:t>
            </w:r>
            <w:r>
              <w:rPr>
                <w:sz w:val="16"/>
              </w:rPr>
              <w:t>system</w:t>
            </w:r>
          </w:p>
        </w:tc>
        <w:tc>
          <w:tcPr>
            <w:tcW w:w="1134" w:type="dxa"/>
            <w:shd w:val="clear" w:color="auto" w:fill="C5D9F0"/>
          </w:tcPr>
          <w:p w14:paraId="5E0587A1" w14:textId="77777777" w:rsidR="00482C62" w:rsidRDefault="00482C62" w:rsidP="00336410">
            <w:pPr>
              <w:pStyle w:val="TableParagraph"/>
              <w:spacing w:before="5"/>
              <w:rPr>
                <w:sz w:val="23"/>
              </w:rPr>
            </w:pPr>
          </w:p>
          <w:p w14:paraId="15310F72" w14:textId="77777777" w:rsidR="00482C62" w:rsidRDefault="00482C62" w:rsidP="00336410">
            <w:pPr>
              <w:pStyle w:val="TableParagraph"/>
              <w:spacing w:before="1"/>
              <w:ind w:left="96" w:right="88"/>
              <w:jc w:val="center"/>
              <w:rPr>
                <w:sz w:val="16"/>
              </w:rPr>
            </w:pPr>
            <w:r>
              <w:rPr>
                <w:sz w:val="16"/>
              </w:rPr>
              <w:t>Human</w:t>
            </w:r>
            <w:r>
              <w:rPr>
                <w:spacing w:val="-4"/>
                <w:sz w:val="16"/>
              </w:rPr>
              <w:t xml:space="preserve"> </w:t>
            </w:r>
            <w:r>
              <w:rPr>
                <w:sz w:val="16"/>
              </w:rPr>
              <w:t>driver</w:t>
            </w:r>
          </w:p>
        </w:tc>
        <w:tc>
          <w:tcPr>
            <w:tcW w:w="1134" w:type="dxa"/>
            <w:shd w:val="clear" w:color="auto" w:fill="C5D9F0"/>
          </w:tcPr>
          <w:p w14:paraId="162A47BB" w14:textId="77777777" w:rsidR="00482C62" w:rsidRDefault="00482C62" w:rsidP="00336410">
            <w:pPr>
              <w:pStyle w:val="TableParagraph"/>
              <w:spacing w:before="6"/>
              <w:rPr>
                <w:sz w:val="15"/>
              </w:rPr>
            </w:pPr>
          </w:p>
          <w:p w14:paraId="6F0E9710" w14:textId="77777777" w:rsidR="00482C62" w:rsidRDefault="00482C62" w:rsidP="00336410">
            <w:pPr>
              <w:pStyle w:val="TableParagraph"/>
              <w:ind w:left="357" w:right="291" w:hanging="46"/>
              <w:rPr>
                <w:sz w:val="16"/>
              </w:rPr>
            </w:pPr>
            <w:r>
              <w:rPr>
                <w:sz w:val="16"/>
              </w:rPr>
              <w:t>Human</w:t>
            </w:r>
            <w:r>
              <w:rPr>
                <w:spacing w:val="-38"/>
                <w:sz w:val="16"/>
              </w:rPr>
              <w:t xml:space="preserve"> </w:t>
            </w:r>
            <w:r>
              <w:rPr>
                <w:sz w:val="16"/>
              </w:rPr>
              <w:t>driver</w:t>
            </w:r>
          </w:p>
        </w:tc>
        <w:tc>
          <w:tcPr>
            <w:tcW w:w="992" w:type="dxa"/>
            <w:shd w:val="clear" w:color="auto" w:fill="C5D9F0"/>
          </w:tcPr>
          <w:p w14:paraId="1DC6419E" w14:textId="77777777" w:rsidR="00482C62" w:rsidRDefault="00482C62" w:rsidP="00336410">
            <w:pPr>
              <w:pStyle w:val="TableParagraph"/>
              <w:spacing w:before="85"/>
              <w:ind w:left="251" w:right="239" w:firstLine="1"/>
              <w:jc w:val="center"/>
              <w:rPr>
                <w:sz w:val="16"/>
              </w:rPr>
            </w:pPr>
            <w:r>
              <w:rPr>
                <w:sz w:val="16"/>
              </w:rPr>
              <w:t>Some</w:t>
            </w:r>
            <w:r>
              <w:rPr>
                <w:spacing w:val="1"/>
                <w:sz w:val="16"/>
              </w:rPr>
              <w:t xml:space="preserve"> </w:t>
            </w:r>
            <w:r>
              <w:rPr>
                <w:sz w:val="16"/>
              </w:rPr>
              <w:t>driving</w:t>
            </w:r>
            <w:r>
              <w:rPr>
                <w:spacing w:val="-37"/>
                <w:sz w:val="16"/>
              </w:rPr>
              <w:t xml:space="preserve"> </w:t>
            </w:r>
            <w:r>
              <w:rPr>
                <w:sz w:val="16"/>
              </w:rPr>
              <w:t>modes</w:t>
            </w:r>
          </w:p>
        </w:tc>
      </w:tr>
      <w:tr w:rsidR="0068422E" w14:paraId="1A1FA46A" w14:textId="77777777" w:rsidTr="0068422E">
        <w:trPr>
          <w:trHeight w:val="876"/>
        </w:trPr>
        <w:tc>
          <w:tcPr>
            <w:tcW w:w="449" w:type="dxa"/>
          </w:tcPr>
          <w:p w14:paraId="1CAFBC03" w14:textId="77777777" w:rsidR="00482C62" w:rsidRDefault="00482C62" w:rsidP="00336410">
            <w:pPr>
              <w:pStyle w:val="TableParagraph"/>
              <w:rPr>
                <w:sz w:val="18"/>
              </w:rPr>
            </w:pPr>
          </w:p>
          <w:p w14:paraId="1CCC8C32" w14:textId="77777777" w:rsidR="00482C62" w:rsidRDefault="00482C62" w:rsidP="00336410">
            <w:pPr>
              <w:pStyle w:val="TableParagraph"/>
              <w:spacing w:before="158"/>
              <w:ind w:left="6"/>
              <w:jc w:val="center"/>
              <w:rPr>
                <w:b/>
                <w:sz w:val="16"/>
              </w:rPr>
            </w:pPr>
            <w:r>
              <w:rPr>
                <w:b/>
                <w:sz w:val="16"/>
              </w:rPr>
              <w:t>2</w:t>
            </w:r>
          </w:p>
        </w:tc>
        <w:tc>
          <w:tcPr>
            <w:tcW w:w="1136" w:type="dxa"/>
            <w:shd w:val="clear" w:color="auto" w:fill="C5D9F0"/>
          </w:tcPr>
          <w:p w14:paraId="6E2B0A1E" w14:textId="77777777" w:rsidR="00482C62" w:rsidRDefault="00482C62" w:rsidP="00336410">
            <w:pPr>
              <w:pStyle w:val="TableParagraph"/>
              <w:spacing w:before="7"/>
              <w:rPr>
                <w:sz w:val="23"/>
              </w:rPr>
            </w:pPr>
          </w:p>
          <w:p w14:paraId="04300455" w14:textId="77777777" w:rsidR="00482C62" w:rsidRDefault="00482C62" w:rsidP="00336410">
            <w:pPr>
              <w:pStyle w:val="TableParagraph"/>
              <w:ind w:left="134" w:right="113" w:firstLine="172"/>
              <w:rPr>
                <w:b/>
                <w:sz w:val="16"/>
              </w:rPr>
            </w:pPr>
            <w:r>
              <w:rPr>
                <w:b/>
                <w:sz w:val="16"/>
              </w:rPr>
              <w:t>Partial</w:t>
            </w:r>
            <w:r>
              <w:rPr>
                <w:b/>
                <w:spacing w:val="1"/>
                <w:sz w:val="16"/>
              </w:rPr>
              <w:t xml:space="preserve"> </w:t>
            </w:r>
            <w:r>
              <w:rPr>
                <w:b/>
                <w:sz w:val="16"/>
              </w:rPr>
              <w:t>Automation</w:t>
            </w:r>
          </w:p>
        </w:tc>
        <w:tc>
          <w:tcPr>
            <w:tcW w:w="3261" w:type="dxa"/>
            <w:shd w:val="clear" w:color="auto" w:fill="C5D9F0"/>
          </w:tcPr>
          <w:p w14:paraId="4122E5DA" w14:textId="77777777" w:rsidR="00482C62" w:rsidRDefault="00482C62" w:rsidP="00336410">
            <w:pPr>
              <w:pStyle w:val="TableParagraph"/>
              <w:ind w:left="107" w:right="94"/>
              <w:rPr>
                <w:sz w:val="16"/>
              </w:rPr>
            </w:pPr>
            <w:r>
              <w:rPr>
                <w:sz w:val="16"/>
              </w:rPr>
              <w:t xml:space="preserve">the driving mode-specific execution by </w:t>
            </w:r>
            <w:r>
              <w:rPr>
                <w:i/>
                <w:sz w:val="16"/>
                <w:u w:val="single"/>
              </w:rPr>
              <w:t>one or more</w:t>
            </w:r>
            <w:r>
              <w:rPr>
                <w:i/>
                <w:sz w:val="16"/>
              </w:rPr>
              <w:t xml:space="preserve"> driver assistance</w:t>
            </w:r>
            <w:r>
              <w:rPr>
                <w:i/>
                <w:spacing w:val="-37"/>
                <w:sz w:val="16"/>
              </w:rPr>
              <w:t xml:space="preserve"> </w:t>
            </w:r>
            <w:r>
              <w:rPr>
                <w:i/>
                <w:sz w:val="16"/>
              </w:rPr>
              <w:t xml:space="preserve">systems </w:t>
            </w:r>
            <w:r>
              <w:rPr>
                <w:sz w:val="16"/>
              </w:rPr>
              <w:t xml:space="preserve">of both </w:t>
            </w:r>
            <w:r>
              <w:rPr>
                <w:i/>
                <w:sz w:val="16"/>
              </w:rPr>
              <w:t xml:space="preserve">steering </w:t>
            </w:r>
            <w:r>
              <w:rPr>
                <w:sz w:val="16"/>
              </w:rPr>
              <w:t xml:space="preserve">and </w:t>
            </w:r>
            <w:r>
              <w:rPr>
                <w:i/>
                <w:sz w:val="16"/>
              </w:rPr>
              <w:t xml:space="preserve">acceleration/deceleration </w:t>
            </w:r>
            <w:r>
              <w:rPr>
                <w:sz w:val="16"/>
              </w:rPr>
              <w:t>using</w:t>
            </w:r>
            <w:r>
              <w:rPr>
                <w:spacing w:val="1"/>
                <w:sz w:val="16"/>
              </w:rPr>
              <w:t xml:space="preserve"> </w:t>
            </w:r>
            <w:r>
              <w:rPr>
                <w:sz w:val="16"/>
              </w:rPr>
              <w:t>information about the driving environment and with the expectation</w:t>
            </w:r>
            <w:r>
              <w:rPr>
                <w:spacing w:val="1"/>
                <w:sz w:val="16"/>
              </w:rPr>
              <w:t xml:space="preserve"> </w:t>
            </w:r>
            <w:r>
              <w:rPr>
                <w:sz w:val="16"/>
              </w:rPr>
              <w:t>that</w:t>
            </w:r>
            <w:r>
              <w:rPr>
                <w:spacing w:val="-3"/>
                <w:sz w:val="16"/>
              </w:rPr>
              <w:t xml:space="preserve"> </w:t>
            </w:r>
            <w:r>
              <w:rPr>
                <w:sz w:val="16"/>
              </w:rPr>
              <w:t>the</w:t>
            </w:r>
            <w:r>
              <w:rPr>
                <w:spacing w:val="-5"/>
                <w:sz w:val="16"/>
              </w:rPr>
              <w:t xml:space="preserve"> </w:t>
            </w:r>
            <w:r>
              <w:rPr>
                <w:i/>
                <w:sz w:val="16"/>
              </w:rPr>
              <w:t>human</w:t>
            </w:r>
            <w:r>
              <w:rPr>
                <w:i/>
                <w:spacing w:val="-2"/>
                <w:sz w:val="16"/>
              </w:rPr>
              <w:t xml:space="preserve"> </w:t>
            </w:r>
            <w:r>
              <w:rPr>
                <w:i/>
                <w:sz w:val="16"/>
              </w:rPr>
              <w:t>driver</w:t>
            </w:r>
            <w:r>
              <w:rPr>
                <w:i/>
                <w:spacing w:val="-3"/>
                <w:sz w:val="16"/>
              </w:rPr>
              <w:t xml:space="preserve"> </w:t>
            </w:r>
            <w:r>
              <w:rPr>
                <w:sz w:val="16"/>
              </w:rPr>
              <w:t>perform</w:t>
            </w:r>
            <w:r>
              <w:rPr>
                <w:spacing w:val="-1"/>
                <w:sz w:val="16"/>
              </w:rPr>
              <w:t xml:space="preserve"> </w:t>
            </w:r>
            <w:r>
              <w:rPr>
                <w:i/>
                <w:sz w:val="16"/>
              </w:rPr>
              <w:t>all remaining</w:t>
            </w:r>
            <w:r>
              <w:rPr>
                <w:i/>
                <w:spacing w:val="-3"/>
                <w:sz w:val="16"/>
              </w:rPr>
              <w:t xml:space="preserve"> </w:t>
            </w:r>
            <w:r>
              <w:rPr>
                <w:i/>
                <w:sz w:val="16"/>
              </w:rPr>
              <w:t xml:space="preserve">aspects </w:t>
            </w:r>
            <w:r>
              <w:rPr>
                <w:sz w:val="16"/>
              </w:rPr>
              <w:t>of</w:t>
            </w:r>
            <w:r>
              <w:rPr>
                <w:spacing w:val="-3"/>
                <w:sz w:val="16"/>
              </w:rPr>
              <w:t xml:space="preserve"> </w:t>
            </w:r>
            <w:r>
              <w:rPr>
                <w:sz w:val="16"/>
              </w:rPr>
              <w:t>the</w:t>
            </w:r>
            <w:r>
              <w:rPr>
                <w:spacing w:val="-3"/>
                <w:sz w:val="16"/>
              </w:rPr>
              <w:t xml:space="preserve"> </w:t>
            </w:r>
            <w:r>
              <w:rPr>
                <w:sz w:val="16"/>
              </w:rPr>
              <w:t>dynamic</w:t>
            </w:r>
          </w:p>
          <w:p w14:paraId="72D8C624" w14:textId="77777777" w:rsidR="00482C62" w:rsidRDefault="00482C62" w:rsidP="00336410">
            <w:pPr>
              <w:pStyle w:val="TableParagraph"/>
              <w:spacing w:line="152" w:lineRule="exact"/>
              <w:ind w:left="107"/>
              <w:rPr>
                <w:sz w:val="16"/>
              </w:rPr>
            </w:pPr>
            <w:r>
              <w:rPr>
                <w:sz w:val="16"/>
              </w:rPr>
              <w:t>driving</w:t>
            </w:r>
            <w:r>
              <w:rPr>
                <w:spacing w:val="-3"/>
                <w:sz w:val="16"/>
              </w:rPr>
              <w:t xml:space="preserve"> </w:t>
            </w:r>
            <w:r>
              <w:rPr>
                <w:sz w:val="16"/>
              </w:rPr>
              <w:t>task</w:t>
            </w:r>
          </w:p>
        </w:tc>
        <w:tc>
          <w:tcPr>
            <w:tcW w:w="1134" w:type="dxa"/>
            <w:tcBorders>
              <w:top w:val="single" w:sz="18" w:space="0" w:color="000000"/>
              <w:right w:val="single" w:sz="18" w:space="0" w:color="000000"/>
            </w:tcBorders>
            <w:shd w:val="clear" w:color="auto" w:fill="C5D9F0"/>
          </w:tcPr>
          <w:p w14:paraId="01364D24" w14:textId="77777777" w:rsidR="00482C62" w:rsidRDefault="00482C62" w:rsidP="00336410">
            <w:pPr>
              <w:pStyle w:val="TableParagraph"/>
              <w:rPr>
                <w:sz w:val="18"/>
              </w:rPr>
            </w:pPr>
          </w:p>
          <w:p w14:paraId="1B3A0D83" w14:textId="77777777" w:rsidR="00482C62" w:rsidRDefault="00482C62" w:rsidP="00336410">
            <w:pPr>
              <w:pStyle w:val="TableParagraph"/>
              <w:spacing w:before="158"/>
              <w:ind w:left="304" w:right="283"/>
              <w:jc w:val="center"/>
              <w:rPr>
                <w:b/>
                <w:sz w:val="16"/>
              </w:rPr>
            </w:pPr>
            <w:r>
              <w:rPr>
                <w:b/>
                <w:sz w:val="16"/>
              </w:rPr>
              <w:t>System</w:t>
            </w:r>
          </w:p>
        </w:tc>
        <w:tc>
          <w:tcPr>
            <w:tcW w:w="1134" w:type="dxa"/>
            <w:tcBorders>
              <w:left w:val="single" w:sz="18" w:space="0" w:color="000000"/>
              <w:bottom w:val="single" w:sz="18" w:space="0" w:color="000000"/>
            </w:tcBorders>
            <w:shd w:val="clear" w:color="auto" w:fill="C5D9F0"/>
          </w:tcPr>
          <w:p w14:paraId="1D250D3F" w14:textId="77777777" w:rsidR="00482C62" w:rsidRDefault="00482C62" w:rsidP="00336410">
            <w:pPr>
              <w:pStyle w:val="TableParagraph"/>
              <w:rPr>
                <w:sz w:val="18"/>
              </w:rPr>
            </w:pPr>
          </w:p>
          <w:p w14:paraId="3179E0C6" w14:textId="77777777" w:rsidR="00482C62" w:rsidRDefault="00482C62" w:rsidP="00336410">
            <w:pPr>
              <w:pStyle w:val="TableParagraph"/>
              <w:spacing w:before="156"/>
              <w:ind w:left="80" w:right="86"/>
              <w:jc w:val="center"/>
              <w:rPr>
                <w:sz w:val="16"/>
              </w:rPr>
            </w:pPr>
            <w:r>
              <w:rPr>
                <w:sz w:val="16"/>
              </w:rPr>
              <w:t>Human</w:t>
            </w:r>
            <w:r>
              <w:rPr>
                <w:spacing w:val="-4"/>
                <w:sz w:val="16"/>
              </w:rPr>
              <w:t xml:space="preserve"> </w:t>
            </w:r>
            <w:r>
              <w:rPr>
                <w:sz w:val="16"/>
              </w:rPr>
              <w:t>driver</w:t>
            </w:r>
          </w:p>
        </w:tc>
        <w:tc>
          <w:tcPr>
            <w:tcW w:w="1134" w:type="dxa"/>
            <w:shd w:val="clear" w:color="auto" w:fill="C5D9F0"/>
          </w:tcPr>
          <w:p w14:paraId="2BB0D493" w14:textId="77777777" w:rsidR="00482C62" w:rsidRDefault="00482C62" w:rsidP="00336410">
            <w:pPr>
              <w:pStyle w:val="TableParagraph"/>
              <w:spacing w:before="4"/>
              <w:rPr>
                <w:sz w:val="23"/>
              </w:rPr>
            </w:pPr>
          </w:p>
          <w:p w14:paraId="39D7D5EB" w14:textId="77777777" w:rsidR="00482C62" w:rsidRDefault="00482C62" w:rsidP="00336410">
            <w:pPr>
              <w:pStyle w:val="TableParagraph"/>
              <w:spacing w:before="1"/>
              <w:ind w:left="357" w:right="291" w:hanging="46"/>
              <w:rPr>
                <w:sz w:val="16"/>
              </w:rPr>
            </w:pPr>
            <w:r>
              <w:rPr>
                <w:sz w:val="16"/>
              </w:rPr>
              <w:t>Human</w:t>
            </w:r>
            <w:r>
              <w:rPr>
                <w:spacing w:val="-38"/>
                <w:sz w:val="16"/>
              </w:rPr>
              <w:t xml:space="preserve"> </w:t>
            </w:r>
            <w:r>
              <w:rPr>
                <w:sz w:val="16"/>
              </w:rPr>
              <w:t>driver</w:t>
            </w:r>
          </w:p>
        </w:tc>
        <w:tc>
          <w:tcPr>
            <w:tcW w:w="992" w:type="dxa"/>
            <w:shd w:val="clear" w:color="auto" w:fill="C5D9F0"/>
          </w:tcPr>
          <w:p w14:paraId="283677A5" w14:textId="77777777" w:rsidR="00482C62" w:rsidRDefault="00482C62" w:rsidP="00336410">
            <w:pPr>
              <w:pStyle w:val="TableParagraph"/>
              <w:spacing w:before="5"/>
              <w:rPr>
                <w:sz w:val="15"/>
              </w:rPr>
            </w:pPr>
          </w:p>
          <w:p w14:paraId="4C98B9E0" w14:textId="77777777" w:rsidR="00482C62" w:rsidRDefault="00482C62" w:rsidP="00336410">
            <w:pPr>
              <w:pStyle w:val="TableParagraph"/>
              <w:ind w:left="251" w:right="239" w:firstLine="1"/>
              <w:jc w:val="center"/>
              <w:rPr>
                <w:sz w:val="16"/>
              </w:rPr>
            </w:pPr>
            <w:r>
              <w:rPr>
                <w:sz w:val="16"/>
              </w:rPr>
              <w:t>Some</w:t>
            </w:r>
            <w:r>
              <w:rPr>
                <w:spacing w:val="1"/>
                <w:sz w:val="16"/>
              </w:rPr>
              <w:t xml:space="preserve"> </w:t>
            </w:r>
            <w:r>
              <w:rPr>
                <w:sz w:val="16"/>
              </w:rPr>
              <w:t>driving</w:t>
            </w:r>
            <w:r>
              <w:rPr>
                <w:spacing w:val="-37"/>
                <w:sz w:val="16"/>
              </w:rPr>
              <w:t xml:space="preserve"> </w:t>
            </w:r>
            <w:r>
              <w:rPr>
                <w:sz w:val="16"/>
              </w:rPr>
              <w:t>modes</w:t>
            </w:r>
          </w:p>
        </w:tc>
      </w:tr>
      <w:tr w:rsidR="00482C62" w14:paraId="6B2B5943" w14:textId="77777777" w:rsidTr="0068422E">
        <w:trPr>
          <w:trHeight w:val="194"/>
        </w:trPr>
        <w:tc>
          <w:tcPr>
            <w:tcW w:w="4846" w:type="dxa"/>
            <w:gridSpan w:val="3"/>
            <w:shd w:val="clear" w:color="auto" w:fill="009900"/>
          </w:tcPr>
          <w:p w14:paraId="4AF32869" w14:textId="77777777" w:rsidR="00482C62" w:rsidRDefault="00482C62" w:rsidP="00336410">
            <w:pPr>
              <w:pStyle w:val="TableParagraph"/>
              <w:spacing w:before="13" w:line="168" w:lineRule="exact"/>
              <w:ind w:left="107"/>
              <w:rPr>
                <w:b/>
                <w:sz w:val="16"/>
              </w:rPr>
            </w:pPr>
            <w:r>
              <w:rPr>
                <w:b/>
                <w:i/>
                <w:color w:val="FFFFFF"/>
                <w:sz w:val="16"/>
              </w:rPr>
              <w:t>Automated</w:t>
            </w:r>
            <w:r>
              <w:rPr>
                <w:b/>
                <w:i/>
                <w:color w:val="FFFFFF"/>
                <w:spacing w:val="-7"/>
                <w:sz w:val="16"/>
              </w:rPr>
              <w:t xml:space="preserve"> </w:t>
            </w:r>
            <w:r>
              <w:rPr>
                <w:b/>
                <w:i/>
                <w:color w:val="FFFFFF"/>
                <w:sz w:val="16"/>
              </w:rPr>
              <w:t>driving</w:t>
            </w:r>
            <w:r>
              <w:rPr>
                <w:b/>
                <w:i/>
                <w:color w:val="FFFFFF"/>
                <w:spacing w:val="-4"/>
                <w:sz w:val="16"/>
              </w:rPr>
              <w:t xml:space="preserve"> </w:t>
            </w:r>
            <w:r>
              <w:rPr>
                <w:b/>
                <w:i/>
                <w:color w:val="FFFFFF"/>
                <w:sz w:val="16"/>
              </w:rPr>
              <w:t>system</w:t>
            </w:r>
            <w:r>
              <w:rPr>
                <w:b/>
                <w:i/>
                <w:color w:val="FFFFFF"/>
                <w:spacing w:val="-1"/>
                <w:sz w:val="16"/>
              </w:rPr>
              <w:t xml:space="preserve"> </w:t>
            </w:r>
            <w:r>
              <w:rPr>
                <w:b/>
                <w:color w:val="FFFFFF"/>
                <w:sz w:val="16"/>
              </w:rPr>
              <w:t>(“system”)</w:t>
            </w:r>
            <w:r>
              <w:rPr>
                <w:b/>
                <w:color w:val="FFFFFF"/>
                <w:spacing w:val="-7"/>
                <w:sz w:val="16"/>
              </w:rPr>
              <w:t xml:space="preserve"> </w:t>
            </w:r>
            <w:r>
              <w:rPr>
                <w:b/>
                <w:color w:val="FFFFFF"/>
                <w:sz w:val="16"/>
              </w:rPr>
              <w:t>monitors</w:t>
            </w:r>
            <w:r>
              <w:rPr>
                <w:b/>
                <w:color w:val="FFFFFF"/>
                <w:spacing w:val="-5"/>
                <w:sz w:val="16"/>
              </w:rPr>
              <w:t xml:space="preserve"> </w:t>
            </w:r>
            <w:r>
              <w:rPr>
                <w:b/>
                <w:color w:val="FFFFFF"/>
                <w:sz w:val="16"/>
              </w:rPr>
              <w:t>the</w:t>
            </w:r>
            <w:r>
              <w:rPr>
                <w:b/>
                <w:color w:val="FFFFFF"/>
                <w:spacing w:val="-4"/>
                <w:sz w:val="16"/>
              </w:rPr>
              <w:t xml:space="preserve"> </w:t>
            </w:r>
            <w:r>
              <w:rPr>
                <w:b/>
                <w:color w:val="FFFFFF"/>
                <w:sz w:val="16"/>
              </w:rPr>
              <w:t>driving</w:t>
            </w:r>
            <w:r>
              <w:rPr>
                <w:b/>
                <w:color w:val="FFFFFF"/>
                <w:spacing w:val="-6"/>
                <w:sz w:val="16"/>
              </w:rPr>
              <w:t xml:space="preserve"> </w:t>
            </w:r>
            <w:r>
              <w:rPr>
                <w:b/>
                <w:color w:val="FFFFFF"/>
                <w:sz w:val="16"/>
              </w:rPr>
              <w:t>environment</w:t>
            </w:r>
          </w:p>
        </w:tc>
        <w:tc>
          <w:tcPr>
            <w:tcW w:w="2268" w:type="dxa"/>
            <w:gridSpan w:val="2"/>
            <w:tcBorders>
              <w:top w:val="single" w:sz="18" w:space="0" w:color="000000"/>
              <w:right w:val="single" w:sz="18" w:space="0" w:color="000000"/>
            </w:tcBorders>
          </w:tcPr>
          <w:p w14:paraId="6D621CEF" w14:textId="77777777" w:rsidR="00482C62" w:rsidRDefault="00482C62" w:rsidP="00336410">
            <w:pPr>
              <w:pStyle w:val="TableParagraph"/>
              <w:rPr>
                <w:sz w:val="12"/>
              </w:rPr>
            </w:pPr>
          </w:p>
        </w:tc>
        <w:tc>
          <w:tcPr>
            <w:tcW w:w="2126" w:type="dxa"/>
            <w:gridSpan w:val="2"/>
            <w:tcBorders>
              <w:left w:val="single" w:sz="18" w:space="0" w:color="000000"/>
            </w:tcBorders>
          </w:tcPr>
          <w:p w14:paraId="67FCE007" w14:textId="77777777" w:rsidR="00482C62" w:rsidRDefault="00482C62" w:rsidP="00336410">
            <w:pPr>
              <w:pStyle w:val="TableParagraph"/>
              <w:rPr>
                <w:sz w:val="12"/>
              </w:rPr>
            </w:pPr>
          </w:p>
        </w:tc>
      </w:tr>
      <w:tr w:rsidR="0068422E" w14:paraId="75E93E3D" w14:textId="77777777" w:rsidTr="0068422E">
        <w:trPr>
          <w:trHeight w:val="697"/>
        </w:trPr>
        <w:tc>
          <w:tcPr>
            <w:tcW w:w="449" w:type="dxa"/>
          </w:tcPr>
          <w:p w14:paraId="790C4EAE" w14:textId="77777777" w:rsidR="00482C62" w:rsidRDefault="00482C62" w:rsidP="00336410">
            <w:pPr>
              <w:pStyle w:val="TableParagraph"/>
              <w:spacing w:before="8"/>
              <w:rPr>
                <w:sz w:val="23"/>
              </w:rPr>
            </w:pPr>
          </w:p>
          <w:p w14:paraId="6833666A" w14:textId="77777777" w:rsidR="00482C62" w:rsidRDefault="00482C62" w:rsidP="00336410">
            <w:pPr>
              <w:pStyle w:val="TableParagraph"/>
              <w:ind w:left="6"/>
              <w:jc w:val="center"/>
              <w:rPr>
                <w:b/>
                <w:sz w:val="16"/>
              </w:rPr>
            </w:pPr>
            <w:r>
              <w:rPr>
                <w:b/>
                <w:sz w:val="16"/>
              </w:rPr>
              <w:t>3</w:t>
            </w:r>
          </w:p>
        </w:tc>
        <w:tc>
          <w:tcPr>
            <w:tcW w:w="1136" w:type="dxa"/>
            <w:shd w:val="clear" w:color="auto" w:fill="CCFFCC"/>
          </w:tcPr>
          <w:p w14:paraId="16ECDE6E" w14:textId="77777777" w:rsidR="00482C62" w:rsidRDefault="00482C62" w:rsidP="00336410">
            <w:pPr>
              <w:pStyle w:val="TableParagraph"/>
              <w:spacing w:before="9"/>
              <w:rPr>
                <w:sz w:val="15"/>
              </w:rPr>
            </w:pPr>
          </w:p>
          <w:p w14:paraId="181DE759" w14:textId="77777777" w:rsidR="00482C62" w:rsidRDefault="00482C62" w:rsidP="00336410">
            <w:pPr>
              <w:pStyle w:val="TableParagraph"/>
              <w:ind w:left="134" w:right="113" w:firstLine="4"/>
              <w:rPr>
                <w:b/>
                <w:sz w:val="16"/>
              </w:rPr>
            </w:pPr>
            <w:r>
              <w:rPr>
                <w:b/>
                <w:sz w:val="16"/>
              </w:rPr>
              <w:t>Conditional</w:t>
            </w:r>
            <w:r>
              <w:rPr>
                <w:b/>
                <w:spacing w:val="-37"/>
                <w:sz w:val="16"/>
              </w:rPr>
              <w:t xml:space="preserve"> </w:t>
            </w:r>
            <w:r>
              <w:rPr>
                <w:b/>
                <w:sz w:val="16"/>
              </w:rPr>
              <w:t>Automation</w:t>
            </w:r>
          </w:p>
        </w:tc>
        <w:tc>
          <w:tcPr>
            <w:tcW w:w="3261" w:type="dxa"/>
            <w:shd w:val="clear" w:color="auto" w:fill="CCFFCC"/>
          </w:tcPr>
          <w:p w14:paraId="2E21ADAE" w14:textId="62176FD8" w:rsidR="00482C62" w:rsidRDefault="00482C62" w:rsidP="0068422E">
            <w:pPr>
              <w:pStyle w:val="TableParagraph"/>
              <w:ind w:left="107"/>
              <w:rPr>
                <w:i/>
                <w:sz w:val="16"/>
              </w:rPr>
            </w:pPr>
            <w:r>
              <w:rPr>
                <w:sz w:val="16"/>
              </w:rPr>
              <w:t>the</w:t>
            </w:r>
            <w:r>
              <w:rPr>
                <w:spacing w:val="7"/>
                <w:sz w:val="16"/>
              </w:rPr>
              <w:t xml:space="preserve"> </w:t>
            </w:r>
            <w:r>
              <w:rPr>
                <w:sz w:val="16"/>
              </w:rPr>
              <w:t>driving</w:t>
            </w:r>
            <w:r>
              <w:rPr>
                <w:spacing w:val="10"/>
                <w:sz w:val="16"/>
              </w:rPr>
              <w:t xml:space="preserve"> </w:t>
            </w:r>
            <w:r>
              <w:rPr>
                <w:sz w:val="16"/>
              </w:rPr>
              <w:t>mode-specific</w:t>
            </w:r>
            <w:r>
              <w:rPr>
                <w:spacing w:val="9"/>
                <w:sz w:val="16"/>
              </w:rPr>
              <w:t xml:space="preserve"> </w:t>
            </w:r>
            <w:r>
              <w:rPr>
                <w:sz w:val="16"/>
              </w:rPr>
              <w:t>performance</w:t>
            </w:r>
            <w:r>
              <w:rPr>
                <w:spacing w:val="9"/>
                <w:sz w:val="16"/>
              </w:rPr>
              <w:t xml:space="preserve"> </w:t>
            </w:r>
            <w:r>
              <w:rPr>
                <w:sz w:val="16"/>
              </w:rPr>
              <w:t>by</w:t>
            </w:r>
            <w:r>
              <w:rPr>
                <w:spacing w:val="7"/>
                <w:sz w:val="16"/>
              </w:rPr>
              <w:t xml:space="preserve"> </w:t>
            </w:r>
            <w:r>
              <w:rPr>
                <w:sz w:val="16"/>
              </w:rPr>
              <w:t>an</w:t>
            </w:r>
            <w:r>
              <w:rPr>
                <w:spacing w:val="13"/>
                <w:sz w:val="16"/>
              </w:rPr>
              <w:t xml:space="preserve"> </w:t>
            </w:r>
            <w:r>
              <w:rPr>
                <w:i/>
                <w:sz w:val="16"/>
              </w:rPr>
              <w:t>automated</w:t>
            </w:r>
            <w:r>
              <w:rPr>
                <w:i/>
                <w:spacing w:val="10"/>
                <w:sz w:val="16"/>
              </w:rPr>
              <w:t xml:space="preserve"> </w:t>
            </w:r>
            <w:r>
              <w:rPr>
                <w:i/>
                <w:sz w:val="16"/>
              </w:rPr>
              <w:t>driving</w:t>
            </w:r>
            <w:r>
              <w:rPr>
                <w:i/>
                <w:spacing w:val="-37"/>
                <w:sz w:val="16"/>
              </w:rPr>
              <w:t xml:space="preserve"> </w:t>
            </w:r>
            <w:r>
              <w:rPr>
                <w:i/>
                <w:sz w:val="16"/>
              </w:rPr>
              <w:t>system</w:t>
            </w:r>
            <w:r>
              <w:rPr>
                <w:i/>
                <w:spacing w:val="-2"/>
                <w:sz w:val="16"/>
              </w:rPr>
              <w:t xml:space="preserve"> </w:t>
            </w:r>
            <w:r>
              <w:rPr>
                <w:sz w:val="16"/>
              </w:rPr>
              <w:t>of</w:t>
            </w:r>
            <w:r>
              <w:rPr>
                <w:spacing w:val="-3"/>
                <w:sz w:val="16"/>
              </w:rPr>
              <w:t xml:space="preserve"> </w:t>
            </w:r>
            <w:r>
              <w:rPr>
                <w:i/>
                <w:sz w:val="16"/>
              </w:rPr>
              <w:t>all aspects</w:t>
            </w:r>
            <w:r>
              <w:rPr>
                <w:i/>
                <w:spacing w:val="-1"/>
                <w:sz w:val="16"/>
              </w:rPr>
              <w:t xml:space="preserve"> </w:t>
            </w:r>
            <w:r>
              <w:rPr>
                <w:sz w:val="16"/>
              </w:rPr>
              <w:t>of</w:t>
            </w:r>
            <w:r>
              <w:rPr>
                <w:spacing w:val="-2"/>
                <w:sz w:val="16"/>
              </w:rPr>
              <w:t xml:space="preserve"> </w:t>
            </w:r>
            <w:r>
              <w:rPr>
                <w:sz w:val="16"/>
              </w:rPr>
              <w:t>the</w:t>
            </w:r>
            <w:r>
              <w:rPr>
                <w:spacing w:val="-4"/>
                <w:sz w:val="16"/>
              </w:rPr>
              <w:t xml:space="preserve"> </w:t>
            </w:r>
            <w:r>
              <w:rPr>
                <w:sz w:val="16"/>
              </w:rPr>
              <w:t>dynamic</w:t>
            </w:r>
            <w:r>
              <w:rPr>
                <w:spacing w:val="-4"/>
                <w:sz w:val="16"/>
              </w:rPr>
              <w:t xml:space="preserve"> </w:t>
            </w:r>
            <w:r>
              <w:rPr>
                <w:sz w:val="16"/>
              </w:rPr>
              <w:t>driving</w:t>
            </w:r>
            <w:r>
              <w:rPr>
                <w:spacing w:val="-2"/>
                <w:sz w:val="16"/>
              </w:rPr>
              <w:t xml:space="preserve"> </w:t>
            </w:r>
            <w:r>
              <w:rPr>
                <w:sz w:val="16"/>
              </w:rPr>
              <w:t>task</w:t>
            </w:r>
            <w:r>
              <w:rPr>
                <w:spacing w:val="-1"/>
                <w:sz w:val="16"/>
              </w:rPr>
              <w:t xml:space="preserve"> </w:t>
            </w:r>
            <w:r>
              <w:rPr>
                <w:sz w:val="16"/>
              </w:rPr>
              <w:t>with</w:t>
            </w:r>
            <w:r>
              <w:rPr>
                <w:spacing w:val="-2"/>
                <w:sz w:val="16"/>
              </w:rPr>
              <w:t xml:space="preserve"> </w:t>
            </w:r>
            <w:r>
              <w:rPr>
                <w:sz w:val="16"/>
              </w:rPr>
              <w:t>the</w:t>
            </w:r>
            <w:r>
              <w:rPr>
                <w:spacing w:val="-4"/>
                <w:sz w:val="16"/>
              </w:rPr>
              <w:t xml:space="preserve"> </w:t>
            </w:r>
            <w:r>
              <w:rPr>
                <w:sz w:val="16"/>
              </w:rPr>
              <w:t>expectation</w:t>
            </w:r>
            <w:r w:rsidR="0068422E">
              <w:rPr>
                <w:sz w:val="16"/>
              </w:rPr>
              <w:t xml:space="preserve"> </w:t>
            </w:r>
            <w:r>
              <w:rPr>
                <w:sz w:val="16"/>
              </w:rPr>
              <w:t>that</w:t>
            </w:r>
            <w:r>
              <w:rPr>
                <w:spacing w:val="1"/>
                <w:sz w:val="16"/>
              </w:rPr>
              <w:t xml:space="preserve"> </w:t>
            </w:r>
            <w:r>
              <w:rPr>
                <w:sz w:val="16"/>
              </w:rPr>
              <w:t>the</w:t>
            </w:r>
            <w:r>
              <w:rPr>
                <w:spacing w:val="1"/>
                <w:sz w:val="16"/>
              </w:rPr>
              <w:t xml:space="preserve"> </w:t>
            </w:r>
            <w:r>
              <w:rPr>
                <w:i/>
                <w:sz w:val="16"/>
              </w:rPr>
              <w:t>human</w:t>
            </w:r>
            <w:r>
              <w:rPr>
                <w:i/>
                <w:spacing w:val="1"/>
                <w:sz w:val="16"/>
              </w:rPr>
              <w:t xml:space="preserve"> </w:t>
            </w:r>
            <w:r>
              <w:rPr>
                <w:i/>
                <w:sz w:val="16"/>
              </w:rPr>
              <w:t>driver</w:t>
            </w:r>
            <w:r>
              <w:rPr>
                <w:i/>
                <w:spacing w:val="1"/>
                <w:sz w:val="16"/>
              </w:rPr>
              <w:t xml:space="preserve"> </w:t>
            </w:r>
            <w:r>
              <w:rPr>
                <w:sz w:val="16"/>
              </w:rPr>
              <w:t>will</w:t>
            </w:r>
            <w:r>
              <w:rPr>
                <w:spacing w:val="1"/>
                <w:sz w:val="16"/>
              </w:rPr>
              <w:t xml:space="preserve"> </w:t>
            </w:r>
            <w:r>
              <w:rPr>
                <w:i/>
                <w:sz w:val="16"/>
              </w:rPr>
              <w:t>respond</w:t>
            </w:r>
            <w:r>
              <w:rPr>
                <w:i/>
                <w:spacing w:val="1"/>
                <w:sz w:val="16"/>
              </w:rPr>
              <w:t xml:space="preserve"> </w:t>
            </w:r>
            <w:r>
              <w:rPr>
                <w:sz w:val="16"/>
              </w:rPr>
              <w:t>appropriately</w:t>
            </w:r>
            <w:r>
              <w:rPr>
                <w:spacing w:val="1"/>
                <w:sz w:val="16"/>
              </w:rPr>
              <w:t xml:space="preserve"> </w:t>
            </w:r>
            <w:r>
              <w:rPr>
                <w:sz w:val="16"/>
              </w:rPr>
              <w:t>to</w:t>
            </w:r>
            <w:r>
              <w:rPr>
                <w:spacing w:val="1"/>
                <w:sz w:val="16"/>
              </w:rPr>
              <w:t xml:space="preserve"> </w:t>
            </w:r>
            <w:r>
              <w:rPr>
                <w:sz w:val="16"/>
              </w:rPr>
              <w:t>a</w:t>
            </w:r>
            <w:r>
              <w:rPr>
                <w:spacing w:val="1"/>
                <w:sz w:val="16"/>
              </w:rPr>
              <w:t xml:space="preserve"> </w:t>
            </w:r>
            <w:r>
              <w:rPr>
                <w:i/>
                <w:sz w:val="16"/>
              </w:rPr>
              <w:t>request</w:t>
            </w:r>
            <w:r>
              <w:rPr>
                <w:i/>
                <w:spacing w:val="1"/>
                <w:sz w:val="16"/>
              </w:rPr>
              <w:t xml:space="preserve"> </w:t>
            </w:r>
            <w:r>
              <w:rPr>
                <w:i/>
                <w:sz w:val="16"/>
              </w:rPr>
              <w:t>to</w:t>
            </w:r>
            <w:r>
              <w:rPr>
                <w:i/>
                <w:spacing w:val="-37"/>
                <w:sz w:val="16"/>
              </w:rPr>
              <w:t xml:space="preserve"> </w:t>
            </w:r>
            <w:r>
              <w:rPr>
                <w:i/>
                <w:sz w:val="16"/>
              </w:rPr>
              <w:t>intervene</w:t>
            </w:r>
          </w:p>
        </w:tc>
        <w:tc>
          <w:tcPr>
            <w:tcW w:w="1134" w:type="dxa"/>
            <w:shd w:val="clear" w:color="auto" w:fill="CCFFCC"/>
          </w:tcPr>
          <w:p w14:paraId="5D10C73F" w14:textId="77777777" w:rsidR="00482C62" w:rsidRDefault="00482C62" w:rsidP="00336410">
            <w:pPr>
              <w:pStyle w:val="TableParagraph"/>
              <w:spacing w:before="5"/>
              <w:rPr>
                <w:sz w:val="23"/>
              </w:rPr>
            </w:pPr>
          </w:p>
          <w:p w14:paraId="67B8B053" w14:textId="77777777" w:rsidR="00482C62" w:rsidRDefault="00482C62" w:rsidP="00336410">
            <w:pPr>
              <w:pStyle w:val="TableParagraph"/>
              <w:spacing w:before="1"/>
              <w:ind w:left="101" w:right="101"/>
              <w:jc w:val="center"/>
              <w:rPr>
                <w:sz w:val="16"/>
              </w:rPr>
            </w:pPr>
            <w:r>
              <w:rPr>
                <w:sz w:val="16"/>
              </w:rPr>
              <w:t>System</w:t>
            </w:r>
          </w:p>
        </w:tc>
        <w:tc>
          <w:tcPr>
            <w:tcW w:w="1134" w:type="dxa"/>
            <w:tcBorders>
              <w:right w:val="single" w:sz="18" w:space="0" w:color="000000"/>
            </w:tcBorders>
            <w:shd w:val="clear" w:color="auto" w:fill="CCFFCC"/>
          </w:tcPr>
          <w:p w14:paraId="33514455" w14:textId="77777777" w:rsidR="00482C62" w:rsidRDefault="00482C62" w:rsidP="00336410">
            <w:pPr>
              <w:pStyle w:val="TableParagraph"/>
              <w:spacing w:before="8"/>
              <w:rPr>
                <w:sz w:val="23"/>
              </w:rPr>
            </w:pPr>
          </w:p>
          <w:p w14:paraId="4FB74519" w14:textId="77777777" w:rsidR="00482C62" w:rsidRDefault="00482C62" w:rsidP="00336410">
            <w:pPr>
              <w:pStyle w:val="TableParagraph"/>
              <w:ind w:left="80" w:right="53"/>
              <w:jc w:val="center"/>
              <w:rPr>
                <w:b/>
                <w:sz w:val="16"/>
              </w:rPr>
            </w:pPr>
            <w:r>
              <w:rPr>
                <w:b/>
                <w:sz w:val="16"/>
              </w:rPr>
              <w:t>System</w:t>
            </w:r>
          </w:p>
        </w:tc>
        <w:tc>
          <w:tcPr>
            <w:tcW w:w="1134" w:type="dxa"/>
            <w:tcBorders>
              <w:left w:val="single" w:sz="18" w:space="0" w:color="000000"/>
              <w:bottom w:val="single" w:sz="18" w:space="0" w:color="000000"/>
            </w:tcBorders>
            <w:shd w:val="clear" w:color="auto" w:fill="CCFFCC"/>
          </w:tcPr>
          <w:p w14:paraId="44E2B037" w14:textId="77777777" w:rsidR="00482C62" w:rsidRDefault="00482C62" w:rsidP="00336410">
            <w:pPr>
              <w:pStyle w:val="TableParagraph"/>
              <w:spacing w:before="6"/>
              <w:rPr>
                <w:sz w:val="15"/>
              </w:rPr>
            </w:pPr>
          </w:p>
          <w:p w14:paraId="478F098B" w14:textId="77777777" w:rsidR="00482C62" w:rsidRDefault="00482C62" w:rsidP="00336410">
            <w:pPr>
              <w:pStyle w:val="TableParagraph"/>
              <w:ind w:left="342" w:right="289" w:hanging="46"/>
              <w:rPr>
                <w:sz w:val="16"/>
              </w:rPr>
            </w:pPr>
            <w:r>
              <w:rPr>
                <w:sz w:val="16"/>
              </w:rPr>
              <w:t>Human</w:t>
            </w:r>
            <w:r>
              <w:rPr>
                <w:spacing w:val="-37"/>
                <w:sz w:val="16"/>
              </w:rPr>
              <w:t xml:space="preserve"> </w:t>
            </w:r>
            <w:r>
              <w:rPr>
                <w:sz w:val="16"/>
              </w:rPr>
              <w:t>driver</w:t>
            </w:r>
          </w:p>
        </w:tc>
        <w:tc>
          <w:tcPr>
            <w:tcW w:w="992" w:type="dxa"/>
            <w:shd w:val="clear" w:color="auto" w:fill="CCFFCC"/>
          </w:tcPr>
          <w:p w14:paraId="556DF1FC" w14:textId="77777777" w:rsidR="00482C62" w:rsidRDefault="00482C62" w:rsidP="00336410">
            <w:pPr>
              <w:pStyle w:val="TableParagraph"/>
              <w:spacing w:before="88"/>
              <w:ind w:left="251" w:right="239" w:firstLine="1"/>
              <w:jc w:val="center"/>
              <w:rPr>
                <w:sz w:val="16"/>
              </w:rPr>
            </w:pPr>
            <w:r>
              <w:rPr>
                <w:sz w:val="16"/>
              </w:rPr>
              <w:t>Some</w:t>
            </w:r>
            <w:r>
              <w:rPr>
                <w:spacing w:val="1"/>
                <w:sz w:val="16"/>
              </w:rPr>
              <w:t xml:space="preserve"> </w:t>
            </w:r>
            <w:r>
              <w:rPr>
                <w:sz w:val="16"/>
              </w:rPr>
              <w:t>driving</w:t>
            </w:r>
            <w:r>
              <w:rPr>
                <w:spacing w:val="-37"/>
                <w:sz w:val="16"/>
              </w:rPr>
              <w:t xml:space="preserve"> </w:t>
            </w:r>
            <w:r>
              <w:rPr>
                <w:sz w:val="16"/>
              </w:rPr>
              <w:t>modes</w:t>
            </w:r>
          </w:p>
        </w:tc>
      </w:tr>
      <w:tr w:rsidR="0068422E" w14:paraId="68C64509" w14:textId="77777777" w:rsidTr="0068422E">
        <w:trPr>
          <w:trHeight w:val="524"/>
        </w:trPr>
        <w:tc>
          <w:tcPr>
            <w:tcW w:w="449" w:type="dxa"/>
          </w:tcPr>
          <w:p w14:paraId="1005A75E" w14:textId="77777777" w:rsidR="00482C62" w:rsidRDefault="00482C62" w:rsidP="00336410">
            <w:pPr>
              <w:pStyle w:val="TableParagraph"/>
              <w:spacing w:before="1"/>
              <w:rPr>
                <w:sz w:val="16"/>
              </w:rPr>
            </w:pPr>
          </w:p>
          <w:p w14:paraId="43F288B4" w14:textId="77777777" w:rsidR="00482C62" w:rsidRDefault="00482C62" w:rsidP="00336410">
            <w:pPr>
              <w:pStyle w:val="TableParagraph"/>
              <w:ind w:left="6"/>
              <w:jc w:val="center"/>
              <w:rPr>
                <w:b/>
                <w:sz w:val="16"/>
              </w:rPr>
            </w:pPr>
            <w:r>
              <w:rPr>
                <w:b/>
                <w:sz w:val="16"/>
              </w:rPr>
              <w:t>4</w:t>
            </w:r>
          </w:p>
        </w:tc>
        <w:tc>
          <w:tcPr>
            <w:tcW w:w="1136" w:type="dxa"/>
            <w:shd w:val="clear" w:color="auto" w:fill="CCFFCC"/>
          </w:tcPr>
          <w:p w14:paraId="4A734D23" w14:textId="77777777" w:rsidR="00482C62" w:rsidRDefault="00482C62" w:rsidP="00336410">
            <w:pPr>
              <w:pStyle w:val="TableParagraph"/>
              <w:spacing w:before="94"/>
              <w:ind w:left="134" w:right="113" w:firstLine="240"/>
              <w:rPr>
                <w:b/>
                <w:sz w:val="16"/>
              </w:rPr>
            </w:pPr>
            <w:r>
              <w:rPr>
                <w:b/>
                <w:sz w:val="16"/>
              </w:rPr>
              <w:t>High</w:t>
            </w:r>
            <w:r>
              <w:rPr>
                <w:b/>
                <w:spacing w:val="1"/>
                <w:sz w:val="16"/>
              </w:rPr>
              <w:t xml:space="preserve"> </w:t>
            </w:r>
            <w:r>
              <w:rPr>
                <w:b/>
                <w:sz w:val="16"/>
              </w:rPr>
              <w:t>Automation</w:t>
            </w:r>
          </w:p>
        </w:tc>
        <w:tc>
          <w:tcPr>
            <w:tcW w:w="3261" w:type="dxa"/>
            <w:shd w:val="clear" w:color="auto" w:fill="CCFFCC"/>
          </w:tcPr>
          <w:p w14:paraId="28CA7911" w14:textId="583CAD2C" w:rsidR="00482C62" w:rsidRDefault="00482C62" w:rsidP="0068422E">
            <w:pPr>
              <w:pStyle w:val="TableParagraph"/>
              <w:ind w:left="107" w:right="165"/>
              <w:rPr>
                <w:sz w:val="16"/>
              </w:rPr>
            </w:pPr>
            <w:r>
              <w:rPr>
                <w:sz w:val="16"/>
              </w:rPr>
              <w:t>the driving mode-specific performance by an automated driving</w:t>
            </w:r>
            <w:r>
              <w:rPr>
                <w:spacing w:val="1"/>
                <w:sz w:val="16"/>
              </w:rPr>
              <w:t xml:space="preserve"> </w:t>
            </w:r>
            <w:r>
              <w:rPr>
                <w:sz w:val="16"/>
              </w:rPr>
              <w:t>system</w:t>
            </w:r>
            <w:r>
              <w:rPr>
                <w:spacing w:val="-2"/>
                <w:sz w:val="16"/>
              </w:rPr>
              <w:t xml:space="preserve"> </w:t>
            </w:r>
            <w:r>
              <w:rPr>
                <w:sz w:val="16"/>
              </w:rPr>
              <w:t>of</w:t>
            </w:r>
            <w:r>
              <w:rPr>
                <w:spacing w:val="-2"/>
                <w:sz w:val="16"/>
              </w:rPr>
              <w:t xml:space="preserve"> </w:t>
            </w:r>
            <w:r>
              <w:rPr>
                <w:sz w:val="16"/>
              </w:rPr>
              <w:t>all</w:t>
            </w:r>
            <w:r>
              <w:rPr>
                <w:spacing w:val="-2"/>
                <w:sz w:val="16"/>
              </w:rPr>
              <w:t xml:space="preserve"> </w:t>
            </w:r>
            <w:r>
              <w:rPr>
                <w:sz w:val="16"/>
              </w:rPr>
              <w:t>aspects</w:t>
            </w:r>
            <w:r>
              <w:rPr>
                <w:spacing w:val="-2"/>
                <w:sz w:val="16"/>
              </w:rPr>
              <w:t xml:space="preserve"> </w:t>
            </w:r>
            <w:r>
              <w:rPr>
                <w:sz w:val="16"/>
              </w:rPr>
              <w:t>of</w:t>
            </w:r>
            <w:r>
              <w:rPr>
                <w:spacing w:val="-4"/>
                <w:sz w:val="16"/>
              </w:rPr>
              <w:t xml:space="preserve"> </w:t>
            </w:r>
            <w:r>
              <w:rPr>
                <w:sz w:val="16"/>
              </w:rPr>
              <w:t>the</w:t>
            </w:r>
            <w:r>
              <w:rPr>
                <w:spacing w:val="-5"/>
                <w:sz w:val="16"/>
              </w:rPr>
              <w:t xml:space="preserve"> </w:t>
            </w:r>
            <w:r>
              <w:rPr>
                <w:sz w:val="16"/>
              </w:rPr>
              <w:t>dynamic</w:t>
            </w:r>
            <w:r>
              <w:rPr>
                <w:spacing w:val="-3"/>
                <w:sz w:val="16"/>
              </w:rPr>
              <w:t xml:space="preserve"> </w:t>
            </w:r>
            <w:r>
              <w:rPr>
                <w:sz w:val="16"/>
              </w:rPr>
              <w:t>driving</w:t>
            </w:r>
            <w:r>
              <w:rPr>
                <w:spacing w:val="-5"/>
                <w:sz w:val="16"/>
              </w:rPr>
              <w:t xml:space="preserve"> </w:t>
            </w:r>
            <w:r>
              <w:rPr>
                <w:sz w:val="16"/>
              </w:rPr>
              <w:t>task, even if</w:t>
            </w:r>
            <w:r>
              <w:rPr>
                <w:spacing w:val="-5"/>
                <w:sz w:val="16"/>
              </w:rPr>
              <w:t xml:space="preserve"> </w:t>
            </w:r>
            <w:r>
              <w:rPr>
                <w:sz w:val="16"/>
              </w:rPr>
              <w:t>a</w:t>
            </w:r>
            <w:r>
              <w:rPr>
                <w:spacing w:val="-3"/>
                <w:sz w:val="16"/>
              </w:rPr>
              <w:t xml:space="preserve"> </w:t>
            </w:r>
            <w:r>
              <w:rPr>
                <w:sz w:val="16"/>
              </w:rPr>
              <w:t>human</w:t>
            </w:r>
            <w:r w:rsidR="0068422E">
              <w:rPr>
                <w:sz w:val="16"/>
              </w:rPr>
              <w:t xml:space="preserve"> </w:t>
            </w:r>
            <w:r>
              <w:rPr>
                <w:sz w:val="16"/>
              </w:rPr>
              <w:t>driver</w:t>
            </w:r>
            <w:r>
              <w:rPr>
                <w:spacing w:val="-4"/>
                <w:sz w:val="16"/>
              </w:rPr>
              <w:t xml:space="preserve"> </w:t>
            </w:r>
            <w:r>
              <w:rPr>
                <w:sz w:val="16"/>
              </w:rPr>
              <w:t>does</w:t>
            </w:r>
            <w:r>
              <w:rPr>
                <w:spacing w:val="-3"/>
                <w:sz w:val="16"/>
              </w:rPr>
              <w:t xml:space="preserve"> </w:t>
            </w:r>
            <w:r>
              <w:rPr>
                <w:sz w:val="16"/>
              </w:rPr>
              <w:t>not respond</w:t>
            </w:r>
            <w:r>
              <w:rPr>
                <w:spacing w:val="-4"/>
                <w:sz w:val="16"/>
              </w:rPr>
              <w:t xml:space="preserve"> </w:t>
            </w:r>
            <w:r>
              <w:rPr>
                <w:sz w:val="16"/>
              </w:rPr>
              <w:t>appropriately</w:t>
            </w:r>
            <w:r>
              <w:rPr>
                <w:spacing w:val="-6"/>
                <w:sz w:val="16"/>
              </w:rPr>
              <w:t xml:space="preserve"> </w:t>
            </w:r>
            <w:r>
              <w:rPr>
                <w:sz w:val="16"/>
              </w:rPr>
              <w:t>to</w:t>
            </w:r>
            <w:r>
              <w:rPr>
                <w:spacing w:val="-3"/>
                <w:sz w:val="16"/>
              </w:rPr>
              <w:t xml:space="preserve"> </w:t>
            </w:r>
            <w:r>
              <w:rPr>
                <w:sz w:val="16"/>
              </w:rPr>
              <w:t>a</w:t>
            </w:r>
            <w:r>
              <w:rPr>
                <w:spacing w:val="-2"/>
                <w:sz w:val="16"/>
              </w:rPr>
              <w:t xml:space="preserve"> </w:t>
            </w:r>
            <w:r>
              <w:rPr>
                <w:sz w:val="16"/>
              </w:rPr>
              <w:t>request</w:t>
            </w:r>
            <w:r>
              <w:rPr>
                <w:spacing w:val="-2"/>
                <w:sz w:val="16"/>
              </w:rPr>
              <w:t xml:space="preserve"> </w:t>
            </w:r>
            <w:r>
              <w:rPr>
                <w:sz w:val="16"/>
              </w:rPr>
              <w:t>to</w:t>
            </w:r>
            <w:r>
              <w:rPr>
                <w:spacing w:val="-5"/>
                <w:sz w:val="16"/>
              </w:rPr>
              <w:t xml:space="preserve"> </w:t>
            </w:r>
            <w:r>
              <w:rPr>
                <w:sz w:val="16"/>
              </w:rPr>
              <w:t>intervene</w:t>
            </w:r>
          </w:p>
        </w:tc>
        <w:tc>
          <w:tcPr>
            <w:tcW w:w="1134" w:type="dxa"/>
            <w:shd w:val="clear" w:color="auto" w:fill="CCFFCC"/>
          </w:tcPr>
          <w:p w14:paraId="7A935C36" w14:textId="77777777" w:rsidR="00482C62" w:rsidRDefault="00482C62" w:rsidP="00336410">
            <w:pPr>
              <w:pStyle w:val="TableParagraph"/>
              <w:spacing w:before="10"/>
              <w:rPr>
                <w:sz w:val="15"/>
              </w:rPr>
            </w:pPr>
          </w:p>
          <w:p w14:paraId="0245780F" w14:textId="77777777" w:rsidR="00482C62" w:rsidRDefault="00482C62" w:rsidP="00336410">
            <w:pPr>
              <w:pStyle w:val="TableParagraph"/>
              <w:ind w:left="101" w:right="101"/>
              <w:jc w:val="center"/>
              <w:rPr>
                <w:sz w:val="16"/>
              </w:rPr>
            </w:pPr>
            <w:r>
              <w:rPr>
                <w:sz w:val="16"/>
              </w:rPr>
              <w:t>System</w:t>
            </w:r>
          </w:p>
        </w:tc>
        <w:tc>
          <w:tcPr>
            <w:tcW w:w="1134" w:type="dxa"/>
            <w:shd w:val="clear" w:color="auto" w:fill="CCFFCC"/>
          </w:tcPr>
          <w:p w14:paraId="3E1B956A" w14:textId="77777777" w:rsidR="00482C62" w:rsidRDefault="00482C62" w:rsidP="00336410">
            <w:pPr>
              <w:pStyle w:val="TableParagraph"/>
              <w:spacing w:before="10"/>
              <w:rPr>
                <w:sz w:val="15"/>
              </w:rPr>
            </w:pPr>
          </w:p>
          <w:p w14:paraId="433FE5AB" w14:textId="77777777" w:rsidR="00482C62" w:rsidRDefault="00482C62" w:rsidP="00336410">
            <w:pPr>
              <w:pStyle w:val="TableParagraph"/>
              <w:ind w:left="94" w:right="88"/>
              <w:jc w:val="center"/>
              <w:rPr>
                <w:sz w:val="16"/>
              </w:rPr>
            </w:pPr>
            <w:r>
              <w:rPr>
                <w:sz w:val="16"/>
              </w:rPr>
              <w:t>System</w:t>
            </w:r>
          </w:p>
        </w:tc>
        <w:tc>
          <w:tcPr>
            <w:tcW w:w="1134" w:type="dxa"/>
            <w:tcBorders>
              <w:top w:val="single" w:sz="18" w:space="0" w:color="000000"/>
              <w:right w:val="single" w:sz="18" w:space="0" w:color="000000"/>
            </w:tcBorders>
            <w:shd w:val="clear" w:color="auto" w:fill="CCFFCC"/>
          </w:tcPr>
          <w:p w14:paraId="055A99A8" w14:textId="77777777" w:rsidR="00482C62" w:rsidRDefault="00482C62" w:rsidP="00336410">
            <w:pPr>
              <w:pStyle w:val="TableParagraph"/>
              <w:spacing w:before="1"/>
              <w:rPr>
                <w:sz w:val="16"/>
              </w:rPr>
            </w:pPr>
          </w:p>
          <w:p w14:paraId="7FC56EE9" w14:textId="77777777" w:rsidR="00482C62" w:rsidRDefault="00482C62" w:rsidP="00336410">
            <w:pPr>
              <w:pStyle w:val="TableParagraph"/>
              <w:ind w:left="285" w:right="262"/>
              <w:jc w:val="center"/>
              <w:rPr>
                <w:b/>
                <w:sz w:val="16"/>
              </w:rPr>
            </w:pPr>
            <w:r>
              <w:rPr>
                <w:b/>
                <w:sz w:val="16"/>
              </w:rPr>
              <w:t>System</w:t>
            </w:r>
          </w:p>
        </w:tc>
        <w:tc>
          <w:tcPr>
            <w:tcW w:w="992" w:type="dxa"/>
            <w:tcBorders>
              <w:left w:val="single" w:sz="18" w:space="0" w:color="000000"/>
              <w:bottom w:val="single" w:sz="18" w:space="0" w:color="000000"/>
            </w:tcBorders>
            <w:shd w:val="clear" w:color="auto" w:fill="CCFFCC"/>
          </w:tcPr>
          <w:p w14:paraId="543CD947" w14:textId="77777777" w:rsidR="00482C62" w:rsidRDefault="00482C62" w:rsidP="00336410">
            <w:pPr>
              <w:pStyle w:val="TableParagraph"/>
              <w:ind w:left="234" w:right="223" w:firstLine="50"/>
              <w:rPr>
                <w:sz w:val="16"/>
              </w:rPr>
            </w:pPr>
            <w:r>
              <w:rPr>
                <w:sz w:val="16"/>
              </w:rPr>
              <w:t>Some</w:t>
            </w:r>
            <w:r>
              <w:rPr>
                <w:spacing w:val="1"/>
                <w:sz w:val="16"/>
              </w:rPr>
              <w:t xml:space="preserve"> </w:t>
            </w:r>
            <w:r>
              <w:rPr>
                <w:sz w:val="16"/>
              </w:rPr>
              <w:t>driving</w:t>
            </w:r>
          </w:p>
          <w:p w14:paraId="3D6863B7" w14:textId="77777777" w:rsidR="00482C62" w:rsidRDefault="00482C62" w:rsidP="00336410">
            <w:pPr>
              <w:pStyle w:val="TableParagraph"/>
              <w:spacing w:line="152" w:lineRule="exact"/>
              <w:ind w:left="255"/>
              <w:rPr>
                <w:sz w:val="16"/>
              </w:rPr>
            </w:pPr>
            <w:r>
              <w:rPr>
                <w:sz w:val="16"/>
              </w:rPr>
              <w:t>modes</w:t>
            </w:r>
          </w:p>
        </w:tc>
      </w:tr>
      <w:tr w:rsidR="0068422E" w14:paraId="5FBD87D4" w14:textId="77777777" w:rsidTr="0068422E">
        <w:trPr>
          <w:trHeight w:val="553"/>
        </w:trPr>
        <w:tc>
          <w:tcPr>
            <w:tcW w:w="449" w:type="dxa"/>
          </w:tcPr>
          <w:p w14:paraId="19535725" w14:textId="77777777" w:rsidR="00482C62" w:rsidRDefault="00482C62" w:rsidP="00336410">
            <w:pPr>
              <w:pStyle w:val="TableParagraph"/>
              <w:spacing w:before="2"/>
              <w:rPr>
                <w:sz w:val="17"/>
              </w:rPr>
            </w:pPr>
          </w:p>
          <w:p w14:paraId="2D42D6FF" w14:textId="77777777" w:rsidR="00482C62" w:rsidRDefault="00482C62" w:rsidP="00336410">
            <w:pPr>
              <w:pStyle w:val="TableParagraph"/>
              <w:ind w:left="6"/>
              <w:jc w:val="center"/>
              <w:rPr>
                <w:b/>
                <w:sz w:val="16"/>
              </w:rPr>
            </w:pPr>
            <w:r>
              <w:rPr>
                <w:b/>
                <w:sz w:val="16"/>
              </w:rPr>
              <w:t>5</w:t>
            </w:r>
          </w:p>
        </w:tc>
        <w:tc>
          <w:tcPr>
            <w:tcW w:w="1136" w:type="dxa"/>
            <w:shd w:val="clear" w:color="auto" w:fill="CCFFCC"/>
          </w:tcPr>
          <w:p w14:paraId="783EC315" w14:textId="77777777" w:rsidR="00482C62" w:rsidRDefault="00482C62" w:rsidP="00336410">
            <w:pPr>
              <w:pStyle w:val="TableParagraph"/>
              <w:spacing w:before="106"/>
              <w:ind w:left="134" w:right="113" w:firstLine="271"/>
              <w:rPr>
                <w:b/>
                <w:sz w:val="16"/>
              </w:rPr>
            </w:pPr>
            <w:r>
              <w:rPr>
                <w:b/>
                <w:sz w:val="16"/>
              </w:rPr>
              <w:t>Full</w:t>
            </w:r>
            <w:r>
              <w:rPr>
                <w:b/>
                <w:spacing w:val="1"/>
                <w:sz w:val="16"/>
              </w:rPr>
              <w:t xml:space="preserve"> </w:t>
            </w:r>
            <w:r>
              <w:rPr>
                <w:b/>
                <w:sz w:val="16"/>
              </w:rPr>
              <w:t>Automation</w:t>
            </w:r>
          </w:p>
        </w:tc>
        <w:tc>
          <w:tcPr>
            <w:tcW w:w="3261" w:type="dxa"/>
            <w:shd w:val="clear" w:color="auto" w:fill="CCFFCC"/>
          </w:tcPr>
          <w:p w14:paraId="1ACF03A7" w14:textId="7E19A762" w:rsidR="00482C62" w:rsidRDefault="00482C62" w:rsidP="0068422E">
            <w:pPr>
              <w:pStyle w:val="TableParagraph"/>
              <w:spacing w:line="180" w:lineRule="atLeast"/>
              <w:ind w:left="107" w:right="165"/>
              <w:rPr>
                <w:sz w:val="16"/>
              </w:rPr>
            </w:pPr>
            <w:r>
              <w:rPr>
                <w:sz w:val="16"/>
              </w:rPr>
              <w:t xml:space="preserve">the </w:t>
            </w:r>
            <w:r>
              <w:rPr>
                <w:i/>
                <w:sz w:val="16"/>
              </w:rPr>
              <w:t xml:space="preserve">full-time performance </w:t>
            </w:r>
            <w:r>
              <w:rPr>
                <w:sz w:val="16"/>
              </w:rPr>
              <w:t xml:space="preserve">by an </w:t>
            </w:r>
            <w:r>
              <w:rPr>
                <w:i/>
                <w:sz w:val="16"/>
              </w:rPr>
              <w:t xml:space="preserve">automated driving system </w:t>
            </w:r>
            <w:r>
              <w:rPr>
                <w:sz w:val="16"/>
              </w:rPr>
              <w:t xml:space="preserve">of </w:t>
            </w:r>
            <w:r>
              <w:rPr>
                <w:i/>
                <w:sz w:val="16"/>
              </w:rPr>
              <w:t>all</w:t>
            </w:r>
            <w:r>
              <w:rPr>
                <w:i/>
                <w:spacing w:val="1"/>
                <w:sz w:val="16"/>
              </w:rPr>
              <w:t xml:space="preserve"> </w:t>
            </w:r>
            <w:r>
              <w:rPr>
                <w:i/>
                <w:sz w:val="16"/>
              </w:rPr>
              <w:t xml:space="preserve">aspects </w:t>
            </w:r>
            <w:r>
              <w:rPr>
                <w:sz w:val="16"/>
              </w:rPr>
              <w:t xml:space="preserve">of the dynamic driving task under </w:t>
            </w:r>
            <w:r>
              <w:rPr>
                <w:i/>
                <w:sz w:val="16"/>
              </w:rPr>
              <w:t xml:space="preserve">all </w:t>
            </w:r>
            <w:r>
              <w:rPr>
                <w:sz w:val="16"/>
              </w:rPr>
              <w:t>roadway and</w:t>
            </w:r>
            <w:r>
              <w:rPr>
                <w:spacing w:val="1"/>
                <w:sz w:val="16"/>
              </w:rPr>
              <w:t xml:space="preserve"> </w:t>
            </w:r>
            <w:r w:rsidR="0068422E">
              <w:rPr>
                <w:spacing w:val="1"/>
                <w:sz w:val="16"/>
              </w:rPr>
              <w:t>e</w:t>
            </w:r>
            <w:r>
              <w:rPr>
                <w:sz w:val="16"/>
              </w:rPr>
              <w:t>nvironmental</w:t>
            </w:r>
            <w:r>
              <w:rPr>
                <w:spacing w:val="-5"/>
                <w:sz w:val="16"/>
              </w:rPr>
              <w:t xml:space="preserve"> </w:t>
            </w:r>
            <w:r>
              <w:rPr>
                <w:i/>
                <w:sz w:val="16"/>
              </w:rPr>
              <w:t>conditions</w:t>
            </w:r>
            <w:r>
              <w:rPr>
                <w:i/>
                <w:spacing w:val="-3"/>
                <w:sz w:val="16"/>
              </w:rPr>
              <w:t xml:space="preserve"> </w:t>
            </w:r>
            <w:r>
              <w:rPr>
                <w:sz w:val="16"/>
              </w:rPr>
              <w:t>that</w:t>
            </w:r>
            <w:r>
              <w:rPr>
                <w:spacing w:val="-3"/>
                <w:sz w:val="16"/>
              </w:rPr>
              <w:t xml:space="preserve"> </w:t>
            </w:r>
            <w:r>
              <w:rPr>
                <w:sz w:val="16"/>
              </w:rPr>
              <w:t>can</w:t>
            </w:r>
            <w:r>
              <w:rPr>
                <w:spacing w:val="-3"/>
                <w:sz w:val="16"/>
              </w:rPr>
              <w:t xml:space="preserve"> </w:t>
            </w:r>
            <w:r>
              <w:rPr>
                <w:sz w:val="16"/>
              </w:rPr>
              <w:t>be</w:t>
            </w:r>
            <w:r>
              <w:rPr>
                <w:spacing w:val="-4"/>
                <w:sz w:val="16"/>
              </w:rPr>
              <w:t xml:space="preserve"> </w:t>
            </w:r>
            <w:r>
              <w:rPr>
                <w:sz w:val="16"/>
              </w:rPr>
              <w:t>managed</w:t>
            </w:r>
            <w:r>
              <w:rPr>
                <w:spacing w:val="-2"/>
                <w:sz w:val="16"/>
              </w:rPr>
              <w:t xml:space="preserve"> </w:t>
            </w:r>
            <w:r>
              <w:rPr>
                <w:sz w:val="16"/>
              </w:rPr>
              <w:t>by</w:t>
            </w:r>
            <w:r>
              <w:rPr>
                <w:spacing w:val="-4"/>
                <w:sz w:val="16"/>
              </w:rPr>
              <w:t xml:space="preserve"> </w:t>
            </w:r>
            <w:r>
              <w:rPr>
                <w:sz w:val="16"/>
              </w:rPr>
              <w:t>a</w:t>
            </w:r>
            <w:r>
              <w:rPr>
                <w:spacing w:val="-4"/>
                <w:sz w:val="16"/>
              </w:rPr>
              <w:t xml:space="preserve"> </w:t>
            </w:r>
            <w:r>
              <w:rPr>
                <w:sz w:val="16"/>
              </w:rPr>
              <w:t>human</w:t>
            </w:r>
            <w:r>
              <w:rPr>
                <w:spacing w:val="-3"/>
                <w:sz w:val="16"/>
              </w:rPr>
              <w:t xml:space="preserve"> </w:t>
            </w:r>
            <w:r>
              <w:rPr>
                <w:sz w:val="16"/>
              </w:rPr>
              <w:t>driver</w:t>
            </w:r>
          </w:p>
        </w:tc>
        <w:tc>
          <w:tcPr>
            <w:tcW w:w="1134" w:type="dxa"/>
            <w:shd w:val="clear" w:color="auto" w:fill="CCFFCC"/>
          </w:tcPr>
          <w:p w14:paraId="12CBDD6F" w14:textId="77777777" w:rsidR="00482C62" w:rsidRDefault="00482C62" w:rsidP="00336410">
            <w:pPr>
              <w:pStyle w:val="TableParagraph"/>
              <w:spacing w:before="11"/>
              <w:rPr>
                <w:sz w:val="16"/>
              </w:rPr>
            </w:pPr>
          </w:p>
          <w:p w14:paraId="31FAB4E8" w14:textId="77777777" w:rsidR="00482C62" w:rsidRDefault="00482C62" w:rsidP="00336410">
            <w:pPr>
              <w:pStyle w:val="TableParagraph"/>
              <w:ind w:left="101" w:right="101"/>
              <w:jc w:val="center"/>
              <w:rPr>
                <w:sz w:val="16"/>
              </w:rPr>
            </w:pPr>
            <w:r>
              <w:rPr>
                <w:sz w:val="16"/>
              </w:rPr>
              <w:t>System</w:t>
            </w:r>
          </w:p>
        </w:tc>
        <w:tc>
          <w:tcPr>
            <w:tcW w:w="1134" w:type="dxa"/>
            <w:shd w:val="clear" w:color="auto" w:fill="CCFFCC"/>
          </w:tcPr>
          <w:p w14:paraId="79FAE9FD" w14:textId="77777777" w:rsidR="00482C62" w:rsidRDefault="00482C62" w:rsidP="00336410">
            <w:pPr>
              <w:pStyle w:val="TableParagraph"/>
              <w:spacing w:before="11"/>
              <w:rPr>
                <w:sz w:val="16"/>
              </w:rPr>
            </w:pPr>
          </w:p>
          <w:p w14:paraId="29EF9A94" w14:textId="77777777" w:rsidR="00482C62" w:rsidRDefault="00482C62" w:rsidP="00336410">
            <w:pPr>
              <w:pStyle w:val="TableParagraph"/>
              <w:ind w:left="94" w:right="88"/>
              <w:jc w:val="center"/>
              <w:rPr>
                <w:sz w:val="16"/>
              </w:rPr>
            </w:pPr>
            <w:r>
              <w:rPr>
                <w:sz w:val="16"/>
              </w:rPr>
              <w:t>System</w:t>
            </w:r>
          </w:p>
        </w:tc>
        <w:tc>
          <w:tcPr>
            <w:tcW w:w="1134" w:type="dxa"/>
            <w:shd w:val="clear" w:color="auto" w:fill="CCFFCC"/>
          </w:tcPr>
          <w:p w14:paraId="6809E96B" w14:textId="77777777" w:rsidR="00482C62" w:rsidRDefault="00482C62" w:rsidP="00336410">
            <w:pPr>
              <w:pStyle w:val="TableParagraph"/>
              <w:spacing w:before="11"/>
              <w:rPr>
                <w:sz w:val="16"/>
              </w:rPr>
            </w:pPr>
          </w:p>
          <w:p w14:paraId="5F4C9CEA" w14:textId="77777777" w:rsidR="00482C62" w:rsidRDefault="00482C62" w:rsidP="00336410">
            <w:pPr>
              <w:pStyle w:val="TableParagraph"/>
              <w:ind w:left="292" w:right="290"/>
              <w:jc w:val="center"/>
              <w:rPr>
                <w:sz w:val="16"/>
              </w:rPr>
            </w:pPr>
            <w:r>
              <w:rPr>
                <w:sz w:val="16"/>
              </w:rPr>
              <w:t>System</w:t>
            </w:r>
          </w:p>
        </w:tc>
        <w:tc>
          <w:tcPr>
            <w:tcW w:w="992" w:type="dxa"/>
            <w:tcBorders>
              <w:top w:val="single" w:sz="18" w:space="0" w:color="000000"/>
              <w:bottom w:val="single" w:sz="18" w:space="0" w:color="000000"/>
              <w:right w:val="single" w:sz="18" w:space="0" w:color="000000"/>
            </w:tcBorders>
            <w:shd w:val="clear" w:color="auto" w:fill="CCFFCC"/>
          </w:tcPr>
          <w:p w14:paraId="192C9E31" w14:textId="77777777" w:rsidR="00482C62" w:rsidRDefault="00482C62" w:rsidP="00336410">
            <w:pPr>
              <w:pStyle w:val="TableParagraph"/>
              <w:spacing w:before="106"/>
              <w:ind w:left="265" w:right="79" w:hanging="156"/>
              <w:rPr>
                <w:b/>
                <w:sz w:val="16"/>
              </w:rPr>
            </w:pPr>
            <w:r>
              <w:rPr>
                <w:b/>
                <w:spacing w:val="-1"/>
                <w:sz w:val="16"/>
              </w:rPr>
              <w:t>All driving</w:t>
            </w:r>
            <w:r>
              <w:rPr>
                <w:b/>
                <w:spacing w:val="-37"/>
                <w:sz w:val="16"/>
              </w:rPr>
              <w:t xml:space="preserve"> </w:t>
            </w:r>
            <w:r>
              <w:rPr>
                <w:b/>
                <w:sz w:val="16"/>
              </w:rPr>
              <w:t>modes</w:t>
            </w:r>
          </w:p>
        </w:tc>
      </w:tr>
    </w:tbl>
    <w:p w14:paraId="64ADECC6" w14:textId="7F615D30" w:rsidR="00482C62" w:rsidRDefault="00482C62" w:rsidP="00482C62">
      <w:pPr>
        <w:pStyle w:val="Tabletitle"/>
      </w:pPr>
    </w:p>
    <w:p w14:paraId="6FD3E542" w14:textId="77777777" w:rsidR="0068422E" w:rsidRPr="0068422E" w:rsidRDefault="0068422E" w:rsidP="0068422E">
      <w:pPr>
        <w:pStyle w:val="Tabletitle"/>
        <w:ind w:firstLine="284"/>
        <w:rPr>
          <w:lang w:val="en-GB"/>
        </w:rPr>
      </w:pPr>
      <w:r w:rsidRPr="0068422E">
        <w:rPr>
          <w:lang w:val="en-GB"/>
        </w:rPr>
        <w:t>However, there are other ways of classifying autonomous driving, as there is still no international standard that unifies the different interpretations of this phenomenon. For example, in the United States, the National Highway Traffic Safety Administration (NHTSA) of the US Department of Transportation (DOT) classifies it into four levels</w:t>
      </w:r>
      <w:r w:rsidRPr="0068422E">
        <w:rPr>
          <w:vertAlign w:val="superscript"/>
          <w:lang w:val="en-GB"/>
        </w:rPr>
        <w:footnoteReference w:id="55"/>
      </w:r>
      <w:r w:rsidRPr="0068422E">
        <w:rPr>
          <w:lang w:val="en-GB"/>
        </w:rPr>
        <w:t>.</w:t>
      </w:r>
    </w:p>
    <w:p w14:paraId="2F0F0525" w14:textId="77777777" w:rsidR="0068422E" w:rsidRPr="0068422E" w:rsidRDefault="0068422E" w:rsidP="0068422E">
      <w:pPr>
        <w:pStyle w:val="Tabletitle"/>
        <w:ind w:firstLine="284"/>
        <w:rPr>
          <w:bCs/>
          <w:iCs/>
          <w:lang w:val="en-GB"/>
        </w:rPr>
      </w:pPr>
      <w:r w:rsidRPr="0068422E">
        <w:rPr>
          <w:lang w:val="en-GB"/>
        </w:rPr>
        <w:t>The key question is the timeframe for the implementation of the various phases of automation. European Parliament Resolution of 15 January 2019 on autonomous driving in European transport, focusing on road transport (cars, trucks, buses and coaches)</w:t>
      </w:r>
      <w:r w:rsidRPr="0068422E">
        <w:rPr>
          <w:bCs/>
          <w:vertAlign w:val="superscript"/>
          <w:lang w:val="en-GB"/>
        </w:rPr>
        <w:footnoteReference w:id="56"/>
      </w:r>
      <w:r w:rsidRPr="0068422E">
        <w:rPr>
          <w:lang w:val="en-GB"/>
        </w:rPr>
        <w:t>, states in paragraph (J) of its Preamble that there are levels of automation, with levels 1 and 2 already being on the market, while conditional, high and full automation levels (when a vehicle becomes self-driving) are expected to be available only in 2020-2030. In addition, driver assistance systems are therefore important as an enabling technology on the path towards full automation</w:t>
      </w:r>
      <w:r w:rsidRPr="0068422E">
        <w:rPr>
          <w:bCs/>
          <w:lang w:val="en-GB"/>
        </w:rPr>
        <w:t xml:space="preserve">. </w:t>
      </w:r>
    </w:p>
    <w:p w14:paraId="6E453322" w14:textId="77777777" w:rsidR="0068422E" w:rsidRPr="0068422E" w:rsidRDefault="0068422E" w:rsidP="0068422E">
      <w:pPr>
        <w:pStyle w:val="Tabletitle"/>
        <w:ind w:firstLine="284"/>
        <w:rPr>
          <w:bCs/>
          <w:lang w:val="en-GB"/>
        </w:rPr>
      </w:pPr>
      <w:r w:rsidRPr="0068422E">
        <w:rPr>
          <w:bCs/>
          <w:lang w:val="en-GB"/>
        </w:rPr>
        <w:t>Autonomous cars are already a technological reality, as demonstrated by well-known manufacturers (e.g. Tesla Inc. and Google). Tesla will remove ultrasonic sensors from the Model 3 and Model Y in the coming months, and from the Model S and Model X in 2023, going on to relying only on camera vision</w:t>
      </w:r>
      <w:r w:rsidRPr="0068422E">
        <w:rPr>
          <w:bCs/>
          <w:vertAlign w:val="superscript"/>
          <w:lang w:val="en-GB"/>
        </w:rPr>
        <w:footnoteReference w:id="57"/>
      </w:r>
      <w:r w:rsidRPr="0068422E">
        <w:rPr>
          <w:bCs/>
          <w:lang w:val="en-GB"/>
        </w:rPr>
        <w:t>. However, recent accidents involving Tesla's semi-autonomous vehicles may be causing reputational damage to the concept of autonomous driving</w:t>
      </w:r>
      <w:r w:rsidRPr="0068422E">
        <w:rPr>
          <w:bCs/>
          <w:vertAlign w:val="superscript"/>
          <w:lang w:val="en-GB"/>
        </w:rPr>
        <w:footnoteReference w:id="58"/>
      </w:r>
      <w:r w:rsidRPr="0068422E">
        <w:rPr>
          <w:bCs/>
          <w:lang w:val="en-GB"/>
        </w:rPr>
        <w:t xml:space="preserve">. </w:t>
      </w:r>
    </w:p>
    <w:p w14:paraId="6FC77F42" w14:textId="77777777" w:rsidR="0068422E" w:rsidRPr="0068422E" w:rsidRDefault="0068422E" w:rsidP="0068422E">
      <w:pPr>
        <w:pStyle w:val="Tabletitle"/>
        <w:ind w:firstLine="284"/>
        <w:rPr>
          <w:lang w:val="en-GB"/>
        </w:rPr>
      </w:pPr>
      <w:r w:rsidRPr="0068422E">
        <w:rPr>
          <w:lang w:val="en-GB"/>
        </w:rPr>
        <w:t>In Germany, since the first half of 2022, some Mercedes vehicles have already been approved for Driver Pilot and can be driven in highly automated mode at speeds of up to 60 km/h in situations with a high volume of traffic or in traffic jams on the appropriate motorway sections in Germany (SAE level 3)</w:t>
      </w:r>
      <w:r w:rsidRPr="0068422E">
        <w:rPr>
          <w:vertAlign w:val="superscript"/>
          <w:lang w:val="en-GB"/>
        </w:rPr>
        <w:footnoteReference w:id="59"/>
      </w:r>
      <w:r w:rsidRPr="0068422E">
        <w:rPr>
          <w:lang w:val="en-GB"/>
        </w:rPr>
        <w:t xml:space="preserve">. </w:t>
      </w:r>
    </w:p>
    <w:p w14:paraId="5369F3FF" w14:textId="77777777" w:rsidR="0068422E" w:rsidRPr="0068422E" w:rsidRDefault="0068422E" w:rsidP="0068422E">
      <w:pPr>
        <w:pStyle w:val="Tabletitle"/>
        <w:ind w:firstLine="284"/>
        <w:rPr>
          <w:lang w:val="en-GB"/>
        </w:rPr>
      </w:pPr>
      <w:r w:rsidRPr="0068422E">
        <w:rPr>
          <w:bCs/>
          <w:iCs/>
          <w:lang w:val="en-GB"/>
        </w:rPr>
        <w:t xml:space="preserve">In Spain, </w:t>
      </w:r>
      <w:r w:rsidRPr="0068422E">
        <w:rPr>
          <w:lang w:val="en-GB"/>
        </w:rPr>
        <w:t>at the presentation of the CECOT business association's report</w:t>
      </w:r>
      <w:r w:rsidRPr="0068422E">
        <w:rPr>
          <w:b/>
          <w:lang w:val="en-GB"/>
        </w:rPr>
        <w:t xml:space="preserve">, </w:t>
      </w:r>
      <w:r w:rsidRPr="0068422E">
        <w:rPr>
          <w:bCs/>
          <w:lang w:val="en-GB"/>
        </w:rPr>
        <w:t xml:space="preserve">Jorge </w:t>
      </w:r>
      <w:proofErr w:type="spellStart"/>
      <w:r w:rsidRPr="0068422E">
        <w:rPr>
          <w:bCs/>
          <w:lang w:val="en-GB"/>
        </w:rPr>
        <w:t>Ordás</w:t>
      </w:r>
      <w:proofErr w:type="spellEnd"/>
      <w:r w:rsidRPr="0068422E">
        <w:rPr>
          <w:b/>
          <w:lang w:val="en-GB"/>
        </w:rPr>
        <w:t xml:space="preserve">, </w:t>
      </w:r>
      <w:r w:rsidRPr="0068422E">
        <w:rPr>
          <w:bCs/>
          <w:lang w:val="en-GB"/>
        </w:rPr>
        <w:t>Deputy Director-General for Mobility and Technology of the Directorate-General for Traffic</w:t>
      </w:r>
      <w:r w:rsidRPr="0068422E">
        <w:rPr>
          <w:b/>
          <w:lang w:val="en-GB"/>
        </w:rPr>
        <w:t xml:space="preserve">, </w:t>
      </w:r>
      <w:r w:rsidRPr="0068422E">
        <w:rPr>
          <w:lang w:val="en-GB"/>
        </w:rPr>
        <w:t>stated in relation to autonomous vehicles and their circulation on the Spanish road network that by 2023 there would be a regulation that would allow vehicles to reach at least SAE level 3 of autonomy</w:t>
      </w:r>
      <w:r w:rsidRPr="0068422E">
        <w:rPr>
          <w:vertAlign w:val="superscript"/>
          <w:lang w:val="en-GB"/>
        </w:rPr>
        <w:footnoteReference w:id="60"/>
      </w:r>
      <w:r w:rsidRPr="0068422E">
        <w:rPr>
          <w:lang w:val="en-GB"/>
        </w:rPr>
        <w:t xml:space="preserve">. </w:t>
      </w:r>
    </w:p>
    <w:p w14:paraId="22C26291" w14:textId="77777777" w:rsidR="0068422E" w:rsidRPr="0068422E" w:rsidRDefault="0068422E" w:rsidP="0068422E">
      <w:pPr>
        <w:pStyle w:val="Tabletitle"/>
        <w:rPr>
          <w:bCs/>
          <w:i/>
          <w:iCs/>
          <w:lang w:val="en-GB"/>
        </w:rPr>
      </w:pPr>
      <w:r w:rsidRPr="0068422E">
        <w:rPr>
          <w:lang w:val="en-GB"/>
        </w:rPr>
        <w:t xml:space="preserve">In the European Union, Regulation (EU) 2018/858 of the European Parliament and of the Council of 30 May 2018 on the approval and market surveillance of motor vehicles and their trailers, and of </w:t>
      </w:r>
      <w:r w:rsidRPr="0068422E">
        <w:rPr>
          <w:lang w:val="en-GB"/>
        </w:rPr>
        <w:lastRenderedPageBreak/>
        <w:t>systems, components and separate technical units intended for such vehicles, amending Regulations (EC) No 715/2007 and (EC) No 595/2009 and repealing Directive 2007/46/EC, introduces a set of market surveillance rules for ensuring a genuine internal market for vehicles in the EU, including for driverless vehicles</w:t>
      </w:r>
      <w:r w:rsidRPr="0068422E">
        <w:rPr>
          <w:vertAlign w:val="superscript"/>
          <w:lang w:val="en-GB"/>
        </w:rPr>
        <w:footnoteReference w:id="61"/>
      </w:r>
      <w:r w:rsidRPr="0068422E">
        <w:rPr>
          <w:lang w:val="en-GB"/>
        </w:rPr>
        <w:t>.</w:t>
      </w:r>
    </w:p>
    <w:p w14:paraId="164C21DB" w14:textId="77777777" w:rsidR="0068422E" w:rsidRPr="0068422E" w:rsidRDefault="0068422E" w:rsidP="0068422E">
      <w:pPr>
        <w:pStyle w:val="Tabletitle"/>
        <w:ind w:firstLine="284"/>
        <w:rPr>
          <w:bCs/>
          <w:lang w:val="en-GB"/>
        </w:rPr>
      </w:pPr>
      <w:r w:rsidRPr="0068422E">
        <w:rPr>
          <w:bCs/>
          <w:lang w:val="en-GB"/>
        </w:rPr>
        <w:t>In addition, for the standardised deployment of autonomous cars, roads must be adequately prepared for them. Upgrading road infrastructure is mandatory, but it is a slower and more costly process that likewise takes place at a slower and more costly pace than in-vehicle automation</w:t>
      </w:r>
      <w:r w:rsidRPr="0068422E">
        <w:rPr>
          <w:bCs/>
          <w:vertAlign w:val="superscript"/>
          <w:lang w:val="en-GB"/>
        </w:rPr>
        <w:footnoteReference w:id="62"/>
      </w:r>
      <w:r w:rsidRPr="0068422E">
        <w:rPr>
          <w:bCs/>
          <w:lang w:val="en-GB"/>
        </w:rPr>
        <w:t xml:space="preserve">. Theoretically, the pilots carried out suggest that autonomous vehicles could be more suited to certain types of roads, such as motorways, than to smaller roads or roads with a higher concentration of elements, such as other cars, street furniture and pedestrians. </w:t>
      </w:r>
    </w:p>
    <w:p w14:paraId="01BB857C" w14:textId="77777777" w:rsidR="0068422E" w:rsidRPr="0068422E" w:rsidRDefault="0068422E" w:rsidP="0068422E">
      <w:pPr>
        <w:pStyle w:val="Tabletitle"/>
        <w:ind w:firstLine="284"/>
        <w:rPr>
          <w:bCs/>
          <w:lang w:val="en-GB"/>
        </w:rPr>
      </w:pPr>
      <w:r w:rsidRPr="0068422E">
        <w:rPr>
          <w:bCs/>
          <w:lang w:val="en-GB"/>
        </w:rPr>
        <w:t>Autonomous vehicles rely entirely on artificial intelligence (AI) systems</w:t>
      </w:r>
      <w:r w:rsidRPr="0068422E">
        <w:rPr>
          <w:bCs/>
          <w:vertAlign w:val="superscript"/>
          <w:lang w:val="en-GB"/>
        </w:rPr>
        <w:footnoteReference w:id="63"/>
      </w:r>
      <w:r w:rsidRPr="0068422E">
        <w:rPr>
          <w:bCs/>
          <w:lang w:val="en-GB"/>
        </w:rPr>
        <w:t>, with advanced sensor and radar systems to provide full 360° information about the context in which the vehicle operates. This information, together with that provided by digital satellite and on-board maps, must be processed to enable the vehicle to identify its location, plan and follow the route, and recognise and respond appropriately to traffic signs and driving hazards. This processing is carried out by AI systems using algorithms that are based on historical databases and are constantly updated to redefine the vehicle's operation in real-life conditions.</w:t>
      </w:r>
    </w:p>
    <w:p w14:paraId="11FC9EFF" w14:textId="77777777" w:rsidR="0068422E" w:rsidRPr="0068422E" w:rsidRDefault="0068422E" w:rsidP="0068422E">
      <w:pPr>
        <w:pStyle w:val="Tabletitle"/>
        <w:ind w:firstLine="284"/>
        <w:rPr>
          <w:bCs/>
          <w:lang w:val="en-GB"/>
        </w:rPr>
      </w:pPr>
      <w:r w:rsidRPr="0068422E">
        <w:rPr>
          <w:bCs/>
          <w:lang w:val="en-GB"/>
        </w:rPr>
        <w:t>Autonomous vehicles are robots and giving robots the responsibility of transporting passengers or goods on public roads has huge safety implications. Although autonomous driving is expected to be safer than human driving, it is imperative that a great deal of regulatory work be done first to ensure full respect for the right to life, including provisions on potential threats and risks.</w:t>
      </w:r>
    </w:p>
    <w:p w14:paraId="554104E7" w14:textId="2E31130F" w:rsidR="00482C62" w:rsidRDefault="00482C62" w:rsidP="00482C62">
      <w:pPr>
        <w:pStyle w:val="Tabletitle"/>
      </w:pPr>
    </w:p>
    <w:p w14:paraId="209010E8" w14:textId="5895ABB8" w:rsidR="0068422E" w:rsidRDefault="0068422E" w:rsidP="0068422E">
      <w:pPr>
        <w:pStyle w:val="Tabletitle"/>
        <w:numPr>
          <w:ilvl w:val="0"/>
          <w:numId w:val="8"/>
        </w:numPr>
        <w:rPr>
          <w:b/>
          <w:bCs/>
          <w:sz w:val="28"/>
          <w:szCs w:val="28"/>
          <w:lang w:val="en-GB"/>
        </w:rPr>
      </w:pPr>
      <w:r w:rsidRPr="0068422E">
        <w:rPr>
          <w:b/>
          <w:bCs/>
          <w:sz w:val="28"/>
          <w:szCs w:val="28"/>
          <w:lang w:val="en-GB"/>
        </w:rPr>
        <w:t>Research project on "Autonomous Driving and Legal Certainty in the Area of Transport".</w:t>
      </w:r>
    </w:p>
    <w:p w14:paraId="00E998E0" w14:textId="77777777" w:rsidR="0068422E" w:rsidRPr="0068422E" w:rsidRDefault="0068422E" w:rsidP="0068422E">
      <w:pPr>
        <w:pStyle w:val="Tabletitle"/>
        <w:ind w:left="360"/>
        <w:rPr>
          <w:b/>
          <w:bCs/>
          <w:sz w:val="28"/>
          <w:szCs w:val="28"/>
          <w:lang w:val="en-GB"/>
        </w:rPr>
      </w:pPr>
    </w:p>
    <w:p w14:paraId="51E5631B" w14:textId="77777777" w:rsidR="0068422E" w:rsidRPr="0068422E" w:rsidRDefault="0068422E" w:rsidP="0068422E">
      <w:pPr>
        <w:pStyle w:val="Tabletitle"/>
        <w:ind w:firstLine="360"/>
        <w:rPr>
          <w:bCs/>
          <w:lang w:val="en-GB"/>
        </w:rPr>
      </w:pPr>
      <w:r w:rsidRPr="0068422E">
        <w:rPr>
          <w:bCs/>
          <w:lang w:val="en-GB"/>
        </w:rPr>
        <w:t>Fully autonomous vehicles, SAE level 5, is a matter for the future. However, connected and partially automated vehicles are already raising legal issues due to their development and implementation</w:t>
      </w:r>
      <w:r w:rsidRPr="0068422E">
        <w:rPr>
          <w:bCs/>
          <w:vertAlign w:val="superscript"/>
          <w:lang w:val="en-GB"/>
        </w:rPr>
        <w:footnoteReference w:id="64"/>
      </w:r>
      <w:r w:rsidRPr="0068422E">
        <w:rPr>
          <w:bCs/>
          <w:lang w:val="en-GB"/>
        </w:rPr>
        <w:t xml:space="preserve">. </w:t>
      </w:r>
    </w:p>
    <w:p w14:paraId="6817DFF1" w14:textId="77777777" w:rsidR="0068422E" w:rsidRPr="0068422E" w:rsidRDefault="0068422E" w:rsidP="0068422E">
      <w:pPr>
        <w:pStyle w:val="Tabletitle"/>
        <w:ind w:firstLine="360"/>
        <w:rPr>
          <w:bCs/>
          <w:lang w:val="en-GB"/>
        </w:rPr>
      </w:pPr>
      <w:r w:rsidRPr="0068422E">
        <w:rPr>
          <w:bCs/>
          <w:lang w:val="en-GB"/>
        </w:rPr>
        <w:t xml:space="preserve">It is well known that there is great technological interest in autonomous driving and connected mobility. The literature has mainly dealt with the technical issues of autonomous driving, as a search of these terms in Google or on academic websites such as Academia or </w:t>
      </w:r>
      <w:proofErr w:type="spellStart"/>
      <w:r w:rsidRPr="0068422E">
        <w:rPr>
          <w:bCs/>
          <w:lang w:val="en-GB"/>
        </w:rPr>
        <w:t>ResearchGate</w:t>
      </w:r>
      <w:proofErr w:type="spellEnd"/>
      <w:r w:rsidRPr="0068422E">
        <w:rPr>
          <w:bCs/>
          <w:lang w:val="en-GB"/>
        </w:rPr>
        <w:t xml:space="preserve"> shows. </w:t>
      </w:r>
    </w:p>
    <w:p w14:paraId="76F71848" w14:textId="77777777" w:rsidR="0068422E" w:rsidRPr="0068422E" w:rsidRDefault="0068422E" w:rsidP="0068422E">
      <w:pPr>
        <w:pStyle w:val="Tabletitle"/>
        <w:ind w:firstLine="360"/>
        <w:rPr>
          <w:bCs/>
          <w:lang w:val="en-GB"/>
        </w:rPr>
      </w:pPr>
      <w:r w:rsidRPr="0068422E">
        <w:rPr>
          <w:bCs/>
          <w:lang w:val="en-GB"/>
        </w:rPr>
        <w:t>The same is not true of the legal aspects. In Spain, there are no complete works in Spanish that deal with the legal phenomenon as a whole and only a few that deal with the sectoral aspects. The same is true outside of Spain. For example, one can consult the work edited by Maurer (2015), which includes only a few legal contributions and focuses predominantly on technical aspects. In English, some legal research on autonomous driving has been published.</w:t>
      </w:r>
    </w:p>
    <w:p w14:paraId="006B8C67" w14:textId="77777777" w:rsidR="0068422E" w:rsidRPr="0068422E" w:rsidRDefault="0068422E" w:rsidP="0068422E">
      <w:pPr>
        <w:pStyle w:val="Tabletitle"/>
        <w:ind w:firstLine="360"/>
        <w:rPr>
          <w:bCs/>
          <w:lang w:val="en-GB"/>
        </w:rPr>
      </w:pPr>
      <w:r w:rsidRPr="0068422E">
        <w:rPr>
          <w:bCs/>
          <w:lang w:val="en-GB"/>
        </w:rPr>
        <w:t xml:space="preserve">The hypothesis taken as the starting point of the </w:t>
      </w:r>
      <w:bookmarkStart w:id="2" w:name="_Hlk126014539"/>
      <w:r w:rsidRPr="0068422E">
        <w:rPr>
          <w:bCs/>
          <w:lang w:val="en-GB"/>
        </w:rPr>
        <w:t xml:space="preserve">Research Project "Autonomous Driving and Legal Certainty in the Area of Transport", funded by the Ministry of Innovation and Science through the Knowledge Generation 2021 Programme of the Ministry of Science and Innovation in the modality of Non-Oriented Research Type B. </w:t>
      </w:r>
      <w:bookmarkEnd w:id="2"/>
      <w:r w:rsidRPr="0068422E">
        <w:rPr>
          <w:bCs/>
          <w:lang w:val="en-GB"/>
        </w:rPr>
        <w:t>PID2021-123070NB-I00 (2022-2025) is the European Commission's digital policy strategy on Cooperative, Connected and Autonomous Mobility (CCAM).</w:t>
      </w:r>
    </w:p>
    <w:p w14:paraId="38F603D7" w14:textId="399C2CF8" w:rsidR="0068422E" w:rsidRPr="0068422E" w:rsidRDefault="0068422E" w:rsidP="0068422E">
      <w:pPr>
        <w:pStyle w:val="Tabletitle"/>
        <w:ind w:firstLine="360"/>
        <w:rPr>
          <w:bCs/>
          <w:lang w:val="en-GB"/>
        </w:rPr>
      </w:pPr>
      <w:r w:rsidRPr="0068422E">
        <w:rPr>
          <w:bCs/>
          <w:lang w:val="en-GB"/>
        </w:rPr>
        <w:lastRenderedPageBreak/>
        <w:t xml:space="preserve">The Project is structured according to the list of questions compiled by the European Commission alongside others added by foreign legal </w:t>
      </w:r>
      <w:r w:rsidR="00883C4C">
        <w:rPr>
          <w:bCs/>
          <w:lang w:val="en-GB"/>
        </w:rPr>
        <w:t>authors</w:t>
      </w:r>
      <w:r w:rsidR="00883C4C">
        <w:rPr>
          <w:rStyle w:val="Refernciadenotaapeudepgina"/>
          <w:bCs/>
          <w:lang w:val="en-GB"/>
        </w:rPr>
        <w:footnoteReference w:id="65"/>
      </w:r>
      <w:r w:rsidRPr="0068422E">
        <w:rPr>
          <w:bCs/>
          <w:lang w:val="en-GB"/>
        </w:rPr>
        <w:t xml:space="preserve"> and the results of the previous research of the Project research team itself, made up of 24 researchers from 10 Spanish and foreign universities with extensive scientific experience and long experience and broad knowledge of their respective branches of law, in a clearly cross-disciplinary Project. </w:t>
      </w:r>
    </w:p>
    <w:p w14:paraId="2BB4DFB2" w14:textId="77777777" w:rsidR="0068422E" w:rsidRDefault="0068422E" w:rsidP="00482C62">
      <w:pPr>
        <w:pStyle w:val="Tabletitle"/>
      </w:pPr>
    </w:p>
    <w:p w14:paraId="2F6EDB94" w14:textId="4E679C42" w:rsidR="00883C4C" w:rsidRDefault="00883C4C" w:rsidP="00883C4C">
      <w:pPr>
        <w:pStyle w:val="Tablenumber"/>
      </w:pPr>
      <w:r>
        <w:t xml:space="preserve">Table </w:t>
      </w:r>
      <w:r>
        <w:rPr>
          <w:noProof/>
        </w:rPr>
        <w:t>2</w:t>
      </w:r>
    </w:p>
    <w:p w14:paraId="4AEA769C" w14:textId="260C43B4" w:rsidR="00883C4C" w:rsidRDefault="00883C4C" w:rsidP="00883C4C">
      <w:pPr>
        <w:pStyle w:val="Tablenumber"/>
        <w:rPr>
          <w:b w:val="0"/>
          <w:bCs w:val="0"/>
        </w:rPr>
      </w:pPr>
      <w:r w:rsidRPr="00482C62">
        <w:rPr>
          <w:b w:val="0"/>
          <w:bCs w:val="0"/>
        </w:rPr>
        <w:t>S</w:t>
      </w:r>
      <w:r>
        <w:rPr>
          <w:b w:val="0"/>
          <w:bCs w:val="0"/>
        </w:rPr>
        <w:t xml:space="preserve">ummary Table on </w:t>
      </w:r>
      <w:r w:rsidRPr="00883C4C">
        <w:rPr>
          <w:b w:val="0"/>
          <w:bCs w:val="0"/>
        </w:rPr>
        <w:t xml:space="preserve">specific objectives </w:t>
      </w:r>
      <w:r>
        <w:rPr>
          <w:b w:val="0"/>
          <w:bCs w:val="0"/>
        </w:rPr>
        <w:t xml:space="preserve">of the Project </w:t>
      </w:r>
      <w:r w:rsidRPr="00883C4C">
        <w:rPr>
          <w:b w:val="0"/>
          <w:bCs w:val="0"/>
        </w:rPr>
        <w:t>and research sub-groups</w:t>
      </w:r>
    </w:p>
    <w:p w14:paraId="76EF16A8" w14:textId="77777777" w:rsidR="00482C62" w:rsidRPr="00482C62" w:rsidRDefault="00482C62" w:rsidP="00482C62">
      <w:pPr>
        <w:pStyle w:val="Tabletitle"/>
      </w:pPr>
    </w:p>
    <w:tbl>
      <w:tblPr>
        <w:tblStyle w:val="Taulaambquadrcula1"/>
        <w:tblW w:w="7367" w:type="dxa"/>
        <w:tblInd w:w="1271" w:type="dxa"/>
        <w:tblLook w:val="04A0" w:firstRow="1" w:lastRow="0" w:firstColumn="1" w:lastColumn="0" w:noHBand="0" w:noVBand="1"/>
      </w:tblPr>
      <w:tblGrid>
        <w:gridCol w:w="7367"/>
      </w:tblGrid>
      <w:tr w:rsidR="00883C4C" w:rsidRPr="00695A55" w14:paraId="6035FE13" w14:textId="77777777" w:rsidTr="00336410">
        <w:trPr>
          <w:trHeight w:val="285"/>
        </w:trPr>
        <w:tc>
          <w:tcPr>
            <w:tcW w:w="7367" w:type="dxa"/>
            <w:noWrap/>
            <w:hideMark/>
          </w:tcPr>
          <w:p w14:paraId="201EFF54" w14:textId="77777777" w:rsidR="00883C4C" w:rsidRPr="00695A55" w:rsidRDefault="00883C4C" w:rsidP="00336410">
            <w:pPr>
              <w:pStyle w:val="Ttol1"/>
              <w:numPr>
                <w:ilvl w:val="0"/>
                <w:numId w:val="0"/>
              </w:numPr>
              <w:spacing w:before="0" w:beforeAutospacing="0" w:after="0" w:afterAutospacing="0"/>
              <w:ind w:left="360"/>
              <w:rPr>
                <w:rFonts w:ascii="Times New Roman" w:hAnsi="Times New Roman" w:cs="Times New Roman"/>
                <w:b w:val="0"/>
                <w:sz w:val="22"/>
                <w:szCs w:val="22"/>
                <w:lang w:val="en-GB"/>
              </w:rPr>
            </w:pPr>
            <w:r w:rsidRPr="00695A55">
              <w:rPr>
                <w:rFonts w:ascii="Times New Roman" w:hAnsi="Times New Roman" w:cs="Times New Roman"/>
                <w:b w:val="0"/>
                <w:sz w:val="22"/>
                <w:szCs w:val="22"/>
                <w:lang w:val="en-GB"/>
              </w:rPr>
              <w:t xml:space="preserve">Ethics and fundamental rights and autonomous driving; privacy rights and data protection </w:t>
            </w:r>
          </w:p>
        </w:tc>
      </w:tr>
      <w:tr w:rsidR="00883C4C" w:rsidRPr="00695A55" w14:paraId="2E5B7560" w14:textId="77777777" w:rsidTr="00336410">
        <w:trPr>
          <w:trHeight w:val="285"/>
        </w:trPr>
        <w:tc>
          <w:tcPr>
            <w:tcW w:w="7367" w:type="dxa"/>
            <w:noWrap/>
            <w:hideMark/>
          </w:tcPr>
          <w:p w14:paraId="12610076" w14:textId="77777777" w:rsidR="00883C4C" w:rsidRPr="00695A55" w:rsidRDefault="00883C4C" w:rsidP="00336410">
            <w:pPr>
              <w:pStyle w:val="Ttol1"/>
              <w:numPr>
                <w:ilvl w:val="0"/>
                <w:numId w:val="0"/>
              </w:numPr>
              <w:spacing w:before="0" w:beforeAutospacing="0" w:after="0" w:afterAutospacing="0"/>
              <w:ind w:left="360"/>
              <w:rPr>
                <w:rFonts w:ascii="Times New Roman" w:hAnsi="Times New Roman" w:cs="Times New Roman"/>
                <w:b w:val="0"/>
                <w:sz w:val="22"/>
                <w:szCs w:val="22"/>
                <w:lang w:val="en-GB"/>
              </w:rPr>
            </w:pPr>
            <w:r w:rsidRPr="00695A55">
              <w:rPr>
                <w:rFonts w:ascii="Times New Roman" w:hAnsi="Times New Roman" w:cs="Times New Roman"/>
                <w:b w:val="0"/>
                <w:sz w:val="22"/>
                <w:szCs w:val="22"/>
                <w:lang w:val="en-GB"/>
              </w:rPr>
              <w:t>Freedom of enterprise and competition law in autonomous driving</w:t>
            </w:r>
          </w:p>
        </w:tc>
      </w:tr>
      <w:tr w:rsidR="00883C4C" w:rsidRPr="00695A55" w14:paraId="34B4CC32" w14:textId="77777777" w:rsidTr="00336410">
        <w:trPr>
          <w:trHeight w:val="285"/>
        </w:trPr>
        <w:tc>
          <w:tcPr>
            <w:tcW w:w="7367" w:type="dxa"/>
            <w:noWrap/>
            <w:hideMark/>
          </w:tcPr>
          <w:p w14:paraId="05B2BACC" w14:textId="77777777" w:rsidR="00883C4C" w:rsidRPr="00695A55" w:rsidRDefault="00883C4C" w:rsidP="00336410">
            <w:pPr>
              <w:pStyle w:val="Ttol1"/>
              <w:numPr>
                <w:ilvl w:val="0"/>
                <w:numId w:val="0"/>
              </w:numPr>
              <w:spacing w:before="0" w:beforeAutospacing="0" w:after="0" w:afterAutospacing="0"/>
              <w:ind w:left="360"/>
              <w:rPr>
                <w:rFonts w:ascii="Times New Roman" w:hAnsi="Times New Roman" w:cs="Times New Roman"/>
                <w:b w:val="0"/>
                <w:sz w:val="22"/>
                <w:szCs w:val="22"/>
                <w:lang w:val="en-GB"/>
              </w:rPr>
            </w:pPr>
            <w:r w:rsidRPr="00695A55">
              <w:rPr>
                <w:rFonts w:ascii="Times New Roman" w:hAnsi="Times New Roman" w:cs="Times New Roman"/>
                <w:b w:val="0"/>
                <w:sz w:val="22"/>
                <w:szCs w:val="22"/>
                <w:lang w:val="en-GB"/>
              </w:rPr>
              <w:t>Planning and administrative controls of autonomous cars</w:t>
            </w:r>
          </w:p>
        </w:tc>
      </w:tr>
      <w:tr w:rsidR="00883C4C" w:rsidRPr="00695A55" w14:paraId="0816B045" w14:textId="77777777" w:rsidTr="00336410">
        <w:trPr>
          <w:trHeight w:val="285"/>
        </w:trPr>
        <w:tc>
          <w:tcPr>
            <w:tcW w:w="7367" w:type="dxa"/>
            <w:noWrap/>
            <w:hideMark/>
          </w:tcPr>
          <w:p w14:paraId="170A7AD3" w14:textId="77777777" w:rsidR="00883C4C" w:rsidRPr="00695A55" w:rsidRDefault="00883C4C" w:rsidP="00336410">
            <w:pPr>
              <w:pStyle w:val="Ttol1"/>
              <w:numPr>
                <w:ilvl w:val="0"/>
                <w:numId w:val="0"/>
              </w:numPr>
              <w:spacing w:before="0" w:beforeAutospacing="0" w:after="0" w:afterAutospacing="0"/>
              <w:ind w:left="360"/>
              <w:rPr>
                <w:rFonts w:ascii="Times New Roman" w:hAnsi="Times New Roman" w:cs="Times New Roman"/>
                <w:b w:val="0"/>
                <w:sz w:val="22"/>
                <w:szCs w:val="22"/>
                <w:lang w:val="en-GB"/>
              </w:rPr>
            </w:pPr>
            <w:r w:rsidRPr="00695A55">
              <w:rPr>
                <w:rFonts w:ascii="Times New Roman" w:hAnsi="Times New Roman" w:cs="Times New Roman"/>
                <w:b w:val="0"/>
                <w:sz w:val="22"/>
                <w:szCs w:val="22"/>
                <w:lang w:val="en-GB"/>
              </w:rPr>
              <w:t>Criminal liability for autonomous driving on land</w:t>
            </w:r>
          </w:p>
        </w:tc>
      </w:tr>
      <w:tr w:rsidR="00883C4C" w:rsidRPr="00695A55" w14:paraId="48F5CA12" w14:textId="77777777" w:rsidTr="00336410">
        <w:trPr>
          <w:trHeight w:val="285"/>
        </w:trPr>
        <w:tc>
          <w:tcPr>
            <w:tcW w:w="7367" w:type="dxa"/>
            <w:noWrap/>
            <w:hideMark/>
          </w:tcPr>
          <w:p w14:paraId="697502B5" w14:textId="77777777" w:rsidR="00883C4C" w:rsidRPr="00695A55" w:rsidRDefault="00883C4C" w:rsidP="00336410">
            <w:pPr>
              <w:pStyle w:val="Ttol1"/>
              <w:numPr>
                <w:ilvl w:val="0"/>
                <w:numId w:val="0"/>
              </w:numPr>
              <w:spacing w:before="0" w:beforeAutospacing="0" w:after="0" w:afterAutospacing="0"/>
              <w:ind w:left="360"/>
              <w:rPr>
                <w:rFonts w:ascii="Times New Roman" w:hAnsi="Times New Roman" w:cs="Times New Roman"/>
                <w:b w:val="0"/>
                <w:sz w:val="22"/>
                <w:szCs w:val="22"/>
                <w:lang w:val="en-GB"/>
              </w:rPr>
            </w:pPr>
            <w:r w:rsidRPr="00695A55">
              <w:rPr>
                <w:rFonts w:ascii="Times New Roman" w:hAnsi="Times New Roman" w:cs="Times New Roman"/>
                <w:b w:val="0"/>
                <w:sz w:val="22"/>
                <w:szCs w:val="22"/>
                <w:lang w:val="en-GB"/>
              </w:rPr>
              <w:t>Artificial intelligence and civil liability for damage caused by autonomous cars</w:t>
            </w:r>
          </w:p>
        </w:tc>
      </w:tr>
      <w:tr w:rsidR="00883C4C" w:rsidRPr="00695A55" w14:paraId="3541DE6B" w14:textId="77777777" w:rsidTr="00336410">
        <w:trPr>
          <w:trHeight w:val="285"/>
        </w:trPr>
        <w:tc>
          <w:tcPr>
            <w:tcW w:w="7367" w:type="dxa"/>
            <w:noWrap/>
            <w:hideMark/>
          </w:tcPr>
          <w:p w14:paraId="1855F918" w14:textId="77777777" w:rsidR="00883C4C" w:rsidRPr="00695A55" w:rsidRDefault="00883C4C" w:rsidP="00336410">
            <w:pPr>
              <w:pStyle w:val="Ttol1"/>
              <w:numPr>
                <w:ilvl w:val="0"/>
                <w:numId w:val="0"/>
              </w:numPr>
              <w:spacing w:before="0" w:beforeAutospacing="0" w:after="0" w:afterAutospacing="0"/>
              <w:ind w:left="360"/>
              <w:rPr>
                <w:rFonts w:ascii="Times New Roman" w:hAnsi="Times New Roman" w:cs="Times New Roman"/>
                <w:b w:val="0"/>
                <w:sz w:val="22"/>
                <w:szCs w:val="22"/>
                <w:lang w:val="en-GB"/>
              </w:rPr>
            </w:pPr>
            <w:r w:rsidRPr="00695A55">
              <w:rPr>
                <w:rFonts w:ascii="Times New Roman" w:hAnsi="Times New Roman" w:cs="Times New Roman"/>
                <w:b w:val="0"/>
                <w:sz w:val="22"/>
                <w:szCs w:val="22"/>
                <w:lang w:val="en-GB"/>
              </w:rPr>
              <w:t>Manufacturer's liability and autonomous driving</w:t>
            </w:r>
          </w:p>
        </w:tc>
      </w:tr>
      <w:tr w:rsidR="00883C4C" w:rsidRPr="00695A55" w14:paraId="4FAA787D" w14:textId="77777777" w:rsidTr="00336410">
        <w:trPr>
          <w:trHeight w:val="285"/>
        </w:trPr>
        <w:tc>
          <w:tcPr>
            <w:tcW w:w="7367" w:type="dxa"/>
            <w:noWrap/>
            <w:hideMark/>
          </w:tcPr>
          <w:p w14:paraId="3AFE7A66" w14:textId="77777777" w:rsidR="00883C4C" w:rsidRPr="00695A55" w:rsidRDefault="00883C4C" w:rsidP="00336410">
            <w:pPr>
              <w:pStyle w:val="Ttol1"/>
              <w:numPr>
                <w:ilvl w:val="0"/>
                <w:numId w:val="0"/>
              </w:numPr>
              <w:spacing w:before="0" w:beforeAutospacing="0" w:after="0" w:afterAutospacing="0"/>
              <w:ind w:left="360"/>
              <w:rPr>
                <w:rFonts w:ascii="Times New Roman" w:hAnsi="Times New Roman" w:cs="Times New Roman"/>
                <w:b w:val="0"/>
                <w:sz w:val="22"/>
                <w:szCs w:val="22"/>
                <w:lang w:val="en-GB"/>
              </w:rPr>
            </w:pPr>
            <w:r w:rsidRPr="00695A55">
              <w:rPr>
                <w:rFonts w:ascii="Times New Roman" w:hAnsi="Times New Roman" w:cs="Times New Roman"/>
                <w:b w:val="0"/>
                <w:sz w:val="22"/>
                <w:szCs w:val="22"/>
                <w:lang w:val="en-GB"/>
              </w:rPr>
              <w:t>Insurance regime for semi-autonomous/automated cars and the risk of cyber attacks</w:t>
            </w:r>
          </w:p>
        </w:tc>
      </w:tr>
      <w:tr w:rsidR="00883C4C" w:rsidRPr="00695A55" w14:paraId="1806406E" w14:textId="77777777" w:rsidTr="00336410">
        <w:trPr>
          <w:trHeight w:val="285"/>
        </w:trPr>
        <w:tc>
          <w:tcPr>
            <w:tcW w:w="7367" w:type="dxa"/>
            <w:noWrap/>
            <w:hideMark/>
          </w:tcPr>
          <w:p w14:paraId="59DD40A8" w14:textId="77777777" w:rsidR="00883C4C" w:rsidRPr="00695A55" w:rsidRDefault="00883C4C" w:rsidP="00336410">
            <w:pPr>
              <w:pStyle w:val="Ttol1"/>
              <w:numPr>
                <w:ilvl w:val="0"/>
                <w:numId w:val="0"/>
              </w:numPr>
              <w:spacing w:before="0" w:beforeAutospacing="0" w:after="0" w:afterAutospacing="0"/>
              <w:ind w:left="360"/>
              <w:rPr>
                <w:rFonts w:ascii="Times New Roman" w:hAnsi="Times New Roman" w:cs="Times New Roman"/>
                <w:b w:val="0"/>
                <w:sz w:val="22"/>
                <w:szCs w:val="22"/>
                <w:lang w:val="en-GB"/>
              </w:rPr>
            </w:pPr>
            <w:r w:rsidRPr="00695A55">
              <w:rPr>
                <w:rFonts w:ascii="Times New Roman" w:hAnsi="Times New Roman" w:cs="Times New Roman"/>
                <w:b w:val="0"/>
                <w:sz w:val="22"/>
                <w:szCs w:val="22"/>
                <w:lang w:val="en-GB"/>
              </w:rPr>
              <w:t>Autonomous vessels: regulation, accidents, liability and insurance</w:t>
            </w:r>
          </w:p>
        </w:tc>
      </w:tr>
      <w:tr w:rsidR="00883C4C" w:rsidRPr="00695A55" w14:paraId="04CE425F" w14:textId="77777777" w:rsidTr="00336410">
        <w:trPr>
          <w:trHeight w:val="315"/>
        </w:trPr>
        <w:tc>
          <w:tcPr>
            <w:tcW w:w="7367" w:type="dxa"/>
            <w:noWrap/>
            <w:hideMark/>
          </w:tcPr>
          <w:p w14:paraId="42E275CE" w14:textId="77777777" w:rsidR="00883C4C" w:rsidRPr="00695A55" w:rsidRDefault="00883C4C" w:rsidP="00336410">
            <w:pPr>
              <w:pStyle w:val="Ttol1"/>
              <w:numPr>
                <w:ilvl w:val="0"/>
                <w:numId w:val="0"/>
              </w:numPr>
              <w:spacing w:before="0" w:beforeAutospacing="0" w:after="0" w:afterAutospacing="0"/>
              <w:ind w:left="360"/>
              <w:rPr>
                <w:rFonts w:ascii="Times New Roman" w:hAnsi="Times New Roman" w:cs="Times New Roman"/>
                <w:b w:val="0"/>
                <w:sz w:val="22"/>
                <w:szCs w:val="22"/>
                <w:lang w:val="en-GB"/>
              </w:rPr>
            </w:pPr>
            <w:r w:rsidRPr="00695A55">
              <w:rPr>
                <w:rFonts w:ascii="Times New Roman" w:hAnsi="Times New Roman" w:cs="Times New Roman"/>
                <w:b w:val="0"/>
                <w:sz w:val="22"/>
                <w:szCs w:val="22"/>
                <w:lang w:val="en-GB"/>
              </w:rPr>
              <w:t>Unmanned aircraft and urban air mobility. Liability and insurance</w:t>
            </w:r>
          </w:p>
        </w:tc>
      </w:tr>
    </w:tbl>
    <w:p w14:paraId="00356C52" w14:textId="547EEAB0" w:rsidR="00785680" w:rsidRDefault="00785680" w:rsidP="00785680">
      <w:pPr>
        <w:pStyle w:val="Tabletitle"/>
      </w:pPr>
    </w:p>
    <w:p w14:paraId="75EDDE92" w14:textId="77777777" w:rsidR="00883C4C" w:rsidRDefault="00883C4C" w:rsidP="00883C4C">
      <w:r>
        <w:t xml:space="preserve">It is clear that this Project deals with a new area of research. There is no other Legal Research Group in Spain specifically focused on autonomous driving and the legal issues it raises across the legal system as a whole. </w:t>
      </w:r>
    </w:p>
    <w:p w14:paraId="5BB40E7D" w14:textId="41807D47" w:rsidR="00D91BB5" w:rsidRPr="00D91BB5" w:rsidRDefault="00883C4C" w:rsidP="00883C4C">
      <w:r>
        <w:t>In conclusion, with legal certainty, which is the overall objective of the Research Project, the speed of implementation of cooperative, connected and automated driving would be multiplied and thus the benefits inherent in this technology would be achieved more rapidly.</w:t>
      </w:r>
    </w:p>
    <w:p w14:paraId="38EBA24D" w14:textId="7CC3D03C" w:rsidR="00DD4755" w:rsidRDefault="00DD4755" w:rsidP="00DD4755">
      <w:pPr>
        <w:pStyle w:val="Ttol1"/>
      </w:pPr>
      <w:r>
        <w:t>Acknowledgements</w:t>
      </w:r>
    </w:p>
    <w:p w14:paraId="393098F9" w14:textId="77777777" w:rsidR="00883C4C" w:rsidRDefault="00883C4C" w:rsidP="00DD4755">
      <w:pPr>
        <w:rPr>
          <w:lang w:val="en-GB"/>
        </w:rPr>
      </w:pPr>
      <w:r w:rsidRPr="00883C4C">
        <w:rPr>
          <w:lang w:val="en-GB"/>
        </w:rPr>
        <w:t>This article is presented within the framework of the Spanish National Project entitled "Autonomous Driving and Legal Certainty in the Area of Transport", funded by the Ministry of Innovation and Science, in the Call for Knowledge Generation Projects 2021 in the Non-Oriented Research Modality Type B. PID2021-123070NB-I00, for the period 2022-2025, of which the author is the principal investigator.</w:t>
      </w:r>
    </w:p>
    <w:p w14:paraId="1EE84B3F" w14:textId="680C2092" w:rsidR="00791443" w:rsidRDefault="00883C4C" w:rsidP="00DD4755">
      <w:r>
        <w:rPr>
          <w:lang w:val="en-GB"/>
        </w:rPr>
        <w:t xml:space="preserve">We would like to express </w:t>
      </w:r>
      <w:r w:rsidR="00E1079B">
        <w:rPr>
          <w:lang w:val="en-GB"/>
        </w:rPr>
        <w:t>our</w:t>
      </w:r>
      <w:r>
        <w:rPr>
          <w:lang w:val="en-GB"/>
        </w:rPr>
        <w:t xml:space="preserve"> gratitude to </w:t>
      </w:r>
      <w:proofErr w:type="spellStart"/>
      <w:r w:rsidR="00E1079B" w:rsidRPr="00E1079B">
        <w:rPr>
          <w:lang w:val="en-GB"/>
        </w:rPr>
        <w:t>Pompeu</w:t>
      </w:r>
      <w:proofErr w:type="spellEnd"/>
      <w:r w:rsidR="00E1079B" w:rsidRPr="00E1079B">
        <w:rPr>
          <w:lang w:val="en-GB"/>
        </w:rPr>
        <w:t xml:space="preserve"> Casanovas (UAB-LTU), Pablo Noriega (IIIA-CSIC), Louis de </w:t>
      </w:r>
      <w:proofErr w:type="spellStart"/>
      <w:r w:rsidR="00E1079B" w:rsidRPr="00E1079B">
        <w:rPr>
          <w:lang w:val="en-GB"/>
        </w:rPr>
        <w:t>Koker</w:t>
      </w:r>
      <w:proofErr w:type="spellEnd"/>
      <w:r w:rsidR="00E1079B" w:rsidRPr="00E1079B">
        <w:rPr>
          <w:lang w:val="en-GB"/>
        </w:rPr>
        <w:t xml:space="preserve"> (</w:t>
      </w:r>
      <w:proofErr w:type="spellStart"/>
      <w:r w:rsidR="00E1079B" w:rsidRPr="00E1079B">
        <w:rPr>
          <w:lang w:val="en-GB"/>
        </w:rPr>
        <w:t>LawTech</w:t>
      </w:r>
      <w:proofErr w:type="spellEnd"/>
      <w:r w:rsidR="00E1079B" w:rsidRPr="00E1079B">
        <w:rPr>
          <w:lang w:val="en-GB"/>
        </w:rPr>
        <w:t>, La Trobe University)</w:t>
      </w:r>
      <w:r w:rsidR="00E1079B">
        <w:rPr>
          <w:lang w:val="en-GB"/>
        </w:rPr>
        <w:t xml:space="preserve"> for their comments and suggestions kindly done in relation to our lecture at the </w:t>
      </w:r>
      <w:r w:rsidR="00E1079B" w:rsidRPr="00E1079B">
        <w:rPr>
          <w:lang w:val="en-GB"/>
        </w:rPr>
        <w:t>A</w:t>
      </w:r>
      <w:r w:rsidR="00E1079B">
        <w:rPr>
          <w:lang w:val="en-GB"/>
        </w:rPr>
        <w:t>rtificial Intelligence Governance Ethics and Law (</w:t>
      </w:r>
      <w:r w:rsidR="00E1079B" w:rsidRPr="00E1079B">
        <w:rPr>
          <w:lang w:val="en-GB"/>
        </w:rPr>
        <w:t>AIGEL Research Seminar Series)</w:t>
      </w:r>
      <w:r w:rsidR="00E1079B">
        <w:rPr>
          <w:lang w:val="en-GB"/>
        </w:rPr>
        <w:t>, which took place in the Autonomous University of Barcelona (UAB) the 19</w:t>
      </w:r>
      <w:r w:rsidR="00E1079B" w:rsidRPr="00E1079B">
        <w:rPr>
          <w:vertAlign w:val="superscript"/>
          <w:lang w:val="en-GB"/>
        </w:rPr>
        <w:t>th</w:t>
      </w:r>
      <w:r w:rsidR="00E1079B">
        <w:rPr>
          <w:lang w:val="en-GB"/>
        </w:rPr>
        <w:t xml:space="preserve"> December 2022. We also express our </w:t>
      </w:r>
      <w:r w:rsidR="00DD4755" w:rsidRPr="00DD4755">
        <w:t xml:space="preserve">acknowledgment </w:t>
      </w:r>
      <w:r w:rsidR="00E1079B">
        <w:t>to the researchers of the UAB’s Institute of Law of Technology, especially to Mario Macías López</w:t>
      </w:r>
      <w:r w:rsidR="00791443">
        <w:t>.</w:t>
      </w:r>
    </w:p>
    <w:p w14:paraId="32AE0AF7" w14:textId="1B4A37A9" w:rsidR="00DD4755" w:rsidRDefault="00DD4755" w:rsidP="00DD4755">
      <w:pPr>
        <w:pStyle w:val="Ttol1"/>
      </w:pPr>
      <w:r>
        <w:lastRenderedPageBreak/>
        <w:t>References</w:t>
      </w:r>
    </w:p>
    <w:p w14:paraId="09461355" w14:textId="77777777" w:rsidR="00156670" w:rsidRPr="00156670" w:rsidRDefault="00156670" w:rsidP="00156670"/>
    <w:sectPr w:rsidR="00156670" w:rsidRPr="00156670" w:rsidSect="00FC58AF">
      <w:footnotePr>
        <w:numStart w:val="2"/>
      </w:footnotePr>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C3DDE0" w14:textId="77777777" w:rsidR="00270914" w:rsidRDefault="00270914" w:rsidP="003C4648">
      <w:r>
        <w:separator/>
      </w:r>
    </w:p>
  </w:endnote>
  <w:endnote w:type="continuationSeparator" w:id="0">
    <w:p w14:paraId="47F1EDCB" w14:textId="77777777" w:rsidR="00270914" w:rsidRDefault="00270914" w:rsidP="003C4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2B536D" w14:textId="77777777" w:rsidR="00270914" w:rsidRDefault="00270914" w:rsidP="003C4648">
      <w:r>
        <w:separator/>
      </w:r>
    </w:p>
  </w:footnote>
  <w:footnote w:type="continuationSeparator" w:id="0">
    <w:p w14:paraId="3B03C8AC" w14:textId="77777777" w:rsidR="00270914" w:rsidRDefault="00270914" w:rsidP="003C4648">
      <w:r>
        <w:continuationSeparator/>
      </w:r>
    </w:p>
  </w:footnote>
  <w:footnote w:id="1">
    <w:p w14:paraId="57862089" w14:textId="53436CD6" w:rsidR="00336410" w:rsidRPr="00D91BB5" w:rsidRDefault="00336410" w:rsidP="00734587">
      <w:pPr>
        <w:pStyle w:val="Textdenotaapeudepgina"/>
      </w:pPr>
      <w:r w:rsidRPr="009D0D2A">
        <w:t xml:space="preserve">Artificial Intelligence Governance Ethics and Law (AIGEL Research Seminar Series), </w:t>
      </w:r>
      <w:r>
        <w:t xml:space="preserve">19 December 2022, </w:t>
      </w:r>
      <w:proofErr w:type="spellStart"/>
      <w:r>
        <w:t>Cerdanyola</w:t>
      </w:r>
      <w:proofErr w:type="spellEnd"/>
      <w:r>
        <w:t xml:space="preserve"> del </w:t>
      </w:r>
      <w:proofErr w:type="spellStart"/>
      <w:r>
        <w:t>Vallès</w:t>
      </w:r>
      <w:proofErr w:type="spellEnd"/>
      <w:r>
        <w:t xml:space="preserve"> (Barcelona), Spain</w:t>
      </w:r>
    </w:p>
    <w:p w14:paraId="4F9B1B29" w14:textId="5CE0DEF8" w:rsidR="00336410" w:rsidRPr="00D91BB5" w:rsidRDefault="00336410" w:rsidP="00734587">
      <w:pPr>
        <w:pStyle w:val="Textdenotaapeudepgina"/>
      </w:pPr>
      <w:r w:rsidRPr="00D91BB5">
        <w:t xml:space="preserve">EMAIL: </w:t>
      </w:r>
      <w:r>
        <w:t>eliseo.sierra</w:t>
      </w:r>
      <w:r w:rsidRPr="00D91BB5">
        <w:t>@</w:t>
      </w:r>
      <w:r>
        <w:t>uab.cat</w:t>
      </w:r>
      <w:r w:rsidRPr="00D91BB5">
        <w:t xml:space="preserve"> </w:t>
      </w:r>
    </w:p>
    <w:p w14:paraId="69E80912" w14:textId="7ACD7C72" w:rsidR="00336410" w:rsidRPr="00734587" w:rsidRDefault="00336410" w:rsidP="00734587">
      <w:pPr>
        <w:pStyle w:val="Textdenotaapeudepgina"/>
      </w:pPr>
      <w:r w:rsidRPr="00D91BB5">
        <w:t xml:space="preserve">ORCID: </w:t>
      </w:r>
      <w:r w:rsidRPr="00E1079B">
        <w:t>0000-0002-6023-6</w:t>
      </w:r>
      <w:bookmarkStart w:id="0" w:name="_GoBack"/>
      <w:bookmarkEnd w:id="0"/>
      <w:r w:rsidRPr="00E1079B">
        <w:t>90X</w:t>
      </w:r>
    </w:p>
    <w:tbl>
      <w:tblPr>
        <w:tblStyle w:val="Taulaambquadrcula"/>
        <w:tblW w:w="92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370"/>
      </w:tblGrid>
      <w:tr w:rsidR="00336410" w:rsidRPr="00734587" w14:paraId="094A2187" w14:textId="77777777" w:rsidTr="00734587">
        <w:trPr>
          <w:trHeight w:val="89"/>
        </w:trPr>
        <w:tc>
          <w:tcPr>
            <w:tcW w:w="851" w:type="dxa"/>
          </w:tcPr>
          <w:p w14:paraId="05B0F8CB" w14:textId="77777777" w:rsidR="00336410" w:rsidRPr="00734587" w:rsidRDefault="00336410" w:rsidP="00734587">
            <w:pPr>
              <w:pStyle w:val="Textdenotaapeudepgina"/>
              <w:ind w:left="-113" w:right="201"/>
            </w:pPr>
            <w:r w:rsidRPr="00734587">
              <w:rPr>
                <w:noProof/>
                <w:lang w:val="es-ES" w:eastAsia="es-ES"/>
              </w:rPr>
              <w:drawing>
                <wp:inline distT="0" distB="0" distL="0" distR="0" wp14:anchorId="38F421F0" wp14:editId="08C6C14B">
                  <wp:extent cx="465719" cy="164060"/>
                  <wp:effectExtent l="0" t="0" r="4445" b="127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by.pdf"/>
                          <pic:cNvPicPr/>
                        </pic:nvPicPr>
                        <pic:blipFill>
                          <a:blip r:embed="rId1">
                            <a:extLst>
                              <a:ext uri="{28A0092B-C50C-407E-A947-70E740481C1C}">
                                <a14:useLocalDpi xmlns:a14="http://schemas.microsoft.com/office/drawing/2010/main" val="0"/>
                              </a:ext>
                            </a:extLst>
                          </a:blip>
                          <a:stretch>
                            <a:fillRect/>
                          </a:stretch>
                        </pic:blipFill>
                        <pic:spPr>
                          <a:xfrm>
                            <a:off x="0" y="0"/>
                            <a:ext cx="510679" cy="179898"/>
                          </a:xfrm>
                          <a:prstGeom prst="rect">
                            <a:avLst/>
                          </a:prstGeom>
                        </pic:spPr>
                      </pic:pic>
                    </a:graphicData>
                  </a:graphic>
                </wp:inline>
              </w:drawing>
            </w:r>
          </w:p>
        </w:tc>
        <w:tc>
          <w:tcPr>
            <w:tcW w:w="8370" w:type="dxa"/>
          </w:tcPr>
          <w:p w14:paraId="714543E2" w14:textId="77777777" w:rsidR="00336410" w:rsidRPr="00D91BB5" w:rsidRDefault="00336410" w:rsidP="00734587">
            <w:pPr>
              <w:pStyle w:val="Textdenotaapeudepgina"/>
              <w:jc w:val="left"/>
              <w:rPr>
                <w:sz w:val="12"/>
                <w:szCs w:val="12"/>
              </w:rPr>
            </w:pPr>
            <w:r w:rsidRPr="00D91BB5">
              <w:rPr>
                <w:sz w:val="12"/>
                <w:szCs w:val="12"/>
              </w:rPr>
              <w:t>©️  2020 Copyright for this paper by its authors.</w:t>
            </w:r>
            <w:r w:rsidRPr="00D91BB5">
              <w:rPr>
                <w:sz w:val="12"/>
                <w:szCs w:val="12"/>
              </w:rPr>
              <w:br/>
              <w:t xml:space="preserve">Use permitted under Creative Commons License Attribution 4.0 International (CC BY 4.0). </w:t>
            </w:r>
          </w:p>
        </w:tc>
      </w:tr>
      <w:tr w:rsidR="00336410" w:rsidRPr="00734587" w14:paraId="1D22EAA3" w14:textId="77777777" w:rsidTr="00734587">
        <w:trPr>
          <w:trHeight w:val="52"/>
        </w:trPr>
        <w:tc>
          <w:tcPr>
            <w:tcW w:w="851" w:type="dxa"/>
          </w:tcPr>
          <w:p w14:paraId="7BF4E539" w14:textId="77777777" w:rsidR="00336410" w:rsidRPr="00734587" w:rsidRDefault="00336410" w:rsidP="00734587">
            <w:pPr>
              <w:pStyle w:val="Textdenotaapeudepgina"/>
              <w:ind w:left="-113" w:right="201"/>
            </w:pPr>
            <w:r w:rsidRPr="00734587">
              <w:rPr>
                <w:noProof/>
                <w:lang w:val="es-ES" w:eastAsia="es-ES"/>
              </w:rPr>
              <w:drawing>
                <wp:inline distT="0" distB="0" distL="0" distR="0" wp14:anchorId="4BF20A33" wp14:editId="6586511E">
                  <wp:extent cx="465455" cy="108360"/>
                  <wp:effectExtent l="0" t="0" r="4445" b="635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eur-ws-logo.pdf"/>
                          <pic:cNvPicPr/>
                        </pic:nvPicPr>
                        <pic:blipFill>
                          <a:blip r:embed="rId2">
                            <a:extLst>
                              <a:ext uri="{28A0092B-C50C-407E-A947-70E740481C1C}">
                                <a14:useLocalDpi xmlns:a14="http://schemas.microsoft.com/office/drawing/2010/main" val="0"/>
                              </a:ext>
                            </a:extLst>
                          </a:blip>
                          <a:stretch>
                            <a:fillRect/>
                          </a:stretch>
                        </pic:blipFill>
                        <pic:spPr>
                          <a:xfrm>
                            <a:off x="0" y="0"/>
                            <a:ext cx="618958" cy="144096"/>
                          </a:xfrm>
                          <a:prstGeom prst="rect">
                            <a:avLst/>
                          </a:prstGeom>
                        </pic:spPr>
                      </pic:pic>
                    </a:graphicData>
                  </a:graphic>
                </wp:inline>
              </w:drawing>
            </w:r>
          </w:p>
        </w:tc>
        <w:tc>
          <w:tcPr>
            <w:tcW w:w="8370" w:type="dxa"/>
          </w:tcPr>
          <w:p w14:paraId="7D0AA9D9" w14:textId="46274603" w:rsidR="00336410" w:rsidRPr="00D91BB5" w:rsidRDefault="00336410" w:rsidP="00791443">
            <w:pPr>
              <w:pStyle w:val="Textdenotaapeudepgina"/>
            </w:pPr>
            <w:r w:rsidRPr="00D91BB5">
              <w:t xml:space="preserve">CEUR Workshop Proceedings (CEUR-WS.org) </w:t>
            </w:r>
          </w:p>
        </w:tc>
      </w:tr>
    </w:tbl>
    <w:p w14:paraId="5F902BFB" w14:textId="77777777" w:rsidR="00336410" w:rsidRPr="00734587" w:rsidRDefault="00336410" w:rsidP="00734587">
      <w:pPr>
        <w:pStyle w:val="Textdenotaapeudepgina"/>
      </w:pPr>
    </w:p>
  </w:footnote>
  <w:footnote w:id="2">
    <w:p w14:paraId="19B1AB80" w14:textId="0951DD09" w:rsidR="00336410" w:rsidRPr="00336410" w:rsidRDefault="00336410" w:rsidP="00897704">
      <w:pPr>
        <w:pStyle w:val="Textdenotaapeudepgina"/>
        <w:rPr>
          <w:sz w:val="20"/>
          <w:lang w:val="en-GB"/>
        </w:rPr>
      </w:pPr>
      <w:r w:rsidRPr="0080304A">
        <w:rPr>
          <w:rStyle w:val="Refernciadenotaapeudepgina"/>
          <w:sz w:val="20"/>
          <w:lang w:val="en-GB"/>
        </w:rPr>
        <w:footnoteRef/>
      </w:r>
      <w:r w:rsidRPr="0080304A">
        <w:rPr>
          <w:sz w:val="20"/>
          <w:lang w:val="en-GB"/>
        </w:rPr>
        <w:t xml:space="preserve"> F</w:t>
      </w:r>
      <w:r>
        <w:rPr>
          <w:sz w:val="20"/>
          <w:lang w:val="en-GB"/>
        </w:rPr>
        <w:t xml:space="preserve">. </w:t>
      </w:r>
      <w:proofErr w:type="spellStart"/>
      <w:r>
        <w:rPr>
          <w:sz w:val="20"/>
          <w:lang w:val="en-GB"/>
        </w:rPr>
        <w:t>Mayán</w:t>
      </w:r>
      <w:proofErr w:type="spellEnd"/>
      <w:r>
        <w:rPr>
          <w:sz w:val="20"/>
          <w:lang w:val="en-GB"/>
        </w:rPr>
        <w:t xml:space="preserve"> </w:t>
      </w:r>
      <w:proofErr w:type="spellStart"/>
      <w:r>
        <w:rPr>
          <w:sz w:val="20"/>
          <w:lang w:val="en-GB"/>
        </w:rPr>
        <w:t>Momblán</w:t>
      </w:r>
      <w:proofErr w:type="spellEnd"/>
      <w:r>
        <w:rPr>
          <w:sz w:val="20"/>
          <w:lang w:val="en-GB"/>
        </w:rPr>
        <w:t xml:space="preserve">, </w:t>
      </w:r>
      <w:r w:rsidRPr="0080304A">
        <w:rPr>
          <w:sz w:val="20"/>
          <w:lang w:val="en-GB"/>
        </w:rPr>
        <w:t xml:space="preserve">El </w:t>
      </w:r>
      <w:proofErr w:type="spellStart"/>
      <w:r w:rsidRPr="0080304A">
        <w:rPr>
          <w:sz w:val="20"/>
          <w:lang w:val="en-GB"/>
        </w:rPr>
        <w:t>Vehículo</w:t>
      </w:r>
      <w:proofErr w:type="spellEnd"/>
      <w:r w:rsidRPr="0080304A">
        <w:rPr>
          <w:sz w:val="20"/>
          <w:lang w:val="en-GB"/>
        </w:rPr>
        <w:t xml:space="preserve"> </w:t>
      </w:r>
      <w:proofErr w:type="spellStart"/>
      <w:r w:rsidRPr="0080304A">
        <w:rPr>
          <w:sz w:val="20"/>
          <w:lang w:val="en-GB"/>
        </w:rPr>
        <w:t>Conectado</w:t>
      </w:r>
      <w:proofErr w:type="spellEnd"/>
      <w:r w:rsidRPr="0080304A">
        <w:rPr>
          <w:sz w:val="20"/>
          <w:lang w:val="en-GB"/>
        </w:rPr>
        <w:t xml:space="preserve">: Su </w:t>
      </w:r>
      <w:proofErr w:type="spellStart"/>
      <w:r w:rsidRPr="0080304A">
        <w:rPr>
          <w:sz w:val="20"/>
          <w:lang w:val="en-GB"/>
        </w:rPr>
        <w:t>influencia</w:t>
      </w:r>
      <w:proofErr w:type="spellEnd"/>
      <w:r w:rsidRPr="0080304A">
        <w:rPr>
          <w:sz w:val="20"/>
          <w:lang w:val="en-GB"/>
        </w:rPr>
        <w:t xml:space="preserve"> en la </w:t>
      </w:r>
      <w:proofErr w:type="spellStart"/>
      <w:r w:rsidRPr="0080304A">
        <w:rPr>
          <w:sz w:val="20"/>
          <w:lang w:val="en-GB"/>
        </w:rPr>
        <w:t>ge</w:t>
      </w:r>
      <w:r>
        <w:rPr>
          <w:sz w:val="20"/>
          <w:lang w:val="en-GB"/>
        </w:rPr>
        <w:t>stión</w:t>
      </w:r>
      <w:proofErr w:type="spellEnd"/>
      <w:r>
        <w:rPr>
          <w:sz w:val="20"/>
          <w:lang w:val="en-GB"/>
        </w:rPr>
        <w:t xml:space="preserve"> de la </w:t>
      </w:r>
      <w:proofErr w:type="spellStart"/>
      <w:r>
        <w:rPr>
          <w:sz w:val="20"/>
          <w:lang w:val="en-GB"/>
        </w:rPr>
        <w:t>Movilidad</w:t>
      </w:r>
      <w:proofErr w:type="spellEnd"/>
      <w:r w:rsidRPr="00242E3B">
        <w:rPr>
          <w:sz w:val="20"/>
          <w:lang w:val="en-GB"/>
        </w:rPr>
        <w:t xml:space="preserve">, </w:t>
      </w:r>
      <w:proofErr w:type="spellStart"/>
      <w:r w:rsidRPr="00242E3B">
        <w:rPr>
          <w:sz w:val="20"/>
          <w:lang w:val="en-GB"/>
        </w:rPr>
        <w:t>Rutas</w:t>
      </w:r>
      <w:proofErr w:type="spellEnd"/>
      <w:r w:rsidRPr="00242E3B">
        <w:rPr>
          <w:sz w:val="20"/>
          <w:lang w:val="en-GB"/>
        </w:rPr>
        <w:t xml:space="preserve">: Revista de la </w:t>
      </w:r>
      <w:proofErr w:type="spellStart"/>
      <w:r w:rsidRPr="00242E3B">
        <w:rPr>
          <w:sz w:val="20"/>
          <w:lang w:val="en-GB"/>
        </w:rPr>
        <w:t>Asociación</w:t>
      </w:r>
      <w:proofErr w:type="spellEnd"/>
      <w:r w:rsidRPr="00242E3B">
        <w:rPr>
          <w:sz w:val="20"/>
          <w:lang w:val="en-GB"/>
        </w:rPr>
        <w:t xml:space="preserve"> </w:t>
      </w:r>
      <w:proofErr w:type="spellStart"/>
      <w:r w:rsidRPr="00242E3B">
        <w:rPr>
          <w:sz w:val="20"/>
          <w:lang w:val="en-GB"/>
        </w:rPr>
        <w:t>Técnica</w:t>
      </w:r>
      <w:proofErr w:type="spellEnd"/>
      <w:r w:rsidRPr="00242E3B">
        <w:rPr>
          <w:sz w:val="20"/>
          <w:lang w:val="en-GB"/>
        </w:rPr>
        <w:t xml:space="preserve"> de </w:t>
      </w:r>
      <w:proofErr w:type="spellStart"/>
      <w:r w:rsidRPr="00242E3B">
        <w:rPr>
          <w:sz w:val="20"/>
          <w:lang w:val="en-GB"/>
        </w:rPr>
        <w:t>Carr</w:t>
      </w:r>
      <w:r w:rsidRPr="00336410">
        <w:rPr>
          <w:sz w:val="20"/>
          <w:lang w:val="en-GB"/>
        </w:rPr>
        <w:t>eteras</w:t>
      </w:r>
      <w:proofErr w:type="spellEnd"/>
      <w:r w:rsidRPr="00336410">
        <w:rPr>
          <w:sz w:val="20"/>
          <w:lang w:val="en-GB"/>
        </w:rPr>
        <w:t xml:space="preserve"> 182 (2020), p. 31.</w:t>
      </w:r>
    </w:p>
  </w:footnote>
  <w:footnote w:id="3">
    <w:p w14:paraId="500CFD61" w14:textId="6F977C35" w:rsidR="00336410" w:rsidRPr="0080304A" w:rsidRDefault="00336410" w:rsidP="00897704">
      <w:pPr>
        <w:pStyle w:val="Textdenotaapeudepgina"/>
        <w:rPr>
          <w:sz w:val="20"/>
          <w:lang w:val="en-GB"/>
        </w:rPr>
      </w:pPr>
      <w:r w:rsidRPr="00336410">
        <w:rPr>
          <w:rStyle w:val="Refernciadenotaapeudepgina"/>
          <w:sz w:val="20"/>
          <w:lang w:val="en-GB"/>
        </w:rPr>
        <w:footnoteRef/>
      </w:r>
      <w:r w:rsidRPr="00336410">
        <w:rPr>
          <w:sz w:val="20"/>
          <w:lang w:val="en-GB"/>
        </w:rPr>
        <w:t xml:space="preserve"> At </w:t>
      </w:r>
      <w:hyperlink r:id="rId3" w:history="1">
        <w:r w:rsidRPr="00336410">
          <w:rPr>
            <w:rStyle w:val="Enlla"/>
            <w:sz w:val="20"/>
            <w:u w:val="none"/>
            <w:lang w:val="en-GB"/>
          </w:rPr>
          <w:t>https://bit.ly/3Wf9k34</w:t>
        </w:r>
      </w:hyperlink>
      <w:r w:rsidRPr="00336410">
        <w:rPr>
          <w:rStyle w:val="Enlla"/>
          <w:sz w:val="20"/>
          <w:u w:val="none"/>
          <w:lang w:val="en-GB"/>
        </w:rPr>
        <w:t>, accessed on 6 February 2023</w:t>
      </w:r>
      <w:r>
        <w:rPr>
          <w:rStyle w:val="Enlla"/>
          <w:sz w:val="20"/>
          <w:u w:val="none"/>
          <w:lang w:val="en-GB"/>
        </w:rPr>
        <w:t>.</w:t>
      </w:r>
    </w:p>
  </w:footnote>
  <w:footnote w:id="4">
    <w:p w14:paraId="1D614EB4" w14:textId="5C563A55" w:rsidR="00336410" w:rsidRPr="0080304A" w:rsidRDefault="00336410" w:rsidP="00897704">
      <w:pPr>
        <w:pStyle w:val="Textdenotaapeudepgina"/>
        <w:rPr>
          <w:sz w:val="20"/>
          <w:lang w:val="en-GB"/>
        </w:rPr>
      </w:pPr>
      <w:r w:rsidRPr="0080304A">
        <w:rPr>
          <w:rStyle w:val="Refernciadenotaapeudepgina"/>
          <w:sz w:val="20"/>
          <w:lang w:val="en-GB"/>
        </w:rPr>
        <w:footnoteRef/>
      </w:r>
      <w:r w:rsidRPr="0080304A">
        <w:rPr>
          <w:sz w:val="20"/>
          <w:lang w:val="en-GB"/>
        </w:rPr>
        <w:t xml:space="preserve"> F. Nakamura, Role of connected mobility concept for twenty-first-century cities-Trial approach for conceptualization of connected mobility through case studies, IATSS Research </w:t>
      </w:r>
      <w:r>
        <w:rPr>
          <w:sz w:val="20"/>
          <w:lang w:val="en-GB"/>
        </w:rPr>
        <w:t xml:space="preserve">38 </w:t>
      </w:r>
      <w:r w:rsidRPr="0080304A">
        <w:rPr>
          <w:sz w:val="20"/>
          <w:lang w:val="en-GB"/>
        </w:rPr>
        <w:t>(2014)</w:t>
      </w:r>
      <w:r>
        <w:rPr>
          <w:sz w:val="20"/>
          <w:lang w:val="en-GB"/>
        </w:rPr>
        <w:t xml:space="preserve"> pp. 52-57. </w:t>
      </w:r>
      <w:proofErr w:type="spellStart"/>
      <w:r>
        <w:rPr>
          <w:sz w:val="20"/>
          <w:lang w:val="en-GB"/>
        </w:rPr>
        <w:t>doi</w:t>
      </w:r>
      <w:proofErr w:type="spellEnd"/>
      <w:r>
        <w:rPr>
          <w:sz w:val="20"/>
          <w:lang w:val="en-GB"/>
        </w:rPr>
        <w:t xml:space="preserve">: </w:t>
      </w:r>
      <w:r w:rsidRPr="00242E3B">
        <w:rPr>
          <w:sz w:val="20"/>
          <w:lang w:val="en-GB"/>
        </w:rPr>
        <w:t>https://doi.org/10.1016/j.iatssr.2014.07.003</w:t>
      </w:r>
      <w:r w:rsidRPr="0080304A">
        <w:rPr>
          <w:sz w:val="20"/>
          <w:lang w:val="en-GB"/>
        </w:rPr>
        <w:t>.</w:t>
      </w:r>
    </w:p>
  </w:footnote>
  <w:footnote w:id="5">
    <w:p w14:paraId="39150869" w14:textId="3683309C" w:rsidR="00336410" w:rsidRPr="0080304A" w:rsidRDefault="00336410" w:rsidP="00897704">
      <w:pPr>
        <w:pStyle w:val="Textdenotaapeudepgina"/>
        <w:rPr>
          <w:sz w:val="20"/>
          <w:lang w:val="en-GB"/>
        </w:rPr>
      </w:pPr>
      <w:r w:rsidRPr="0080304A">
        <w:rPr>
          <w:rStyle w:val="Refernciadenotaapeudepgina"/>
          <w:sz w:val="20"/>
          <w:lang w:val="en-GB"/>
        </w:rPr>
        <w:footnoteRef/>
      </w:r>
      <w:r w:rsidRPr="0080304A">
        <w:rPr>
          <w:sz w:val="20"/>
          <w:lang w:val="en-GB"/>
        </w:rPr>
        <w:t xml:space="preserve"> COM/2016/0588 final.</w:t>
      </w:r>
    </w:p>
  </w:footnote>
  <w:footnote w:id="6">
    <w:p w14:paraId="76F086BF" w14:textId="2B3DEB2B" w:rsidR="00336410" w:rsidRPr="0080304A" w:rsidRDefault="00336410" w:rsidP="00897704">
      <w:pPr>
        <w:pStyle w:val="Textdenotaapeudepgina"/>
        <w:rPr>
          <w:sz w:val="20"/>
          <w:lang w:val="en-GB"/>
        </w:rPr>
      </w:pPr>
      <w:r w:rsidRPr="0080304A">
        <w:rPr>
          <w:rStyle w:val="Refernciadenotaapeudepgina"/>
          <w:sz w:val="20"/>
          <w:lang w:val="en-GB"/>
        </w:rPr>
        <w:footnoteRef/>
      </w:r>
      <w:r w:rsidRPr="0080304A">
        <w:rPr>
          <w:sz w:val="20"/>
          <w:lang w:val="en-GB"/>
        </w:rPr>
        <w:t xml:space="preserve"> J. Kehoe</w:t>
      </w:r>
      <w:r>
        <w:rPr>
          <w:sz w:val="20"/>
          <w:lang w:val="en-GB"/>
        </w:rPr>
        <w:t xml:space="preserve">, D. </w:t>
      </w:r>
      <w:proofErr w:type="spellStart"/>
      <w:r>
        <w:rPr>
          <w:sz w:val="20"/>
          <w:lang w:val="en-GB"/>
        </w:rPr>
        <w:t>Hanberry</w:t>
      </w:r>
      <w:proofErr w:type="spellEnd"/>
      <w:r>
        <w:rPr>
          <w:sz w:val="20"/>
          <w:lang w:val="en-GB"/>
        </w:rPr>
        <w:t>, N. Flannery</w:t>
      </w:r>
      <w:r w:rsidRPr="0080304A">
        <w:rPr>
          <w:sz w:val="20"/>
          <w:lang w:val="en-GB"/>
        </w:rPr>
        <w:t>, Digital Consumer Trends 2021: 5G the Be</w:t>
      </w:r>
      <w:r>
        <w:rPr>
          <w:sz w:val="20"/>
          <w:lang w:val="en-GB"/>
        </w:rPr>
        <w:t>nefits and Barriers to Adoption</w:t>
      </w:r>
      <w:r w:rsidRPr="0080304A">
        <w:rPr>
          <w:sz w:val="20"/>
          <w:lang w:val="en-GB"/>
        </w:rPr>
        <w:t>.</w:t>
      </w:r>
      <w:r>
        <w:rPr>
          <w:sz w:val="20"/>
          <w:lang w:val="en-GB"/>
        </w:rPr>
        <w:t xml:space="preserve"> URL: </w:t>
      </w:r>
      <w:r w:rsidRPr="00242E3B">
        <w:rPr>
          <w:sz w:val="20"/>
          <w:lang w:val="en-GB"/>
        </w:rPr>
        <w:t>https://bit.ly/3Xgk6qv</w:t>
      </w:r>
      <w:r>
        <w:rPr>
          <w:sz w:val="20"/>
          <w:lang w:val="en-GB"/>
        </w:rPr>
        <w:t>.</w:t>
      </w:r>
    </w:p>
  </w:footnote>
  <w:footnote w:id="7">
    <w:p w14:paraId="046E4F17" w14:textId="77777777" w:rsidR="00336410" w:rsidRPr="0080304A" w:rsidRDefault="00336410" w:rsidP="00897704">
      <w:pPr>
        <w:pStyle w:val="Textdenotaapeudepgina"/>
        <w:rPr>
          <w:sz w:val="20"/>
          <w:lang w:val="en-GB"/>
        </w:rPr>
      </w:pPr>
      <w:r w:rsidRPr="0080304A">
        <w:rPr>
          <w:rStyle w:val="Refernciadenotaapeudepgina"/>
          <w:sz w:val="20"/>
          <w:lang w:val="en-GB"/>
        </w:rPr>
        <w:footnoteRef/>
      </w:r>
      <w:r w:rsidRPr="0080304A">
        <w:rPr>
          <w:sz w:val="20"/>
          <w:lang w:val="en-GB"/>
        </w:rPr>
        <w:t xml:space="preserve"> COM(2016) 766 final, introduction</w:t>
      </w:r>
    </w:p>
  </w:footnote>
  <w:footnote w:id="8">
    <w:p w14:paraId="16DCE905" w14:textId="77777777" w:rsidR="00336410" w:rsidRPr="0080304A" w:rsidRDefault="00336410" w:rsidP="00897704">
      <w:pPr>
        <w:pStyle w:val="Textdenotaapeudepgina"/>
        <w:rPr>
          <w:sz w:val="20"/>
          <w:lang w:val="en-GB"/>
        </w:rPr>
      </w:pPr>
      <w:r w:rsidRPr="0080304A">
        <w:rPr>
          <w:rStyle w:val="Refernciadenotaapeudepgina"/>
          <w:sz w:val="20"/>
          <w:lang w:val="en-GB"/>
        </w:rPr>
        <w:footnoteRef/>
      </w:r>
      <w:r w:rsidRPr="0080304A">
        <w:rPr>
          <w:sz w:val="20"/>
          <w:lang w:val="en-GB"/>
        </w:rPr>
        <w:t xml:space="preserve"> COM(2016) 766 final, par. 3.4.</w:t>
      </w:r>
    </w:p>
  </w:footnote>
  <w:footnote w:id="9">
    <w:p w14:paraId="2782F15F" w14:textId="32CFA24D" w:rsidR="00336410" w:rsidRPr="0080304A" w:rsidRDefault="00336410" w:rsidP="00897704">
      <w:pPr>
        <w:pStyle w:val="Textdenotaapeudepgina"/>
        <w:rPr>
          <w:sz w:val="20"/>
          <w:lang w:val="en-GB"/>
        </w:rPr>
      </w:pPr>
      <w:r w:rsidRPr="0080304A">
        <w:rPr>
          <w:rStyle w:val="Refernciadenotaapeudepgina"/>
          <w:sz w:val="20"/>
          <w:lang w:val="en-GB"/>
        </w:rPr>
        <w:footnoteRef/>
      </w:r>
      <w:r w:rsidRPr="0080304A">
        <w:rPr>
          <w:sz w:val="20"/>
          <w:lang w:val="en-GB"/>
        </w:rPr>
        <w:t xml:space="preserve"> C. F. </w:t>
      </w:r>
      <w:proofErr w:type="spellStart"/>
      <w:r w:rsidRPr="0080304A">
        <w:rPr>
          <w:sz w:val="20"/>
          <w:lang w:val="en-GB"/>
        </w:rPr>
        <w:t>Chiasserini</w:t>
      </w:r>
      <w:proofErr w:type="spellEnd"/>
      <w:r>
        <w:rPr>
          <w:sz w:val="20"/>
          <w:lang w:val="en-GB"/>
        </w:rPr>
        <w:t xml:space="preserve">, P. </w:t>
      </w:r>
      <w:proofErr w:type="spellStart"/>
      <w:r>
        <w:rPr>
          <w:sz w:val="20"/>
          <w:lang w:val="en-GB"/>
        </w:rPr>
        <w:t>Giaccone</w:t>
      </w:r>
      <w:proofErr w:type="spellEnd"/>
      <w:r>
        <w:rPr>
          <w:sz w:val="20"/>
          <w:lang w:val="en-GB"/>
        </w:rPr>
        <w:t xml:space="preserve">, G. </w:t>
      </w:r>
      <w:proofErr w:type="spellStart"/>
      <w:r>
        <w:rPr>
          <w:sz w:val="20"/>
          <w:lang w:val="en-GB"/>
        </w:rPr>
        <w:t>Malnati</w:t>
      </w:r>
      <w:proofErr w:type="spellEnd"/>
      <w:r>
        <w:rPr>
          <w:sz w:val="20"/>
          <w:lang w:val="en-GB"/>
        </w:rPr>
        <w:t xml:space="preserve">, M. </w:t>
      </w:r>
      <w:proofErr w:type="spellStart"/>
      <w:r>
        <w:rPr>
          <w:sz w:val="20"/>
          <w:lang w:val="en-GB"/>
        </w:rPr>
        <w:t>Macagno</w:t>
      </w:r>
      <w:proofErr w:type="spellEnd"/>
      <w:r>
        <w:rPr>
          <w:sz w:val="20"/>
          <w:lang w:val="en-GB"/>
        </w:rPr>
        <w:t xml:space="preserve">, </w:t>
      </w:r>
      <w:proofErr w:type="spellStart"/>
      <w:r>
        <w:rPr>
          <w:sz w:val="20"/>
          <w:lang w:val="en-GB"/>
        </w:rPr>
        <w:t>G.Sviridov</w:t>
      </w:r>
      <w:proofErr w:type="spellEnd"/>
      <w:r w:rsidRPr="0080304A">
        <w:rPr>
          <w:sz w:val="20"/>
          <w:lang w:val="en-GB"/>
        </w:rPr>
        <w:t xml:space="preserve">, </w:t>
      </w:r>
      <w:proofErr w:type="spellStart"/>
      <w:r w:rsidRPr="0080304A">
        <w:rPr>
          <w:sz w:val="20"/>
          <w:lang w:val="en-GB"/>
        </w:rPr>
        <w:t>Blockchain</w:t>
      </w:r>
      <w:proofErr w:type="spellEnd"/>
      <w:r w:rsidRPr="0080304A">
        <w:rPr>
          <w:sz w:val="20"/>
          <w:lang w:val="en-GB"/>
        </w:rPr>
        <w:t>-based Mobility Verification of Connected Cars, in: IEEE 17th Annual Consumer Communications &amp; Networking Conference (CCNC), 2020</w:t>
      </w:r>
      <w:r>
        <w:rPr>
          <w:sz w:val="20"/>
          <w:lang w:val="en-GB"/>
        </w:rPr>
        <w:t xml:space="preserve">, par. III. </w:t>
      </w:r>
      <w:proofErr w:type="spellStart"/>
      <w:r>
        <w:rPr>
          <w:sz w:val="20"/>
          <w:lang w:val="en-GB"/>
        </w:rPr>
        <w:t>doi</w:t>
      </w:r>
      <w:proofErr w:type="spellEnd"/>
      <w:r>
        <w:rPr>
          <w:sz w:val="20"/>
          <w:lang w:val="en-GB"/>
        </w:rPr>
        <w:t xml:space="preserve">: </w:t>
      </w:r>
      <w:r w:rsidRPr="005975C5">
        <w:rPr>
          <w:sz w:val="20"/>
          <w:lang w:val="en-GB"/>
        </w:rPr>
        <w:t>10.1109/CCNC46108.2020.9045104</w:t>
      </w:r>
    </w:p>
  </w:footnote>
  <w:footnote w:id="10">
    <w:p w14:paraId="50A4657F" w14:textId="37BED1EF" w:rsidR="00336410" w:rsidRPr="0080304A" w:rsidRDefault="00336410" w:rsidP="00897704">
      <w:pPr>
        <w:pStyle w:val="Textdenotaapeudepgina"/>
        <w:rPr>
          <w:sz w:val="20"/>
          <w:lang w:val="en-GB"/>
        </w:rPr>
      </w:pPr>
      <w:r w:rsidRPr="0080304A">
        <w:rPr>
          <w:rStyle w:val="Refernciadenotaapeudepgina"/>
          <w:sz w:val="20"/>
          <w:lang w:val="en-GB"/>
        </w:rPr>
        <w:footnoteRef/>
      </w:r>
      <w:r w:rsidRPr="0080304A">
        <w:rPr>
          <w:sz w:val="20"/>
          <w:lang w:val="en-GB"/>
        </w:rPr>
        <w:t xml:space="preserve"> </w:t>
      </w:r>
      <w:r w:rsidRPr="008424AC">
        <w:rPr>
          <w:sz w:val="20"/>
          <w:lang w:val="en-GB"/>
        </w:rPr>
        <w:t xml:space="preserve">F. </w:t>
      </w:r>
      <w:proofErr w:type="spellStart"/>
      <w:r w:rsidRPr="008424AC">
        <w:rPr>
          <w:sz w:val="20"/>
          <w:lang w:val="en-GB"/>
        </w:rPr>
        <w:t>Mayán</w:t>
      </w:r>
      <w:proofErr w:type="spellEnd"/>
      <w:r w:rsidRPr="008424AC">
        <w:rPr>
          <w:sz w:val="20"/>
          <w:lang w:val="en-GB"/>
        </w:rPr>
        <w:t xml:space="preserve"> </w:t>
      </w:r>
      <w:proofErr w:type="spellStart"/>
      <w:r w:rsidRPr="008424AC">
        <w:rPr>
          <w:sz w:val="20"/>
          <w:lang w:val="en-GB"/>
        </w:rPr>
        <w:t>Momblán</w:t>
      </w:r>
      <w:proofErr w:type="spellEnd"/>
      <w:r w:rsidRPr="008424AC">
        <w:rPr>
          <w:sz w:val="20"/>
          <w:lang w:val="en-GB"/>
        </w:rPr>
        <w:t xml:space="preserve">, El </w:t>
      </w:r>
      <w:proofErr w:type="spellStart"/>
      <w:r w:rsidRPr="008424AC">
        <w:rPr>
          <w:sz w:val="20"/>
          <w:lang w:val="en-GB"/>
        </w:rPr>
        <w:t>Vehículo</w:t>
      </w:r>
      <w:proofErr w:type="spellEnd"/>
      <w:r w:rsidRPr="008424AC">
        <w:rPr>
          <w:sz w:val="20"/>
          <w:lang w:val="en-GB"/>
        </w:rPr>
        <w:t xml:space="preserve"> </w:t>
      </w:r>
      <w:proofErr w:type="spellStart"/>
      <w:r w:rsidRPr="008424AC">
        <w:rPr>
          <w:sz w:val="20"/>
          <w:lang w:val="en-GB"/>
        </w:rPr>
        <w:t>Conectado</w:t>
      </w:r>
      <w:proofErr w:type="spellEnd"/>
      <w:r w:rsidRPr="008424AC">
        <w:rPr>
          <w:sz w:val="20"/>
          <w:lang w:val="en-GB"/>
        </w:rPr>
        <w:t xml:space="preserve">: Su </w:t>
      </w:r>
      <w:proofErr w:type="spellStart"/>
      <w:r w:rsidRPr="008424AC">
        <w:rPr>
          <w:sz w:val="20"/>
          <w:lang w:val="en-GB"/>
        </w:rPr>
        <w:t>influencia</w:t>
      </w:r>
      <w:proofErr w:type="spellEnd"/>
      <w:r w:rsidRPr="008424AC">
        <w:rPr>
          <w:sz w:val="20"/>
          <w:lang w:val="en-GB"/>
        </w:rPr>
        <w:t xml:space="preserve"> en la </w:t>
      </w:r>
      <w:proofErr w:type="spellStart"/>
      <w:r w:rsidRPr="008424AC">
        <w:rPr>
          <w:sz w:val="20"/>
          <w:lang w:val="en-GB"/>
        </w:rPr>
        <w:t>gestión</w:t>
      </w:r>
      <w:proofErr w:type="spellEnd"/>
      <w:r w:rsidRPr="008424AC">
        <w:rPr>
          <w:sz w:val="20"/>
          <w:lang w:val="en-GB"/>
        </w:rPr>
        <w:t xml:space="preserve"> de la </w:t>
      </w:r>
      <w:proofErr w:type="spellStart"/>
      <w:r w:rsidRPr="008424AC">
        <w:rPr>
          <w:sz w:val="20"/>
          <w:lang w:val="en-GB"/>
        </w:rPr>
        <w:t>Movilidad</w:t>
      </w:r>
      <w:proofErr w:type="spellEnd"/>
      <w:r w:rsidRPr="008424AC">
        <w:rPr>
          <w:sz w:val="20"/>
          <w:lang w:val="en-GB"/>
        </w:rPr>
        <w:t xml:space="preserve">, </w:t>
      </w:r>
      <w:proofErr w:type="spellStart"/>
      <w:r w:rsidRPr="008424AC">
        <w:rPr>
          <w:sz w:val="20"/>
          <w:lang w:val="en-GB"/>
        </w:rPr>
        <w:t>Rutas</w:t>
      </w:r>
      <w:proofErr w:type="spellEnd"/>
      <w:r w:rsidRPr="008424AC">
        <w:rPr>
          <w:sz w:val="20"/>
          <w:lang w:val="en-GB"/>
        </w:rPr>
        <w:t xml:space="preserve">: Revista de la </w:t>
      </w:r>
      <w:proofErr w:type="spellStart"/>
      <w:r w:rsidRPr="008424AC">
        <w:rPr>
          <w:sz w:val="20"/>
          <w:lang w:val="en-GB"/>
        </w:rPr>
        <w:t>Asociación</w:t>
      </w:r>
      <w:proofErr w:type="spellEnd"/>
      <w:r w:rsidRPr="008424AC">
        <w:rPr>
          <w:sz w:val="20"/>
          <w:lang w:val="en-GB"/>
        </w:rPr>
        <w:t xml:space="preserve"> </w:t>
      </w:r>
      <w:proofErr w:type="spellStart"/>
      <w:r w:rsidRPr="008424AC">
        <w:rPr>
          <w:sz w:val="20"/>
          <w:lang w:val="en-GB"/>
        </w:rPr>
        <w:t>Técnic</w:t>
      </w:r>
      <w:r>
        <w:rPr>
          <w:sz w:val="20"/>
          <w:lang w:val="en-GB"/>
        </w:rPr>
        <w:t>a</w:t>
      </w:r>
      <w:proofErr w:type="spellEnd"/>
      <w:r>
        <w:rPr>
          <w:sz w:val="20"/>
          <w:lang w:val="en-GB"/>
        </w:rPr>
        <w:t xml:space="preserve"> de </w:t>
      </w:r>
      <w:proofErr w:type="spellStart"/>
      <w:r>
        <w:rPr>
          <w:sz w:val="20"/>
          <w:lang w:val="en-GB"/>
        </w:rPr>
        <w:t>Carreteras</w:t>
      </w:r>
      <w:proofErr w:type="spellEnd"/>
      <w:r>
        <w:rPr>
          <w:sz w:val="20"/>
          <w:lang w:val="en-GB"/>
        </w:rPr>
        <w:t xml:space="preserve"> 182 (2020), p. </w:t>
      </w:r>
      <w:r w:rsidRPr="0080304A">
        <w:rPr>
          <w:sz w:val="20"/>
          <w:lang w:val="en-GB"/>
        </w:rPr>
        <w:t xml:space="preserve">37. </w:t>
      </w:r>
    </w:p>
  </w:footnote>
  <w:footnote w:id="11">
    <w:p w14:paraId="4DD68B8F" w14:textId="2EFD9D80" w:rsidR="00336410" w:rsidRPr="0080304A" w:rsidRDefault="00336410" w:rsidP="00897704">
      <w:pPr>
        <w:pStyle w:val="Textdenotaapeudepgina"/>
        <w:rPr>
          <w:sz w:val="20"/>
          <w:lang w:val="en-GB"/>
        </w:rPr>
      </w:pPr>
      <w:r w:rsidRPr="0080304A">
        <w:rPr>
          <w:rStyle w:val="Refernciadenotaapeudepgina"/>
          <w:sz w:val="20"/>
          <w:lang w:val="en-GB"/>
        </w:rPr>
        <w:footnoteRef/>
      </w:r>
      <w:r w:rsidRPr="0080304A">
        <w:rPr>
          <w:sz w:val="20"/>
          <w:lang w:val="en-GB"/>
        </w:rPr>
        <w:t xml:space="preserve"> E. Talavera Muñoz, </w:t>
      </w:r>
      <w:proofErr w:type="spellStart"/>
      <w:r w:rsidRPr="00351F21">
        <w:rPr>
          <w:sz w:val="20"/>
        </w:rPr>
        <w:t>Estrategias</w:t>
      </w:r>
      <w:proofErr w:type="spellEnd"/>
      <w:r w:rsidRPr="00351F21">
        <w:rPr>
          <w:sz w:val="20"/>
        </w:rPr>
        <w:t xml:space="preserve"> para la </w:t>
      </w:r>
      <w:proofErr w:type="spellStart"/>
      <w:r w:rsidRPr="00351F21">
        <w:rPr>
          <w:sz w:val="20"/>
        </w:rPr>
        <w:t>conducción</w:t>
      </w:r>
      <w:proofErr w:type="spellEnd"/>
      <w:r w:rsidRPr="00351F21">
        <w:rPr>
          <w:sz w:val="20"/>
        </w:rPr>
        <w:t xml:space="preserve"> </w:t>
      </w:r>
      <w:proofErr w:type="spellStart"/>
      <w:r w:rsidRPr="00351F21">
        <w:rPr>
          <w:sz w:val="20"/>
        </w:rPr>
        <w:t>autónoma</w:t>
      </w:r>
      <w:proofErr w:type="spellEnd"/>
      <w:r w:rsidRPr="00351F21">
        <w:rPr>
          <w:sz w:val="20"/>
        </w:rPr>
        <w:t xml:space="preserve"> </w:t>
      </w:r>
      <w:proofErr w:type="spellStart"/>
      <w:r w:rsidRPr="00351F21">
        <w:rPr>
          <w:sz w:val="20"/>
        </w:rPr>
        <w:t>cooperativa</w:t>
      </w:r>
      <w:proofErr w:type="spellEnd"/>
      <w:r w:rsidRPr="0080304A">
        <w:rPr>
          <w:sz w:val="20"/>
          <w:lang w:val="en-GB"/>
        </w:rPr>
        <w:t xml:space="preserve">, PhD thesis, Universidad </w:t>
      </w:r>
      <w:proofErr w:type="spellStart"/>
      <w:r w:rsidRPr="0080304A">
        <w:rPr>
          <w:sz w:val="20"/>
          <w:lang w:val="en-GB"/>
        </w:rPr>
        <w:t>Politécnica</w:t>
      </w:r>
      <w:proofErr w:type="spellEnd"/>
      <w:r w:rsidRPr="0080304A">
        <w:rPr>
          <w:sz w:val="20"/>
          <w:lang w:val="en-GB"/>
        </w:rPr>
        <w:t xml:space="preserve"> de Madrid, 2018, p.</w:t>
      </w:r>
      <w:r>
        <w:rPr>
          <w:sz w:val="20"/>
          <w:lang w:val="en-GB"/>
        </w:rPr>
        <w:t xml:space="preserve"> </w:t>
      </w:r>
      <w:r w:rsidRPr="0080304A">
        <w:rPr>
          <w:sz w:val="20"/>
          <w:lang w:val="en-GB"/>
        </w:rPr>
        <w:t>12.</w:t>
      </w:r>
    </w:p>
  </w:footnote>
  <w:footnote w:id="12">
    <w:p w14:paraId="3AB4BF4C" w14:textId="1696EDB6" w:rsidR="00336410" w:rsidRPr="0080304A" w:rsidRDefault="00336410" w:rsidP="00897704">
      <w:pPr>
        <w:pStyle w:val="Textdenotaapeudepgina"/>
        <w:rPr>
          <w:sz w:val="20"/>
          <w:lang w:val="en-GB"/>
        </w:rPr>
      </w:pPr>
      <w:r w:rsidRPr="0080304A">
        <w:rPr>
          <w:rStyle w:val="Refernciadenotaapeudepgina"/>
          <w:sz w:val="20"/>
          <w:lang w:val="en-GB"/>
        </w:rPr>
        <w:footnoteRef/>
      </w:r>
      <w:r w:rsidRPr="0080304A">
        <w:rPr>
          <w:sz w:val="20"/>
          <w:lang w:val="en-GB"/>
        </w:rPr>
        <w:t xml:space="preserve"> M. </w:t>
      </w:r>
      <w:proofErr w:type="spellStart"/>
      <w:r w:rsidRPr="0080304A">
        <w:rPr>
          <w:sz w:val="20"/>
          <w:lang w:val="en-GB"/>
        </w:rPr>
        <w:t>Gerla</w:t>
      </w:r>
      <w:proofErr w:type="spellEnd"/>
      <w:r>
        <w:rPr>
          <w:sz w:val="20"/>
          <w:lang w:val="en-GB"/>
        </w:rPr>
        <w:t>, E.-</w:t>
      </w:r>
      <w:proofErr w:type="spellStart"/>
      <w:r>
        <w:rPr>
          <w:sz w:val="20"/>
          <w:lang w:val="en-GB"/>
        </w:rPr>
        <w:t>K.Lee</w:t>
      </w:r>
      <w:proofErr w:type="spellEnd"/>
      <w:r>
        <w:rPr>
          <w:sz w:val="20"/>
          <w:lang w:val="en-GB"/>
        </w:rPr>
        <w:t>, G. Pau, U. Lee</w:t>
      </w:r>
      <w:r w:rsidRPr="0080304A">
        <w:rPr>
          <w:sz w:val="20"/>
          <w:lang w:val="en-GB"/>
        </w:rPr>
        <w:t>, Internet of vehicles: From intelligent grid to autonomous cars and vehicular clouds, in: IEEE World Forum on Internet of Things (WF-</w:t>
      </w:r>
      <w:proofErr w:type="spellStart"/>
      <w:r w:rsidRPr="0080304A">
        <w:rPr>
          <w:sz w:val="20"/>
          <w:lang w:val="en-GB"/>
        </w:rPr>
        <w:t>IoT</w:t>
      </w:r>
      <w:proofErr w:type="spellEnd"/>
      <w:r w:rsidRPr="0080304A">
        <w:rPr>
          <w:sz w:val="20"/>
          <w:lang w:val="en-GB"/>
        </w:rPr>
        <w:t>), 2014,</w:t>
      </w:r>
      <w:r>
        <w:rPr>
          <w:sz w:val="20"/>
          <w:lang w:val="en-GB"/>
        </w:rPr>
        <w:t xml:space="preserve"> pp. 241-246.</w:t>
      </w:r>
      <w:r w:rsidRPr="0080304A">
        <w:rPr>
          <w:sz w:val="20"/>
          <w:lang w:val="en-GB"/>
        </w:rPr>
        <w:t xml:space="preserve"> </w:t>
      </w:r>
      <w:proofErr w:type="spellStart"/>
      <w:r w:rsidRPr="0080304A">
        <w:rPr>
          <w:sz w:val="20"/>
          <w:lang w:val="en-GB"/>
        </w:rPr>
        <w:t>doi</w:t>
      </w:r>
      <w:proofErr w:type="spellEnd"/>
      <w:r w:rsidRPr="0080304A">
        <w:rPr>
          <w:sz w:val="20"/>
          <w:lang w:val="en-GB"/>
        </w:rPr>
        <w:t>: 10.1109/WF-IoT.2014.6803166.</w:t>
      </w:r>
    </w:p>
  </w:footnote>
  <w:footnote w:id="13">
    <w:p w14:paraId="431B91FD" w14:textId="77777777" w:rsidR="00336410" w:rsidRPr="0080304A" w:rsidRDefault="00336410" w:rsidP="00897704">
      <w:pPr>
        <w:pStyle w:val="Textdenotaapeudepgina"/>
        <w:rPr>
          <w:sz w:val="20"/>
          <w:lang w:val="en-GB"/>
        </w:rPr>
      </w:pPr>
      <w:r w:rsidRPr="0080304A">
        <w:rPr>
          <w:rStyle w:val="Refernciadenotaapeudepgina"/>
          <w:sz w:val="20"/>
          <w:lang w:val="en-GB"/>
        </w:rPr>
        <w:footnoteRef/>
      </w:r>
      <w:r w:rsidRPr="0080304A">
        <w:rPr>
          <w:sz w:val="20"/>
          <w:lang w:val="en-GB"/>
        </w:rPr>
        <w:t xml:space="preserve"> COM(2016) 766 final, introduction.</w:t>
      </w:r>
    </w:p>
  </w:footnote>
  <w:footnote w:id="14">
    <w:p w14:paraId="13BC6669" w14:textId="77777777" w:rsidR="00336410" w:rsidRPr="008E74A6" w:rsidRDefault="00336410" w:rsidP="00897704">
      <w:pPr>
        <w:pStyle w:val="Textdenotaapeudepgina"/>
        <w:rPr>
          <w:sz w:val="20"/>
          <w:lang w:val="en-GB"/>
        </w:rPr>
      </w:pPr>
      <w:r w:rsidRPr="00351F21">
        <w:rPr>
          <w:rStyle w:val="Refernciadenotaapeudepgina"/>
          <w:sz w:val="20"/>
        </w:rPr>
        <w:footnoteRef/>
      </w:r>
      <w:r w:rsidRPr="00351F21">
        <w:rPr>
          <w:sz w:val="20"/>
        </w:rPr>
        <w:t xml:space="preserve"> </w:t>
      </w:r>
      <w:r w:rsidRPr="008E74A6">
        <w:rPr>
          <w:sz w:val="20"/>
          <w:lang w:val="en-GB"/>
        </w:rPr>
        <w:t>COM(2016) 766 final, par. 2.</w:t>
      </w:r>
    </w:p>
  </w:footnote>
  <w:footnote w:id="15">
    <w:p w14:paraId="3DB19945" w14:textId="77777777" w:rsidR="00336410" w:rsidRPr="008E74A6" w:rsidRDefault="00336410" w:rsidP="00897704">
      <w:pPr>
        <w:pStyle w:val="Textdenotaapeudepgina"/>
        <w:rPr>
          <w:sz w:val="20"/>
          <w:lang w:val="en-GB"/>
        </w:rPr>
      </w:pPr>
      <w:r w:rsidRPr="008E74A6">
        <w:rPr>
          <w:rStyle w:val="Refernciadenotaapeudepgina"/>
          <w:sz w:val="20"/>
          <w:lang w:val="en-GB"/>
        </w:rPr>
        <w:footnoteRef/>
      </w:r>
      <w:r w:rsidRPr="008E74A6">
        <w:rPr>
          <w:sz w:val="20"/>
          <w:lang w:val="en-GB"/>
        </w:rPr>
        <w:t xml:space="preserve"> COM(2016) 766 final, par. 2</w:t>
      </w:r>
    </w:p>
  </w:footnote>
  <w:footnote w:id="16">
    <w:p w14:paraId="6151BEB6" w14:textId="4E7BD171" w:rsidR="00336410" w:rsidRPr="008E74A6" w:rsidRDefault="00336410" w:rsidP="00897704">
      <w:pPr>
        <w:pStyle w:val="Textdenotaapeudepgina"/>
        <w:rPr>
          <w:sz w:val="20"/>
          <w:lang w:val="en-GB"/>
        </w:rPr>
      </w:pPr>
      <w:r w:rsidRPr="008E74A6">
        <w:rPr>
          <w:rStyle w:val="Refernciadenotaapeudepgina"/>
          <w:sz w:val="20"/>
          <w:lang w:val="en-GB"/>
        </w:rPr>
        <w:footnoteRef/>
      </w:r>
      <w:r w:rsidRPr="008E74A6">
        <w:rPr>
          <w:sz w:val="20"/>
          <w:lang w:val="en-GB"/>
        </w:rPr>
        <w:t xml:space="preserve"> D. </w:t>
      </w:r>
      <w:proofErr w:type="spellStart"/>
      <w:r w:rsidRPr="008E74A6">
        <w:rPr>
          <w:sz w:val="20"/>
          <w:lang w:val="en-GB"/>
        </w:rPr>
        <w:t>Rizopoulos</w:t>
      </w:r>
      <w:proofErr w:type="spellEnd"/>
      <w:r>
        <w:rPr>
          <w:sz w:val="20"/>
          <w:lang w:val="en-GB"/>
        </w:rPr>
        <w:t xml:space="preserve">, M. </w:t>
      </w:r>
      <w:proofErr w:type="spellStart"/>
      <w:r>
        <w:rPr>
          <w:sz w:val="20"/>
          <w:lang w:val="en-GB"/>
        </w:rPr>
        <w:t>Laskari</w:t>
      </w:r>
      <w:proofErr w:type="spellEnd"/>
      <w:r>
        <w:rPr>
          <w:sz w:val="20"/>
          <w:lang w:val="en-GB"/>
        </w:rPr>
        <w:t xml:space="preserve">, G. </w:t>
      </w:r>
      <w:proofErr w:type="spellStart"/>
      <w:r>
        <w:rPr>
          <w:sz w:val="20"/>
          <w:lang w:val="en-GB"/>
        </w:rPr>
        <w:t>Kouloumbis</w:t>
      </w:r>
      <w:proofErr w:type="spellEnd"/>
      <w:r>
        <w:rPr>
          <w:sz w:val="20"/>
          <w:lang w:val="en-GB"/>
        </w:rPr>
        <w:t xml:space="preserve">, I. </w:t>
      </w:r>
      <w:proofErr w:type="spellStart"/>
      <w:r>
        <w:rPr>
          <w:sz w:val="20"/>
          <w:lang w:val="en-GB"/>
        </w:rPr>
        <w:t>Fergadiotou</w:t>
      </w:r>
      <w:proofErr w:type="spellEnd"/>
      <w:r>
        <w:rPr>
          <w:sz w:val="20"/>
          <w:lang w:val="en-GB"/>
        </w:rPr>
        <w:t xml:space="preserve">, P. Durkin, K. </w:t>
      </w:r>
      <w:r w:rsidRPr="008E74A6">
        <w:rPr>
          <w:sz w:val="20"/>
          <w:lang w:val="en-GB"/>
        </w:rPr>
        <w:t xml:space="preserve"> </w:t>
      </w:r>
      <w:proofErr w:type="spellStart"/>
      <w:r w:rsidRPr="00796191">
        <w:rPr>
          <w:sz w:val="20"/>
          <w:lang w:val="en-GB"/>
        </w:rPr>
        <w:t>Kõrbe</w:t>
      </w:r>
      <w:proofErr w:type="spellEnd"/>
      <w:r w:rsidRPr="00796191">
        <w:rPr>
          <w:sz w:val="20"/>
          <w:lang w:val="en-GB"/>
        </w:rPr>
        <w:t xml:space="preserve"> </w:t>
      </w:r>
      <w:proofErr w:type="spellStart"/>
      <w:r w:rsidRPr="00796191">
        <w:rPr>
          <w:sz w:val="20"/>
          <w:lang w:val="en-GB"/>
        </w:rPr>
        <w:t>Kaare</w:t>
      </w:r>
      <w:proofErr w:type="spellEnd"/>
      <w:r w:rsidRPr="00796191">
        <w:rPr>
          <w:sz w:val="20"/>
          <w:lang w:val="en-GB"/>
        </w:rPr>
        <w:t xml:space="preserve"> </w:t>
      </w:r>
      <w:r>
        <w:rPr>
          <w:sz w:val="20"/>
          <w:lang w:val="en-GB"/>
        </w:rPr>
        <w:t xml:space="preserve">, M. </w:t>
      </w:r>
      <w:proofErr w:type="spellStart"/>
      <w:r>
        <w:rPr>
          <w:sz w:val="20"/>
          <w:lang w:val="en-GB"/>
        </w:rPr>
        <w:t>Mahtab</w:t>
      </w:r>
      <w:proofErr w:type="spellEnd"/>
      <w:r>
        <w:rPr>
          <w:sz w:val="20"/>
          <w:lang w:val="en-GB"/>
        </w:rPr>
        <w:t xml:space="preserve"> </w:t>
      </w:r>
      <w:proofErr w:type="spellStart"/>
      <w:r>
        <w:rPr>
          <w:sz w:val="20"/>
          <w:lang w:val="en-GB"/>
        </w:rPr>
        <w:t>Alam</w:t>
      </w:r>
      <w:proofErr w:type="spellEnd"/>
      <w:r w:rsidRPr="008E74A6">
        <w:rPr>
          <w:sz w:val="20"/>
          <w:lang w:val="en-GB"/>
        </w:rPr>
        <w:t>, 5G as an Enabler of Connected-and-Automated Mobility in European Cross-Border Corridors-A Market Assessment,</w:t>
      </w:r>
      <w:r>
        <w:rPr>
          <w:sz w:val="20"/>
          <w:lang w:val="en-GB"/>
        </w:rPr>
        <w:t xml:space="preserve"> Sustainability 14 (2022), par. 2.1</w:t>
      </w:r>
      <w:r w:rsidRPr="008E74A6">
        <w:rPr>
          <w:sz w:val="20"/>
          <w:lang w:val="en-GB"/>
        </w:rPr>
        <w:t xml:space="preserve"> </w:t>
      </w:r>
      <w:proofErr w:type="spellStart"/>
      <w:r>
        <w:rPr>
          <w:sz w:val="20"/>
          <w:lang w:val="en-GB"/>
        </w:rPr>
        <w:t>d</w:t>
      </w:r>
      <w:r w:rsidRPr="008E74A6">
        <w:rPr>
          <w:sz w:val="20"/>
          <w:lang w:val="en-GB"/>
        </w:rPr>
        <w:t>oi</w:t>
      </w:r>
      <w:proofErr w:type="spellEnd"/>
      <w:r>
        <w:rPr>
          <w:sz w:val="20"/>
          <w:lang w:val="en-GB"/>
        </w:rPr>
        <w:t>:</w:t>
      </w:r>
      <w:r w:rsidRPr="008E74A6">
        <w:rPr>
          <w:sz w:val="20"/>
          <w:lang w:val="en-GB"/>
        </w:rPr>
        <w:t xml:space="preserve"> 10.3390/su142114411</w:t>
      </w:r>
      <w:r>
        <w:rPr>
          <w:sz w:val="20"/>
          <w:lang w:val="en-GB"/>
        </w:rPr>
        <w:t>.</w:t>
      </w:r>
    </w:p>
  </w:footnote>
  <w:footnote w:id="17">
    <w:p w14:paraId="180E335F" w14:textId="5FA303F2" w:rsidR="00336410" w:rsidRPr="008E74A6" w:rsidRDefault="00336410" w:rsidP="00897704">
      <w:pPr>
        <w:pStyle w:val="Textdenotaapeudepgina"/>
        <w:rPr>
          <w:sz w:val="20"/>
          <w:lang w:val="en-GB"/>
        </w:rPr>
      </w:pPr>
      <w:r w:rsidRPr="008E74A6">
        <w:rPr>
          <w:rStyle w:val="Refernciadenotaapeudepgina"/>
          <w:sz w:val="20"/>
          <w:lang w:val="en-GB"/>
        </w:rPr>
        <w:footnoteRef/>
      </w:r>
      <w:r w:rsidRPr="008E74A6">
        <w:rPr>
          <w:sz w:val="20"/>
          <w:lang w:val="en-GB"/>
        </w:rPr>
        <w:t xml:space="preserve"> L. Rey Ramos</w:t>
      </w:r>
      <w:r>
        <w:rPr>
          <w:sz w:val="20"/>
          <w:lang w:val="en-GB"/>
        </w:rPr>
        <w:t xml:space="preserve">, G. </w:t>
      </w:r>
      <w:proofErr w:type="spellStart"/>
      <w:r>
        <w:rPr>
          <w:sz w:val="20"/>
          <w:lang w:val="en-GB"/>
        </w:rPr>
        <w:t>Leiro</w:t>
      </w:r>
      <w:proofErr w:type="spellEnd"/>
      <w:r>
        <w:rPr>
          <w:sz w:val="20"/>
          <w:lang w:val="en-GB"/>
        </w:rPr>
        <w:t xml:space="preserve"> García, G. Ruggiero </w:t>
      </w:r>
      <w:proofErr w:type="spellStart"/>
      <w:r>
        <w:rPr>
          <w:sz w:val="20"/>
          <w:lang w:val="en-GB"/>
        </w:rPr>
        <w:t>Pelay</w:t>
      </w:r>
      <w:proofErr w:type="spellEnd"/>
      <w:r w:rsidRPr="008E74A6">
        <w:rPr>
          <w:sz w:val="20"/>
          <w:lang w:val="en-GB"/>
        </w:rPr>
        <w:t xml:space="preserve">, </w:t>
      </w:r>
      <w:r w:rsidRPr="00351F21">
        <w:rPr>
          <w:sz w:val="20"/>
        </w:rPr>
        <w:t xml:space="preserve">C-Roads Galicia y </w:t>
      </w:r>
      <w:proofErr w:type="spellStart"/>
      <w:r w:rsidRPr="00351F21">
        <w:rPr>
          <w:sz w:val="20"/>
        </w:rPr>
        <w:t>Movilidad</w:t>
      </w:r>
      <w:proofErr w:type="spellEnd"/>
      <w:r w:rsidRPr="00351F21">
        <w:rPr>
          <w:sz w:val="20"/>
        </w:rPr>
        <w:t xml:space="preserve"> </w:t>
      </w:r>
      <w:proofErr w:type="spellStart"/>
      <w:r w:rsidRPr="00351F21">
        <w:rPr>
          <w:sz w:val="20"/>
        </w:rPr>
        <w:t>conectada</w:t>
      </w:r>
      <w:proofErr w:type="spellEnd"/>
      <w:r w:rsidRPr="00351F21">
        <w:rPr>
          <w:sz w:val="20"/>
        </w:rPr>
        <w:t xml:space="preserve">, El </w:t>
      </w:r>
      <w:proofErr w:type="spellStart"/>
      <w:r w:rsidRPr="00351F21">
        <w:rPr>
          <w:sz w:val="20"/>
        </w:rPr>
        <w:t>futuro</w:t>
      </w:r>
      <w:proofErr w:type="spellEnd"/>
      <w:r w:rsidRPr="00351F21">
        <w:rPr>
          <w:sz w:val="20"/>
        </w:rPr>
        <w:t xml:space="preserve"> </w:t>
      </w:r>
      <w:proofErr w:type="spellStart"/>
      <w:r w:rsidRPr="00351F21">
        <w:rPr>
          <w:sz w:val="20"/>
        </w:rPr>
        <w:t>corredor</w:t>
      </w:r>
      <w:proofErr w:type="spellEnd"/>
      <w:r w:rsidRPr="00351F21">
        <w:rPr>
          <w:sz w:val="20"/>
        </w:rPr>
        <w:t xml:space="preserve"> </w:t>
      </w:r>
      <w:proofErr w:type="spellStart"/>
      <w:r w:rsidRPr="00351F21">
        <w:rPr>
          <w:sz w:val="20"/>
        </w:rPr>
        <w:t>inteligente</w:t>
      </w:r>
      <w:proofErr w:type="spellEnd"/>
      <w:r w:rsidRPr="00351F21">
        <w:rPr>
          <w:sz w:val="20"/>
        </w:rPr>
        <w:t xml:space="preserve"> de Europa, </w:t>
      </w:r>
      <w:proofErr w:type="spellStart"/>
      <w:r w:rsidRPr="00796191">
        <w:rPr>
          <w:sz w:val="20"/>
        </w:rPr>
        <w:t>Carreteras</w:t>
      </w:r>
      <w:proofErr w:type="spellEnd"/>
      <w:r w:rsidRPr="00796191">
        <w:rPr>
          <w:sz w:val="20"/>
        </w:rPr>
        <w:t xml:space="preserve">. Revista </w:t>
      </w:r>
      <w:proofErr w:type="spellStart"/>
      <w:r w:rsidRPr="00796191">
        <w:rPr>
          <w:sz w:val="20"/>
        </w:rPr>
        <w:t>Técnica</w:t>
      </w:r>
      <w:proofErr w:type="spellEnd"/>
      <w:r w:rsidRPr="00796191">
        <w:rPr>
          <w:sz w:val="20"/>
        </w:rPr>
        <w:t xml:space="preserve"> de la </w:t>
      </w:r>
      <w:proofErr w:type="spellStart"/>
      <w:r w:rsidRPr="00796191">
        <w:rPr>
          <w:sz w:val="20"/>
        </w:rPr>
        <w:t>Asociación</w:t>
      </w:r>
      <w:proofErr w:type="spellEnd"/>
      <w:r w:rsidRPr="00796191">
        <w:rPr>
          <w:sz w:val="20"/>
        </w:rPr>
        <w:t xml:space="preserve"> Española de la </w:t>
      </w:r>
      <w:proofErr w:type="spellStart"/>
      <w:r w:rsidRPr="00796191">
        <w:rPr>
          <w:sz w:val="20"/>
        </w:rPr>
        <w:t>Carretera</w:t>
      </w:r>
      <w:proofErr w:type="spellEnd"/>
      <w:r>
        <w:rPr>
          <w:sz w:val="20"/>
          <w:lang w:val="en-GB"/>
        </w:rPr>
        <w:t xml:space="preserve"> 234 (</w:t>
      </w:r>
      <w:r w:rsidRPr="008E74A6">
        <w:rPr>
          <w:sz w:val="20"/>
          <w:lang w:val="en-GB"/>
        </w:rPr>
        <w:t>2021</w:t>
      </w:r>
      <w:r>
        <w:rPr>
          <w:sz w:val="20"/>
          <w:lang w:val="en-GB"/>
        </w:rPr>
        <w:t>)</w:t>
      </w:r>
      <w:r w:rsidRPr="008E74A6">
        <w:rPr>
          <w:sz w:val="20"/>
          <w:lang w:val="en-GB"/>
        </w:rPr>
        <w:t>, pp. 67-68.</w:t>
      </w:r>
    </w:p>
  </w:footnote>
  <w:footnote w:id="18">
    <w:p w14:paraId="595D2E7D" w14:textId="6E7D892F" w:rsidR="00336410" w:rsidRPr="00336410" w:rsidRDefault="00336410" w:rsidP="00897704">
      <w:pPr>
        <w:pStyle w:val="Textdenotaapeudepgina"/>
        <w:rPr>
          <w:sz w:val="20"/>
        </w:rPr>
      </w:pPr>
      <w:r w:rsidRPr="00351F21">
        <w:rPr>
          <w:rStyle w:val="Refernciadenotaapeudepgina"/>
          <w:sz w:val="20"/>
        </w:rPr>
        <w:footnoteRef/>
      </w:r>
      <w:r w:rsidRPr="00351F21">
        <w:rPr>
          <w:sz w:val="20"/>
        </w:rPr>
        <w:t xml:space="preserve"> </w:t>
      </w:r>
      <w:r w:rsidRPr="00336410">
        <w:rPr>
          <w:sz w:val="20"/>
        </w:rPr>
        <w:t xml:space="preserve">At </w:t>
      </w:r>
      <w:hyperlink r:id="rId4" w:history="1">
        <w:r w:rsidRPr="00336410">
          <w:rPr>
            <w:rStyle w:val="Enlla"/>
            <w:sz w:val="20"/>
            <w:u w:val="none"/>
          </w:rPr>
          <w:t>https://bit.ly/3WbHe8X</w:t>
        </w:r>
      </w:hyperlink>
      <w:r w:rsidRPr="00336410">
        <w:rPr>
          <w:sz w:val="20"/>
        </w:rPr>
        <w:t>, accessed on 6 February 2023.</w:t>
      </w:r>
    </w:p>
  </w:footnote>
  <w:footnote w:id="19">
    <w:p w14:paraId="66CD5FA1" w14:textId="77777777" w:rsidR="00336410" w:rsidRDefault="00336410" w:rsidP="00897704">
      <w:pPr>
        <w:pStyle w:val="Textdenotaapeudepgina"/>
        <w:rPr>
          <w:sz w:val="20"/>
        </w:rPr>
      </w:pPr>
      <w:r w:rsidRPr="00336410">
        <w:rPr>
          <w:rStyle w:val="Refernciadenotaapeudepgina"/>
          <w:sz w:val="20"/>
        </w:rPr>
        <w:footnoteRef/>
      </w:r>
      <w:r w:rsidRPr="00336410">
        <w:rPr>
          <w:sz w:val="20"/>
        </w:rPr>
        <w:t xml:space="preserve"> COM(2016) 766 final, par</w:t>
      </w:r>
      <w:r>
        <w:rPr>
          <w:sz w:val="20"/>
        </w:rPr>
        <w:t>.</w:t>
      </w:r>
      <w:r w:rsidRPr="00351F21">
        <w:rPr>
          <w:sz w:val="20"/>
        </w:rPr>
        <w:t xml:space="preserve"> 2</w:t>
      </w:r>
    </w:p>
  </w:footnote>
  <w:footnote w:id="20">
    <w:p w14:paraId="6FDA84BE" w14:textId="3DCF2750" w:rsidR="00336410" w:rsidRPr="006B42E4" w:rsidRDefault="00336410" w:rsidP="00897704">
      <w:pPr>
        <w:pStyle w:val="Textdenotaapeudepgina"/>
        <w:rPr>
          <w:sz w:val="20"/>
          <w:lang w:val="en-GB"/>
        </w:rPr>
      </w:pPr>
      <w:r w:rsidRPr="00351F21">
        <w:rPr>
          <w:rStyle w:val="Refernciadenotaapeudepgina"/>
          <w:sz w:val="20"/>
        </w:rPr>
        <w:footnoteRef/>
      </w:r>
      <w:r w:rsidRPr="00351F21">
        <w:rPr>
          <w:sz w:val="20"/>
        </w:rPr>
        <w:t xml:space="preserve"> </w:t>
      </w:r>
      <w:r w:rsidRPr="006B42E4">
        <w:rPr>
          <w:sz w:val="20"/>
          <w:lang w:val="en-GB"/>
        </w:rPr>
        <w:t>CCAM members can be consulted at https://bit.ly/3X8p</w:t>
      </w:r>
      <w:r>
        <w:rPr>
          <w:sz w:val="20"/>
          <w:lang w:val="en-GB"/>
        </w:rPr>
        <w:t>ooC, accessed on 6 February 2023</w:t>
      </w:r>
      <w:r w:rsidRPr="006B42E4">
        <w:rPr>
          <w:sz w:val="20"/>
          <w:lang w:val="en-GB"/>
        </w:rPr>
        <w:t xml:space="preserve">. </w:t>
      </w:r>
    </w:p>
  </w:footnote>
  <w:footnote w:id="21">
    <w:p w14:paraId="2D236463" w14:textId="6768D5B5" w:rsidR="00336410" w:rsidRPr="00336410" w:rsidRDefault="00336410" w:rsidP="00897704">
      <w:pPr>
        <w:pStyle w:val="Textdenotaapeudepgina"/>
        <w:rPr>
          <w:sz w:val="20"/>
          <w:lang w:val="en-GB"/>
        </w:rPr>
      </w:pPr>
      <w:r w:rsidRPr="00336410">
        <w:rPr>
          <w:rStyle w:val="Refernciadenotaapeudepgina"/>
          <w:sz w:val="20"/>
          <w:lang w:val="en-GB"/>
        </w:rPr>
        <w:footnoteRef/>
      </w:r>
      <w:r w:rsidRPr="00336410">
        <w:rPr>
          <w:sz w:val="20"/>
          <w:lang w:val="en-GB"/>
        </w:rPr>
        <w:t xml:space="preserve"> At </w:t>
      </w:r>
      <w:hyperlink r:id="rId5" w:history="1">
        <w:r w:rsidRPr="00336410">
          <w:rPr>
            <w:rStyle w:val="Enlla"/>
            <w:sz w:val="20"/>
            <w:u w:val="none"/>
            <w:lang w:val="en-GB"/>
          </w:rPr>
          <w:t>https://bit.ly/3QEjyZI</w:t>
        </w:r>
      </w:hyperlink>
      <w:r w:rsidRPr="00336410">
        <w:rPr>
          <w:sz w:val="20"/>
          <w:lang w:val="en-GB"/>
        </w:rPr>
        <w:t>, accessed on 6 February 2023.</w:t>
      </w:r>
    </w:p>
  </w:footnote>
  <w:footnote w:id="22">
    <w:p w14:paraId="0BE37A96" w14:textId="77777777" w:rsidR="00336410" w:rsidRPr="00336410" w:rsidRDefault="00336410" w:rsidP="00897704">
      <w:pPr>
        <w:pStyle w:val="Textdenotaapeudepgina"/>
        <w:rPr>
          <w:sz w:val="20"/>
          <w:lang w:val="en-GB"/>
        </w:rPr>
      </w:pPr>
      <w:r w:rsidRPr="00336410">
        <w:rPr>
          <w:rStyle w:val="Refernciadenotaapeudepgina"/>
          <w:sz w:val="20"/>
          <w:lang w:val="en-GB"/>
        </w:rPr>
        <w:footnoteRef/>
      </w:r>
      <w:r w:rsidRPr="00336410">
        <w:rPr>
          <w:sz w:val="20"/>
          <w:lang w:val="en-GB"/>
        </w:rPr>
        <w:t xml:space="preserve"> COM(2016) 766 final, introduction.</w:t>
      </w:r>
    </w:p>
  </w:footnote>
  <w:footnote w:id="23">
    <w:p w14:paraId="30E2922E" w14:textId="77777777" w:rsidR="00336410" w:rsidRPr="006B42E4" w:rsidRDefault="00336410" w:rsidP="00897704">
      <w:pPr>
        <w:pStyle w:val="Textdenotaapeudepgina"/>
        <w:rPr>
          <w:sz w:val="20"/>
          <w:lang w:val="en-GB"/>
        </w:rPr>
      </w:pPr>
      <w:r w:rsidRPr="00336410">
        <w:rPr>
          <w:rStyle w:val="Refernciadenotaapeudepgina"/>
          <w:sz w:val="20"/>
          <w:lang w:val="en-GB"/>
        </w:rPr>
        <w:footnoteRef/>
      </w:r>
      <w:r w:rsidRPr="00336410">
        <w:rPr>
          <w:sz w:val="20"/>
          <w:lang w:val="en-GB"/>
        </w:rPr>
        <w:t xml:space="preserve"> COM(2016) 766 final,</w:t>
      </w:r>
      <w:r w:rsidRPr="006B42E4">
        <w:rPr>
          <w:sz w:val="20"/>
          <w:lang w:val="en-GB"/>
        </w:rPr>
        <w:t xml:space="preserve"> par. 3.7.</w:t>
      </w:r>
    </w:p>
  </w:footnote>
  <w:footnote w:id="24">
    <w:p w14:paraId="7F0EAAD6" w14:textId="0DDB12B9" w:rsidR="00336410" w:rsidRPr="006B42E4" w:rsidRDefault="00336410" w:rsidP="00897704">
      <w:pPr>
        <w:pStyle w:val="Textdenotaapeudepgina"/>
        <w:rPr>
          <w:sz w:val="20"/>
          <w:lang w:val="en-GB"/>
        </w:rPr>
      </w:pPr>
      <w:r w:rsidRPr="006B42E4">
        <w:rPr>
          <w:rStyle w:val="Refernciadenotaapeudepgina"/>
          <w:sz w:val="20"/>
          <w:lang w:val="en-GB"/>
        </w:rPr>
        <w:footnoteRef/>
      </w:r>
      <w:r w:rsidRPr="006B42E4">
        <w:rPr>
          <w:sz w:val="20"/>
          <w:lang w:val="en-GB"/>
        </w:rPr>
        <w:t xml:space="preserve"> COM</w:t>
      </w:r>
      <w:r>
        <w:rPr>
          <w:sz w:val="20"/>
          <w:lang w:val="en-GB"/>
        </w:rPr>
        <w:t>(2018) 293 final, introduction.</w:t>
      </w:r>
    </w:p>
  </w:footnote>
  <w:footnote w:id="25">
    <w:p w14:paraId="70BCDE2B" w14:textId="77777777" w:rsidR="00336410" w:rsidRPr="006B42E4" w:rsidRDefault="00336410" w:rsidP="00897704">
      <w:pPr>
        <w:pStyle w:val="Textdenotaapeudepgina"/>
        <w:rPr>
          <w:sz w:val="20"/>
          <w:lang w:val="en-GB"/>
        </w:rPr>
      </w:pPr>
      <w:r w:rsidRPr="006B42E4">
        <w:rPr>
          <w:rStyle w:val="Refernciadenotaapeudepgina"/>
          <w:sz w:val="20"/>
          <w:lang w:val="en-GB"/>
        </w:rPr>
        <w:footnoteRef/>
      </w:r>
      <w:r w:rsidRPr="006B42E4">
        <w:rPr>
          <w:sz w:val="20"/>
          <w:lang w:val="en-GB"/>
        </w:rPr>
        <w:t xml:space="preserve"> COM(2016) 766 final, introduction.</w:t>
      </w:r>
    </w:p>
  </w:footnote>
  <w:footnote w:id="26">
    <w:p w14:paraId="18A41AF9" w14:textId="77777777" w:rsidR="00336410" w:rsidRPr="00D7287C" w:rsidRDefault="00336410" w:rsidP="00897704">
      <w:pPr>
        <w:pStyle w:val="Textdenotaapeudepgina"/>
        <w:rPr>
          <w:sz w:val="20"/>
          <w:lang w:val="en-GB"/>
        </w:rPr>
      </w:pPr>
      <w:r w:rsidRPr="00351F21">
        <w:rPr>
          <w:rStyle w:val="Refernciadenotaapeudepgina"/>
          <w:sz w:val="20"/>
        </w:rPr>
        <w:footnoteRef/>
      </w:r>
      <w:r w:rsidRPr="00351F21">
        <w:rPr>
          <w:sz w:val="20"/>
        </w:rPr>
        <w:t xml:space="preserve"> </w:t>
      </w:r>
      <w:r w:rsidRPr="00D7287C">
        <w:rPr>
          <w:sz w:val="20"/>
          <w:lang w:val="en-GB"/>
        </w:rPr>
        <w:t>COM(2016) 766 final, par. 1.</w:t>
      </w:r>
    </w:p>
  </w:footnote>
  <w:footnote w:id="27">
    <w:p w14:paraId="6AAB85F7" w14:textId="77777777" w:rsidR="00336410" w:rsidRPr="00D7287C" w:rsidRDefault="00336410" w:rsidP="00897704">
      <w:pPr>
        <w:pStyle w:val="Textdenotaapeudepgina"/>
        <w:rPr>
          <w:sz w:val="20"/>
          <w:lang w:val="en-GB"/>
        </w:rPr>
      </w:pPr>
      <w:r w:rsidRPr="00D7287C">
        <w:rPr>
          <w:rStyle w:val="Refernciadenotaapeudepgina"/>
          <w:sz w:val="20"/>
          <w:lang w:val="en-GB"/>
        </w:rPr>
        <w:footnoteRef/>
      </w:r>
      <w:r w:rsidRPr="00D7287C">
        <w:rPr>
          <w:i/>
          <w:sz w:val="20"/>
          <w:lang w:val="en-GB"/>
        </w:rPr>
        <w:t xml:space="preserve"> Official Journal of the European Union</w:t>
      </w:r>
      <w:r w:rsidRPr="00D7287C">
        <w:rPr>
          <w:sz w:val="20"/>
          <w:lang w:val="en-GB"/>
        </w:rPr>
        <w:t xml:space="preserve">, L 207/1 of 6 August 2010. </w:t>
      </w:r>
    </w:p>
  </w:footnote>
  <w:footnote w:id="28">
    <w:p w14:paraId="513F47D2" w14:textId="77777777" w:rsidR="00336410" w:rsidRPr="00336410" w:rsidRDefault="00336410" w:rsidP="00897704">
      <w:pPr>
        <w:pStyle w:val="Textdenotaapeudepgina"/>
        <w:rPr>
          <w:sz w:val="20"/>
          <w:lang w:val="en-GB"/>
        </w:rPr>
      </w:pPr>
      <w:r w:rsidRPr="00D7287C">
        <w:rPr>
          <w:rStyle w:val="Refernciadenotaapeudepgina"/>
          <w:sz w:val="20"/>
          <w:lang w:val="en-GB"/>
        </w:rPr>
        <w:footnoteRef/>
      </w:r>
      <w:r w:rsidRPr="00D7287C">
        <w:rPr>
          <w:color w:val="333333"/>
          <w:sz w:val="20"/>
          <w:shd w:val="clear" w:color="auto" w:fill="FFFFFF"/>
          <w:lang w:val="en-GB"/>
        </w:rPr>
        <w:t xml:space="preserve"> </w:t>
      </w:r>
      <w:r w:rsidRPr="00796191">
        <w:rPr>
          <w:sz w:val="20"/>
          <w:shd w:val="clear" w:color="auto" w:fill="FFFFFF"/>
          <w:lang w:val="en-GB"/>
        </w:rPr>
        <w:t xml:space="preserve">COM/2021/813 </w:t>
      </w:r>
      <w:r w:rsidRPr="00336410">
        <w:rPr>
          <w:sz w:val="20"/>
          <w:shd w:val="clear" w:color="auto" w:fill="FFFFFF"/>
          <w:lang w:val="en-GB"/>
        </w:rPr>
        <w:t>final.</w:t>
      </w:r>
    </w:p>
  </w:footnote>
  <w:footnote w:id="29">
    <w:p w14:paraId="305BD75D" w14:textId="3F5A1D5D" w:rsidR="00336410" w:rsidRPr="00336410" w:rsidRDefault="00336410" w:rsidP="00897704">
      <w:pPr>
        <w:pStyle w:val="Textdenotaapeudepgina"/>
        <w:rPr>
          <w:sz w:val="20"/>
          <w:lang w:val="en-GB"/>
        </w:rPr>
      </w:pPr>
      <w:r w:rsidRPr="00336410">
        <w:rPr>
          <w:rStyle w:val="Refernciadenotaapeudepgina"/>
          <w:sz w:val="20"/>
          <w:lang w:val="en-GB"/>
        </w:rPr>
        <w:footnoteRef/>
      </w:r>
      <w:r w:rsidRPr="00336410">
        <w:rPr>
          <w:sz w:val="20"/>
          <w:lang w:val="en-GB"/>
        </w:rPr>
        <w:t xml:space="preserve"> At </w:t>
      </w:r>
      <w:hyperlink r:id="rId6" w:history="1">
        <w:r w:rsidRPr="00336410">
          <w:rPr>
            <w:rStyle w:val="Enlla"/>
            <w:sz w:val="20"/>
            <w:u w:val="none"/>
            <w:lang w:val="en-GB"/>
          </w:rPr>
          <w:t>https://bit.ly/3IOJ7FB</w:t>
        </w:r>
      </w:hyperlink>
      <w:r w:rsidRPr="00336410">
        <w:rPr>
          <w:sz w:val="20"/>
          <w:lang w:val="en-GB"/>
        </w:rPr>
        <w:t>, accessed on 6 February 2023.</w:t>
      </w:r>
    </w:p>
  </w:footnote>
  <w:footnote w:id="30">
    <w:p w14:paraId="4E61DF4E" w14:textId="4ED58823" w:rsidR="00336410" w:rsidRPr="00336410" w:rsidRDefault="00336410" w:rsidP="00897704">
      <w:pPr>
        <w:pStyle w:val="Textdenotaapeudepgina"/>
        <w:rPr>
          <w:sz w:val="20"/>
          <w:lang w:val="en-GB"/>
        </w:rPr>
      </w:pPr>
      <w:r w:rsidRPr="00336410">
        <w:rPr>
          <w:rStyle w:val="Refernciadenotaapeudepgina"/>
          <w:sz w:val="20"/>
          <w:lang w:val="en-GB"/>
        </w:rPr>
        <w:footnoteRef/>
      </w:r>
      <w:r w:rsidRPr="00336410">
        <w:rPr>
          <w:sz w:val="20"/>
          <w:lang w:val="en-GB"/>
        </w:rPr>
        <w:t xml:space="preserve"> At </w:t>
      </w:r>
      <w:hyperlink r:id="rId7" w:history="1">
        <w:r w:rsidRPr="00336410">
          <w:rPr>
            <w:rStyle w:val="Enlla"/>
            <w:sz w:val="20"/>
            <w:u w:val="none"/>
            <w:lang w:val="en-GB"/>
          </w:rPr>
          <w:t>https://bit.ly/3Xq0wbE</w:t>
        </w:r>
      </w:hyperlink>
      <w:r w:rsidRPr="00336410">
        <w:rPr>
          <w:sz w:val="20"/>
          <w:lang w:val="en-GB"/>
        </w:rPr>
        <w:t>, accessed on 6 February 2023.</w:t>
      </w:r>
    </w:p>
  </w:footnote>
  <w:footnote w:id="31">
    <w:p w14:paraId="1BC088FB" w14:textId="77777777" w:rsidR="00336410" w:rsidRPr="00336410" w:rsidRDefault="00336410" w:rsidP="00897704">
      <w:pPr>
        <w:pStyle w:val="Textdenotaapeudepgina"/>
        <w:rPr>
          <w:sz w:val="20"/>
          <w:lang w:val="en-GB"/>
        </w:rPr>
      </w:pPr>
      <w:r w:rsidRPr="00336410">
        <w:rPr>
          <w:rStyle w:val="Refernciadenotaapeudepgina"/>
          <w:sz w:val="20"/>
          <w:lang w:val="en-GB"/>
        </w:rPr>
        <w:footnoteRef/>
      </w:r>
      <w:r w:rsidRPr="00336410">
        <w:rPr>
          <w:sz w:val="20"/>
          <w:lang w:val="en-GB"/>
        </w:rPr>
        <w:t xml:space="preserve"> Official State Gazette, no. </w:t>
      </w:r>
      <w:r w:rsidRPr="00336410">
        <w:rPr>
          <w:color w:val="000000"/>
          <w:sz w:val="20"/>
          <w:lang w:val="en-GB"/>
        </w:rPr>
        <w:t>90, 14 April 2012.</w:t>
      </w:r>
    </w:p>
  </w:footnote>
  <w:footnote w:id="32">
    <w:p w14:paraId="4453D043" w14:textId="77777777" w:rsidR="00336410" w:rsidRPr="00D7287C" w:rsidRDefault="00336410" w:rsidP="00897704">
      <w:pPr>
        <w:pStyle w:val="Textdenotaapeudepgina"/>
        <w:rPr>
          <w:sz w:val="20"/>
          <w:lang w:val="en-GB"/>
        </w:rPr>
      </w:pPr>
      <w:r w:rsidRPr="00336410">
        <w:rPr>
          <w:rStyle w:val="Refernciadenotaapeudepgina"/>
          <w:sz w:val="20"/>
          <w:lang w:val="en-GB"/>
        </w:rPr>
        <w:footnoteRef/>
      </w:r>
      <w:r w:rsidRPr="00336410">
        <w:rPr>
          <w:i/>
          <w:sz w:val="20"/>
          <w:lang w:val="en-GB"/>
        </w:rPr>
        <w:t xml:space="preserve"> Official Journal of the</w:t>
      </w:r>
      <w:r w:rsidRPr="00D7287C">
        <w:rPr>
          <w:i/>
          <w:sz w:val="20"/>
          <w:lang w:val="en-GB"/>
        </w:rPr>
        <w:t xml:space="preserve"> European Union</w:t>
      </w:r>
      <w:r w:rsidRPr="00D7287C">
        <w:rPr>
          <w:sz w:val="20"/>
          <w:lang w:val="en-GB"/>
        </w:rPr>
        <w:t>, L 271/1, 21 October 2017.</w:t>
      </w:r>
    </w:p>
  </w:footnote>
  <w:footnote w:id="33">
    <w:p w14:paraId="5E697454" w14:textId="77777777" w:rsidR="00336410" w:rsidRPr="00D7287C" w:rsidRDefault="00336410" w:rsidP="00897704">
      <w:pPr>
        <w:pStyle w:val="Textdenotaapeudepgina"/>
        <w:rPr>
          <w:sz w:val="20"/>
          <w:lang w:val="en-GB"/>
        </w:rPr>
      </w:pPr>
      <w:r w:rsidRPr="00D7287C">
        <w:rPr>
          <w:rStyle w:val="Refernciadenotaapeudepgina"/>
          <w:sz w:val="20"/>
          <w:lang w:val="en-GB"/>
        </w:rPr>
        <w:footnoteRef/>
      </w:r>
      <w:r w:rsidRPr="00D7287C">
        <w:rPr>
          <w:i/>
          <w:sz w:val="20"/>
          <w:lang w:val="en-GB"/>
        </w:rPr>
        <w:t xml:space="preserve"> Official Journal of the European Union</w:t>
      </w:r>
      <w:r w:rsidRPr="00D7287C">
        <w:rPr>
          <w:sz w:val="20"/>
          <w:lang w:val="en-GB"/>
        </w:rPr>
        <w:t>, L 157/21 of 23 June 2015.</w:t>
      </w:r>
    </w:p>
  </w:footnote>
  <w:footnote w:id="34">
    <w:p w14:paraId="0EA09A21" w14:textId="77777777" w:rsidR="00336410" w:rsidRPr="00BE193A" w:rsidRDefault="00336410" w:rsidP="00897704">
      <w:pPr>
        <w:pStyle w:val="Textdenotaapeudepgina"/>
        <w:rPr>
          <w:sz w:val="20"/>
          <w:lang w:val="en-GB"/>
        </w:rPr>
      </w:pPr>
      <w:r w:rsidRPr="00351F21">
        <w:rPr>
          <w:rStyle w:val="Refernciadenotaapeudepgina"/>
          <w:sz w:val="20"/>
        </w:rPr>
        <w:footnoteRef/>
      </w:r>
      <w:r w:rsidRPr="00351F21">
        <w:rPr>
          <w:i/>
          <w:sz w:val="20"/>
        </w:rPr>
        <w:t xml:space="preserve"> </w:t>
      </w:r>
      <w:r w:rsidRPr="00BE193A">
        <w:rPr>
          <w:i/>
          <w:sz w:val="20"/>
          <w:lang w:val="en-GB"/>
        </w:rPr>
        <w:t>Official Journal of the European Union</w:t>
      </w:r>
      <w:r w:rsidRPr="00BE193A">
        <w:rPr>
          <w:sz w:val="20"/>
          <w:lang w:val="en-GB"/>
        </w:rPr>
        <w:t>, L 122/1 of 25 April 2022.</w:t>
      </w:r>
    </w:p>
  </w:footnote>
  <w:footnote w:id="35">
    <w:p w14:paraId="42458EC6" w14:textId="77777777" w:rsidR="00336410" w:rsidRPr="00BE193A" w:rsidRDefault="00336410" w:rsidP="00897704">
      <w:pPr>
        <w:pStyle w:val="Textdenotaapeudepgina"/>
        <w:rPr>
          <w:sz w:val="20"/>
          <w:lang w:val="en-GB"/>
        </w:rPr>
      </w:pPr>
      <w:r w:rsidRPr="00BE193A">
        <w:rPr>
          <w:rStyle w:val="Refernciadenotaapeudepgina"/>
          <w:sz w:val="20"/>
          <w:lang w:val="en-GB"/>
        </w:rPr>
        <w:footnoteRef/>
      </w:r>
      <w:r w:rsidRPr="00BE193A">
        <w:rPr>
          <w:i/>
          <w:sz w:val="20"/>
          <w:lang w:val="en-GB"/>
        </w:rPr>
        <w:t xml:space="preserve"> Official Journal of the European Union</w:t>
      </w:r>
      <w:r w:rsidRPr="00BE193A">
        <w:rPr>
          <w:sz w:val="20"/>
          <w:lang w:val="en-GB"/>
        </w:rPr>
        <w:t xml:space="preserve">, L 247/6 of 18 September 2013. </w:t>
      </w:r>
    </w:p>
  </w:footnote>
  <w:footnote w:id="36">
    <w:p w14:paraId="018310E9" w14:textId="77777777" w:rsidR="00336410" w:rsidRPr="00BE193A" w:rsidRDefault="00336410" w:rsidP="00897704">
      <w:pPr>
        <w:pStyle w:val="Textdenotaapeudepgina"/>
        <w:rPr>
          <w:sz w:val="20"/>
          <w:lang w:val="en-GB"/>
        </w:rPr>
      </w:pPr>
      <w:r w:rsidRPr="00BE193A">
        <w:rPr>
          <w:rStyle w:val="Refernciadenotaapeudepgina"/>
          <w:sz w:val="20"/>
          <w:lang w:val="en-GB"/>
        </w:rPr>
        <w:footnoteRef/>
      </w:r>
      <w:r w:rsidRPr="00BE193A">
        <w:rPr>
          <w:i/>
          <w:sz w:val="20"/>
          <w:lang w:val="en-GB"/>
        </w:rPr>
        <w:t xml:space="preserve"> Official Journal of the European Union</w:t>
      </w:r>
      <w:r w:rsidRPr="00BE193A">
        <w:rPr>
          <w:sz w:val="20"/>
          <w:lang w:val="en-GB"/>
        </w:rPr>
        <w:t>, L 91/1 of 3 April 2013.</w:t>
      </w:r>
    </w:p>
  </w:footnote>
  <w:footnote w:id="37">
    <w:p w14:paraId="1C2C58FE" w14:textId="77777777" w:rsidR="00336410" w:rsidRPr="00BE193A" w:rsidRDefault="00336410" w:rsidP="00897704">
      <w:pPr>
        <w:pStyle w:val="Textdenotaapeudepgina"/>
        <w:rPr>
          <w:sz w:val="20"/>
          <w:lang w:val="en-GB"/>
        </w:rPr>
      </w:pPr>
      <w:r w:rsidRPr="00BE193A">
        <w:rPr>
          <w:rStyle w:val="Refernciadenotaapeudepgina"/>
          <w:sz w:val="20"/>
          <w:lang w:val="en-GB"/>
        </w:rPr>
        <w:footnoteRef/>
      </w:r>
      <w:r w:rsidRPr="00BE193A">
        <w:rPr>
          <w:i/>
          <w:sz w:val="20"/>
          <w:lang w:val="en-GB"/>
        </w:rPr>
        <w:t xml:space="preserve"> Official Journal of the European Union</w:t>
      </w:r>
      <w:r w:rsidRPr="00BE193A">
        <w:rPr>
          <w:sz w:val="20"/>
          <w:lang w:val="en-GB"/>
        </w:rPr>
        <w:t>, L12/44 of 17 January 2017.</w:t>
      </w:r>
    </w:p>
  </w:footnote>
  <w:footnote w:id="38">
    <w:p w14:paraId="6C5ED167" w14:textId="77777777" w:rsidR="00336410" w:rsidRPr="00BE193A" w:rsidRDefault="00336410" w:rsidP="00897704">
      <w:pPr>
        <w:pStyle w:val="Textdenotaapeudepgina"/>
        <w:rPr>
          <w:sz w:val="20"/>
          <w:lang w:val="en-GB"/>
        </w:rPr>
      </w:pPr>
      <w:r w:rsidRPr="00BE193A">
        <w:rPr>
          <w:rStyle w:val="Refernciadenotaapeudepgina"/>
          <w:sz w:val="20"/>
          <w:lang w:val="en-GB"/>
        </w:rPr>
        <w:footnoteRef/>
      </w:r>
      <w:r w:rsidRPr="00BE193A">
        <w:rPr>
          <w:i/>
          <w:sz w:val="20"/>
          <w:lang w:val="en-GB"/>
        </w:rPr>
        <w:t xml:space="preserve"> Official Journal of the European Union</w:t>
      </w:r>
      <w:r w:rsidRPr="00BE193A">
        <w:rPr>
          <w:sz w:val="20"/>
          <w:lang w:val="en-GB"/>
        </w:rPr>
        <w:t xml:space="preserve">, L 123/77 of 19 May 2015. </w:t>
      </w:r>
    </w:p>
  </w:footnote>
  <w:footnote w:id="39">
    <w:p w14:paraId="0C944C8D" w14:textId="77777777" w:rsidR="00336410" w:rsidRPr="00BE193A" w:rsidRDefault="00336410" w:rsidP="00897704">
      <w:pPr>
        <w:pStyle w:val="Textdenotaapeudepgina"/>
        <w:rPr>
          <w:sz w:val="20"/>
          <w:lang w:val="en-GB"/>
        </w:rPr>
      </w:pPr>
      <w:r w:rsidRPr="00BE193A">
        <w:rPr>
          <w:rStyle w:val="Refernciadenotaapeudepgina"/>
          <w:sz w:val="20"/>
          <w:lang w:val="en-GB"/>
        </w:rPr>
        <w:footnoteRef/>
      </w:r>
      <w:r w:rsidRPr="00BE193A">
        <w:rPr>
          <w:i/>
          <w:sz w:val="20"/>
          <w:lang w:val="en-GB"/>
        </w:rPr>
        <w:t xml:space="preserve"> Official Journal of the European Union</w:t>
      </w:r>
      <w:r w:rsidRPr="00BE193A">
        <w:rPr>
          <w:sz w:val="20"/>
          <w:lang w:val="en-GB"/>
        </w:rPr>
        <w:t>, L 247/1 of 18 September 2013.</w:t>
      </w:r>
    </w:p>
  </w:footnote>
  <w:footnote w:id="40">
    <w:p w14:paraId="30497D4A" w14:textId="217ECDC5" w:rsidR="00336410" w:rsidRDefault="00336410" w:rsidP="00897704">
      <w:pPr>
        <w:pStyle w:val="Textdenotaapeudepgina"/>
        <w:rPr>
          <w:sz w:val="20"/>
        </w:rPr>
      </w:pPr>
      <w:r w:rsidRPr="00BE193A">
        <w:rPr>
          <w:rStyle w:val="Refernciadenotaapeudepgina"/>
          <w:sz w:val="20"/>
          <w:lang w:val="en-GB"/>
        </w:rPr>
        <w:footnoteRef/>
      </w:r>
      <w:r w:rsidRPr="00BE193A">
        <w:rPr>
          <w:sz w:val="20"/>
          <w:lang w:val="en-GB"/>
        </w:rPr>
        <w:t xml:space="preserve"> Proposal for a Directive amending Directive 2010/40/EU, COM/2021/813 final, preamble, point 7, at https://bit.ly/3</w:t>
      </w:r>
      <w:r>
        <w:rPr>
          <w:sz w:val="20"/>
          <w:lang w:val="en-GB"/>
        </w:rPr>
        <w:t>XcKbaI, accessed 6 February 2023</w:t>
      </w:r>
      <w:r w:rsidRPr="00351F21">
        <w:rPr>
          <w:sz w:val="20"/>
        </w:rPr>
        <w:t>.</w:t>
      </w:r>
    </w:p>
  </w:footnote>
  <w:footnote w:id="41">
    <w:p w14:paraId="0E583EFA" w14:textId="56D416E2" w:rsidR="00336410" w:rsidRPr="00796191" w:rsidRDefault="00336410" w:rsidP="00897704">
      <w:pPr>
        <w:pStyle w:val="Textdenotaapeudepgina"/>
        <w:rPr>
          <w:sz w:val="20"/>
          <w:lang w:val="en-GB"/>
        </w:rPr>
      </w:pPr>
      <w:r w:rsidRPr="00351F21">
        <w:rPr>
          <w:rStyle w:val="Refernciadenotaapeudepgina"/>
          <w:sz w:val="20"/>
        </w:rPr>
        <w:footnoteRef/>
      </w:r>
      <w:r w:rsidRPr="00351F21">
        <w:rPr>
          <w:sz w:val="20"/>
        </w:rPr>
        <w:t xml:space="preserve"> </w:t>
      </w:r>
      <w:r>
        <w:rPr>
          <w:sz w:val="20"/>
          <w:lang w:val="en-GB"/>
        </w:rPr>
        <w:t>At</w:t>
      </w:r>
      <w:r w:rsidRPr="00BE193A">
        <w:rPr>
          <w:sz w:val="20"/>
          <w:lang w:val="en-GB"/>
        </w:rPr>
        <w:t xml:space="preserve"> </w:t>
      </w:r>
      <w:proofErr w:type="spellStart"/>
      <w:r w:rsidRPr="00BE193A">
        <w:rPr>
          <w:sz w:val="20"/>
          <w:lang w:val="en-GB"/>
        </w:rPr>
        <w:t>Dirección</w:t>
      </w:r>
      <w:proofErr w:type="spellEnd"/>
      <w:r w:rsidRPr="00BE193A">
        <w:rPr>
          <w:sz w:val="20"/>
          <w:lang w:val="en-GB"/>
        </w:rPr>
        <w:t xml:space="preserve"> General de </w:t>
      </w:r>
      <w:proofErr w:type="spellStart"/>
      <w:r w:rsidRPr="00BE193A">
        <w:rPr>
          <w:sz w:val="20"/>
          <w:lang w:val="en-GB"/>
        </w:rPr>
        <w:t>Tráfico</w:t>
      </w:r>
      <w:proofErr w:type="spellEnd"/>
      <w:r w:rsidRPr="00BE193A">
        <w:rPr>
          <w:sz w:val="20"/>
          <w:lang w:val="en-GB"/>
        </w:rPr>
        <w:t xml:space="preserve">, </w:t>
      </w:r>
      <w:r w:rsidRPr="00BE193A">
        <w:rPr>
          <w:i/>
          <w:sz w:val="20"/>
          <w:lang w:val="en-GB"/>
        </w:rPr>
        <w:t>Directive 2010/40/EU. Progress Report</w:t>
      </w:r>
      <w:r w:rsidRPr="00BE193A">
        <w:rPr>
          <w:sz w:val="20"/>
          <w:lang w:val="en-GB"/>
        </w:rPr>
        <w:t>, August 2017, p. 46, at https://bit.ly/3QGBO4L, acc</w:t>
      </w:r>
      <w:r w:rsidRPr="00796191">
        <w:rPr>
          <w:sz w:val="20"/>
          <w:lang w:val="en-GB"/>
        </w:rPr>
        <w:t>essed on 6 February 2023.</w:t>
      </w:r>
    </w:p>
  </w:footnote>
  <w:footnote w:id="42">
    <w:p w14:paraId="798E7E0C" w14:textId="5A5F253B" w:rsidR="00336410" w:rsidRPr="00796191" w:rsidRDefault="00336410" w:rsidP="00076EF3">
      <w:pPr>
        <w:pStyle w:val="Textdenotaapeudepgina"/>
        <w:rPr>
          <w:sz w:val="20"/>
          <w:lang w:val="en-GB"/>
        </w:rPr>
      </w:pPr>
      <w:r w:rsidRPr="00796191">
        <w:rPr>
          <w:rStyle w:val="Refernciadenotaapeudepgina"/>
          <w:sz w:val="20"/>
          <w:lang w:val="en-GB"/>
        </w:rPr>
        <w:footnoteRef/>
      </w:r>
      <w:r w:rsidRPr="00796191">
        <w:rPr>
          <w:sz w:val="20"/>
          <w:lang w:val="en-GB"/>
        </w:rPr>
        <w:t xml:space="preserve"> At </w:t>
      </w:r>
      <w:hyperlink r:id="rId8" w:history="1">
        <w:r w:rsidRPr="00796191">
          <w:rPr>
            <w:rStyle w:val="Enlla"/>
            <w:sz w:val="20"/>
            <w:u w:val="none"/>
            <w:lang w:val="en-GB"/>
          </w:rPr>
          <w:t>https://bit.ly/3iNgm1j</w:t>
        </w:r>
      </w:hyperlink>
      <w:r w:rsidRPr="00796191">
        <w:rPr>
          <w:sz w:val="20"/>
          <w:lang w:val="en-GB"/>
        </w:rPr>
        <w:t>, accessed on 6 February 2023.</w:t>
      </w:r>
    </w:p>
  </w:footnote>
  <w:footnote w:id="43">
    <w:p w14:paraId="6A868812" w14:textId="233138B5" w:rsidR="00336410" w:rsidRPr="00BE193A" w:rsidRDefault="00336410" w:rsidP="00076EF3">
      <w:pPr>
        <w:pStyle w:val="Textdenotaapeudepgina"/>
        <w:rPr>
          <w:sz w:val="20"/>
          <w:lang w:val="en-GB"/>
        </w:rPr>
      </w:pPr>
      <w:r w:rsidRPr="00796191">
        <w:rPr>
          <w:rStyle w:val="Refernciadenotaapeudepgina"/>
          <w:sz w:val="20"/>
          <w:lang w:val="en-GB"/>
        </w:rPr>
        <w:footnoteRef/>
      </w:r>
      <w:r w:rsidRPr="00796191">
        <w:rPr>
          <w:sz w:val="20"/>
          <w:lang w:val="en-GB"/>
        </w:rPr>
        <w:t xml:space="preserve"> At </w:t>
      </w:r>
      <w:hyperlink r:id="rId9" w:history="1">
        <w:r w:rsidRPr="00796191">
          <w:rPr>
            <w:rStyle w:val="Enlla"/>
            <w:sz w:val="20"/>
            <w:u w:val="none"/>
            <w:lang w:val="en-GB"/>
          </w:rPr>
          <w:t>https://bit.ly/3CTbQp4</w:t>
        </w:r>
      </w:hyperlink>
      <w:r w:rsidRPr="00796191">
        <w:rPr>
          <w:sz w:val="20"/>
          <w:lang w:val="en-GB"/>
        </w:rPr>
        <w:t>, accessed on 6 February 2023</w:t>
      </w:r>
      <w:r>
        <w:rPr>
          <w:sz w:val="20"/>
          <w:lang w:val="en-GB"/>
        </w:rPr>
        <w:t>.</w:t>
      </w:r>
    </w:p>
  </w:footnote>
  <w:footnote w:id="44">
    <w:p w14:paraId="461F022A" w14:textId="57A4CB51" w:rsidR="00336410" w:rsidRPr="00BE193A" w:rsidRDefault="00336410" w:rsidP="00076EF3">
      <w:pPr>
        <w:pStyle w:val="Textdenotaapeudepgina"/>
        <w:rPr>
          <w:sz w:val="20"/>
          <w:lang w:val="en-GB"/>
        </w:rPr>
      </w:pPr>
      <w:r w:rsidRPr="00BE193A">
        <w:rPr>
          <w:rStyle w:val="Refernciadenotaapeudepgina"/>
          <w:sz w:val="20"/>
          <w:lang w:val="en-GB"/>
        </w:rPr>
        <w:footnoteRef/>
      </w:r>
      <w:r w:rsidRPr="00BE193A">
        <w:rPr>
          <w:sz w:val="20"/>
          <w:lang w:val="en-GB"/>
        </w:rPr>
        <w:t xml:space="preserve"> COM/2020/789 final,</w:t>
      </w:r>
    </w:p>
  </w:footnote>
  <w:footnote w:id="45">
    <w:p w14:paraId="2EA2E71E" w14:textId="77777777" w:rsidR="00336410" w:rsidRPr="00293B48" w:rsidRDefault="00336410" w:rsidP="00076EF3">
      <w:pPr>
        <w:pStyle w:val="Textdenotaapeudepgina"/>
        <w:rPr>
          <w:sz w:val="20"/>
          <w:lang w:val="en-GB"/>
        </w:rPr>
      </w:pPr>
      <w:r w:rsidRPr="00351F21">
        <w:rPr>
          <w:rStyle w:val="Refernciadenotaapeudepgina"/>
          <w:sz w:val="20"/>
        </w:rPr>
        <w:footnoteRef/>
      </w:r>
      <w:r w:rsidRPr="00351F21">
        <w:rPr>
          <w:sz w:val="20"/>
        </w:rPr>
        <w:t xml:space="preserve"> </w:t>
      </w:r>
      <w:r w:rsidRPr="00293B48">
        <w:rPr>
          <w:sz w:val="20"/>
          <w:lang w:val="en-GB"/>
        </w:rPr>
        <w:t>COM(2016) 766 final, par</w:t>
      </w:r>
      <w:r>
        <w:rPr>
          <w:sz w:val="20"/>
          <w:lang w:val="en-GB"/>
        </w:rPr>
        <w:t>.</w:t>
      </w:r>
      <w:r w:rsidRPr="00293B48">
        <w:rPr>
          <w:sz w:val="20"/>
          <w:lang w:val="en-GB"/>
        </w:rPr>
        <w:t xml:space="preserve"> 3.1.</w:t>
      </w:r>
    </w:p>
  </w:footnote>
  <w:footnote w:id="46">
    <w:p w14:paraId="3A8925EB" w14:textId="77777777" w:rsidR="00336410" w:rsidRPr="00293B48" w:rsidRDefault="00336410" w:rsidP="00076EF3">
      <w:pPr>
        <w:pStyle w:val="Textdenotaapeudepgina"/>
        <w:rPr>
          <w:sz w:val="20"/>
          <w:lang w:val="en-GB"/>
        </w:rPr>
      </w:pPr>
      <w:r w:rsidRPr="00293B48">
        <w:rPr>
          <w:rStyle w:val="Refernciadenotaapeudepgina"/>
          <w:sz w:val="20"/>
          <w:lang w:val="en-GB"/>
        </w:rPr>
        <w:footnoteRef/>
      </w:r>
      <w:r w:rsidRPr="00293B48">
        <w:rPr>
          <w:sz w:val="20"/>
          <w:lang w:val="en-GB"/>
        </w:rPr>
        <w:t xml:space="preserve"> COM(2016) 766 final, par</w:t>
      </w:r>
      <w:r>
        <w:rPr>
          <w:sz w:val="20"/>
          <w:lang w:val="en-GB"/>
        </w:rPr>
        <w:t>.</w:t>
      </w:r>
      <w:r w:rsidRPr="00293B48">
        <w:rPr>
          <w:sz w:val="20"/>
          <w:lang w:val="en-GB"/>
        </w:rPr>
        <w:t xml:space="preserve"> 3.2.</w:t>
      </w:r>
    </w:p>
  </w:footnote>
  <w:footnote w:id="47">
    <w:p w14:paraId="3A806ECE" w14:textId="08FCE7E4" w:rsidR="00336410" w:rsidRPr="00293B48" w:rsidRDefault="00336410" w:rsidP="00076EF3">
      <w:pPr>
        <w:pStyle w:val="Textdenotaapeudepgina"/>
        <w:rPr>
          <w:sz w:val="20"/>
          <w:lang w:val="en-GB"/>
        </w:rPr>
      </w:pPr>
      <w:r w:rsidRPr="00293B48">
        <w:rPr>
          <w:rStyle w:val="Refernciadenotaapeudepgina"/>
          <w:sz w:val="20"/>
          <w:lang w:val="en-GB"/>
        </w:rPr>
        <w:footnoteRef/>
      </w:r>
      <w:r>
        <w:rPr>
          <w:sz w:val="20"/>
          <w:lang w:val="en-GB"/>
        </w:rPr>
        <w:t xml:space="preserve"> At https://bit.ly/3GJP83x</w:t>
      </w:r>
      <w:r w:rsidRPr="00293B48">
        <w:rPr>
          <w:sz w:val="20"/>
          <w:lang w:val="en-GB"/>
        </w:rPr>
        <w:t xml:space="preserve"> </w:t>
      </w:r>
      <w:r w:rsidRPr="00796191">
        <w:rPr>
          <w:sz w:val="20"/>
          <w:lang w:val="en-GB"/>
        </w:rPr>
        <w:t>, accessed on 6 February 2023</w:t>
      </w:r>
      <w:r>
        <w:rPr>
          <w:sz w:val="20"/>
          <w:lang w:val="en-GB"/>
        </w:rPr>
        <w:t>.</w:t>
      </w:r>
    </w:p>
  </w:footnote>
  <w:footnote w:id="48">
    <w:p w14:paraId="6C27A4C8" w14:textId="72787380" w:rsidR="00336410" w:rsidRPr="00293B48" w:rsidRDefault="00336410" w:rsidP="00076EF3">
      <w:pPr>
        <w:pStyle w:val="Textdenotaapeudepgina"/>
        <w:rPr>
          <w:sz w:val="20"/>
          <w:lang w:val="en-GB"/>
        </w:rPr>
      </w:pPr>
      <w:r w:rsidRPr="00293B48">
        <w:rPr>
          <w:rStyle w:val="Refernciadenotaapeudepgina"/>
          <w:sz w:val="20"/>
          <w:lang w:val="en-GB"/>
        </w:rPr>
        <w:footnoteRef/>
      </w:r>
      <w:r w:rsidRPr="00293B48">
        <w:rPr>
          <w:sz w:val="20"/>
          <w:lang w:val="en-GB"/>
        </w:rPr>
        <w:t xml:space="preserve"> </w:t>
      </w:r>
      <w:r w:rsidRPr="00796191">
        <w:rPr>
          <w:sz w:val="20"/>
          <w:lang w:val="en-GB"/>
        </w:rPr>
        <w:t xml:space="preserve">At </w:t>
      </w:r>
      <w:hyperlink r:id="rId10" w:history="1">
        <w:r w:rsidRPr="00796191">
          <w:rPr>
            <w:rStyle w:val="Enlla"/>
            <w:sz w:val="20"/>
            <w:u w:val="none"/>
            <w:lang w:val="en-GB"/>
          </w:rPr>
          <w:t>https://bit.ly/3H558OZ</w:t>
        </w:r>
      </w:hyperlink>
      <w:r>
        <w:rPr>
          <w:sz w:val="20"/>
          <w:lang w:val="en-GB"/>
        </w:rPr>
        <w:t>, accessed on 6 February 2023.</w:t>
      </w:r>
    </w:p>
  </w:footnote>
  <w:footnote w:id="49">
    <w:p w14:paraId="47E98597" w14:textId="0092B04C" w:rsidR="00336410" w:rsidRPr="00293B48" w:rsidRDefault="00336410" w:rsidP="00076EF3">
      <w:pPr>
        <w:pStyle w:val="Textdenotaapeudepgina"/>
        <w:rPr>
          <w:sz w:val="20"/>
          <w:lang w:val="en-GB"/>
        </w:rPr>
      </w:pPr>
      <w:r w:rsidRPr="00293B48">
        <w:rPr>
          <w:rStyle w:val="Refernciadenotaapeudepgina"/>
          <w:sz w:val="20"/>
          <w:lang w:val="en-GB"/>
        </w:rPr>
        <w:footnoteRef/>
      </w:r>
      <w:r w:rsidRPr="00293B48">
        <w:rPr>
          <w:sz w:val="20"/>
          <w:lang w:val="en-GB"/>
        </w:rPr>
        <w:t xml:space="preserve"> The expert group locator is available at https://bit.ly/3iCD</w:t>
      </w:r>
      <w:r>
        <w:rPr>
          <w:sz w:val="20"/>
          <w:lang w:val="en-GB"/>
        </w:rPr>
        <w:t>Gif, accessed on 6 February 2023</w:t>
      </w:r>
      <w:r w:rsidRPr="00293B48">
        <w:rPr>
          <w:sz w:val="20"/>
          <w:lang w:val="en-GB"/>
        </w:rPr>
        <w:t xml:space="preserve">. </w:t>
      </w:r>
    </w:p>
  </w:footnote>
  <w:footnote w:id="50">
    <w:p w14:paraId="3CD98DCF" w14:textId="77777777" w:rsidR="00336410" w:rsidRPr="00293B48" w:rsidRDefault="00336410" w:rsidP="00482C62">
      <w:pPr>
        <w:pStyle w:val="Textdenotaapeudepgina"/>
        <w:rPr>
          <w:sz w:val="20"/>
          <w:lang w:val="en-GB"/>
        </w:rPr>
      </w:pPr>
      <w:r w:rsidRPr="00351F21">
        <w:rPr>
          <w:rStyle w:val="Refernciadenotaapeudepgina"/>
          <w:sz w:val="20"/>
        </w:rPr>
        <w:footnoteRef/>
      </w:r>
      <w:r w:rsidRPr="00351F21">
        <w:rPr>
          <w:sz w:val="20"/>
        </w:rPr>
        <w:t xml:space="preserve"> COM(</w:t>
      </w:r>
      <w:r w:rsidRPr="00293B48">
        <w:rPr>
          <w:sz w:val="20"/>
          <w:lang w:val="en-GB"/>
        </w:rPr>
        <w:t>2016) 766 final, introduction.</w:t>
      </w:r>
    </w:p>
  </w:footnote>
  <w:footnote w:id="51">
    <w:p w14:paraId="01220EE7" w14:textId="77777777" w:rsidR="00336410" w:rsidRPr="00293B48" w:rsidRDefault="00336410" w:rsidP="00482C62">
      <w:pPr>
        <w:pStyle w:val="Textdenotaapeudepgina"/>
        <w:rPr>
          <w:sz w:val="20"/>
          <w:lang w:val="en-GB"/>
        </w:rPr>
      </w:pPr>
      <w:r w:rsidRPr="00293B48">
        <w:rPr>
          <w:rStyle w:val="Refernciadenotaapeudepgina"/>
          <w:sz w:val="20"/>
          <w:lang w:val="en-GB"/>
        </w:rPr>
        <w:footnoteRef/>
      </w:r>
      <w:r w:rsidRPr="00293B48">
        <w:rPr>
          <w:sz w:val="20"/>
          <w:lang w:val="en-GB"/>
        </w:rPr>
        <w:t xml:space="preserve"> COM(2016) 766 final, par</w:t>
      </w:r>
      <w:r>
        <w:rPr>
          <w:sz w:val="20"/>
          <w:lang w:val="en-GB"/>
        </w:rPr>
        <w:t>.</w:t>
      </w:r>
      <w:r w:rsidRPr="00293B48">
        <w:rPr>
          <w:sz w:val="20"/>
          <w:lang w:val="en-GB"/>
        </w:rPr>
        <w:t xml:space="preserve"> 4.</w:t>
      </w:r>
    </w:p>
  </w:footnote>
  <w:footnote w:id="52">
    <w:p w14:paraId="12A25916" w14:textId="732B66E6" w:rsidR="00336410" w:rsidRPr="00293B48" w:rsidRDefault="00336410" w:rsidP="00482C62">
      <w:pPr>
        <w:pStyle w:val="Textdenotaapeudepgina"/>
        <w:rPr>
          <w:sz w:val="20"/>
          <w:lang w:val="en-GB"/>
        </w:rPr>
      </w:pPr>
      <w:r w:rsidRPr="00293B48">
        <w:rPr>
          <w:rStyle w:val="Refernciadenotaapeudepgina"/>
          <w:sz w:val="20"/>
          <w:lang w:val="en-GB"/>
        </w:rPr>
        <w:footnoteRef/>
      </w:r>
      <w:r w:rsidRPr="00293B48">
        <w:rPr>
          <w:sz w:val="20"/>
          <w:lang w:val="en-GB"/>
        </w:rPr>
        <w:t xml:space="preserve"> Á</w:t>
      </w:r>
      <w:r>
        <w:rPr>
          <w:sz w:val="20"/>
          <w:lang w:val="en-GB"/>
        </w:rPr>
        <w:t xml:space="preserve">. Aparicio </w:t>
      </w:r>
      <w:proofErr w:type="spellStart"/>
      <w:r>
        <w:rPr>
          <w:sz w:val="20"/>
          <w:lang w:val="en-GB"/>
        </w:rPr>
        <w:t>Benayas</w:t>
      </w:r>
      <w:proofErr w:type="spellEnd"/>
      <w:r>
        <w:rPr>
          <w:sz w:val="20"/>
          <w:lang w:val="en-GB"/>
        </w:rPr>
        <w:t xml:space="preserve">, </w:t>
      </w:r>
      <w:r w:rsidRPr="00293B48">
        <w:rPr>
          <w:sz w:val="20"/>
          <w:lang w:val="en-GB"/>
        </w:rPr>
        <w:t xml:space="preserve">La </w:t>
      </w:r>
      <w:proofErr w:type="spellStart"/>
      <w:r w:rsidRPr="00293B48">
        <w:rPr>
          <w:sz w:val="20"/>
          <w:lang w:val="en-GB"/>
        </w:rPr>
        <w:t>nueva</w:t>
      </w:r>
      <w:proofErr w:type="spellEnd"/>
      <w:r w:rsidRPr="00293B48">
        <w:rPr>
          <w:sz w:val="20"/>
          <w:lang w:val="en-GB"/>
        </w:rPr>
        <w:t xml:space="preserve"> </w:t>
      </w:r>
      <w:proofErr w:type="spellStart"/>
      <w:r w:rsidRPr="00293B48">
        <w:rPr>
          <w:sz w:val="20"/>
          <w:lang w:val="en-GB"/>
        </w:rPr>
        <w:t>movilidad</w:t>
      </w:r>
      <w:proofErr w:type="spellEnd"/>
      <w:r w:rsidRPr="00293B48">
        <w:rPr>
          <w:sz w:val="20"/>
          <w:lang w:val="en-GB"/>
        </w:rPr>
        <w:t xml:space="preserve"> </w:t>
      </w:r>
      <w:proofErr w:type="spellStart"/>
      <w:r w:rsidRPr="00293B48">
        <w:rPr>
          <w:sz w:val="20"/>
          <w:lang w:val="en-GB"/>
        </w:rPr>
        <w:t>será</w:t>
      </w:r>
      <w:proofErr w:type="spellEnd"/>
      <w:r w:rsidRPr="00293B48">
        <w:rPr>
          <w:sz w:val="20"/>
          <w:lang w:val="en-GB"/>
        </w:rPr>
        <w:t xml:space="preserve"> </w:t>
      </w:r>
      <w:proofErr w:type="spellStart"/>
      <w:r w:rsidRPr="00293B48">
        <w:rPr>
          <w:sz w:val="20"/>
          <w:lang w:val="en-GB"/>
        </w:rPr>
        <w:t>autónoma</w:t>
      </w:r>
      <w:proofErr w:type="spellEnd"/>
      <w:r w:rsidRPr="00293B48">
        <w:rPr>
          <w:sz w:val="20"/>
          <w:lang w:val="en-GB"/>
        </w:rPr>
        <w:t xml:space="preserve">, </w:t>
      </w:r>
      <w:proofErr w:type="spellStart"/>
      <w:r w:rsidRPr="00293B48">
        <w:rPr>
          <w:sz w:val="20"/>
          <w:lang w:val="en-GB"/>
        </w:rPr>
        <w:t>conectada</w:t>
      </w:r>
      <w:proofErr w:type="spellEnd"/>
      <w:r w:rsidRPr="00293B48">
        <w:rPr>
          <w:sz w:val="20"/>
          <w:lang w:val="en-GB"/>
        </w:rPr>
        <w:t xml:space="preserve">, </w:t>
      </w:r>
      <w:proofErr w:type="spellStart"/>
      <w:r w:rsidRPr="00293B48">
        <w:rPr>
          <w:sz w:val="20"/>
          <w:lang w:val="en-GB"/>
        </w:rPr>
        <w:t>compartida</w:t>
      </w:r>
      <w:proofErr w:type="spellEnd"/>
      <w:r w:rsidRPr="00293B48">
        <w:rPr>
          <w:sz w:val="20"/>
          <w:lang w:val="en-GB"/>
        </w:rPr>
        <w:t xml:space="preserve"> y </w:t>
      </w:r>
      <w:proofErr w:type="spellStart"/>
      <w:r w:rsidRPr="00293B48">
        <w:rPr>
          <w:sz w:val="20"/>
          <w:lang w:val="en-GB"/>
        </w:rPr>
        <w:t>eléctrica</w:t>
      </w:r>
      <w:proofErr w:type="spellEnd"/>
      <w:r w:rsidRPr="00293B48">
        <w:rPr>
          <w:sz w:val="20"/>
          <w:lang w:val="en-GB"/>
        </w:rPr>
        <w:t xml:space="preserve">, </w:t>
      </w:r>
      <w:proofErr w:type="spellStart"/>
      <w:r w:rsidRPr="00796191">
        <w:rPr>
          <w:sz w:val="20"/>
          <w:lang w:val="en-GB"/>
        </w:rPr>
        <w:t>Cesvimap</w:t>
      </w:r>
      <w:proofErr w:type="spellEnd"/>
      <w:r w:rsidRPr="00796191">
        <w:rPr>
          <w:sz w:val="20"/>
          <w:lang w:val="en-GB"/>
        </w:rPr>
        <w:t xml:space="preserve">: </w:t>
      </w:r>
      <w:proofErr w:type="spellStart"/>
      <w:r w:rsidRPr="00796191">
        <w:rPr>
          <w:sz w:val="20"/>
          <w:lang w:val="en-GB"/>
        </w:rPr>
        <w:t>Publicación</w:t>
      </w:r>
      <w:proofErr w:type="spellEnd"/>
      <w:r w:rsidRPr="00796191">
        <w:rPr>
          <w:sz w:val="20"/>
          <w:lang w:val="en-GB"/>
        </w:rPr>
        <w:t xml:space="preserve"> </w:t>
      </w:r>
      <w:proofErr w:type="spellStart"/>
      <w:r w:rsidRPr="00796191">
        <w:rPr>
          <w:sz w:val="20"/>
          <w:lang w:val="en-GB"/>
        </w:rPr>
        <w:t>técnica</w:t>
      </w:r>
      <w:proofErr w:type="spellEnd"/>
      <w:r w:rsidRPr="00796191">
        <w:rPr>
          <w:sz w:val="20"/>
          <w:lang w:val="en-GB"/>
        </w:rPr>
        <w:t xml:space="preserve"> del Centro de </w:t>
      </w:r>
      <w:proofErr w:type="spellStart"/>
      <w:r w:rsidRPr="00796191">
        <w:rPr>
          <w:sz w:val="20"/>
          <w:lang w:val="en-GB"/>
        </w:rPr>
        <w:t>Experimentación</w:t>
      </w:r>
      <w:proofErr w:type="spellEnd"/>
      <w:r w:rsidRPr="00796191">
        <w:rPr>
          <w:sz w:val="20"/>
          <w:lang w:val="en-GB"/>
        </w:rPr>
        <w:t xml:space="preserve"> y </w:t>
      </w:r>
      <w:proofErr w:type="spellStart"/>
      <w:r w:rsidRPr="00796191">
        <w:rPr>
          <w:sz w:val="20"/>
          <w:lang w:val="en-GB"/>
        </w:rPr>
        <w:t>Seguridad</w:t>
      </w:r>
      <w:proofErr w:type="spellEnd"/>
      <w:r w:rsidRPr="00796191">
        <w:rPr>
          <w:sz w:val="20"/>
          <w:lang w:val="en-GB"/>
        </w:rPr>
        <w:t xml:space="preserve"> Vial </w:t>
      </w:r>
      <w:proofErr w:type="spellStart"/>
      <w:r w:rsidRPr="00796191">
        <w:rPr>
          <w:sz w:val="20"/>
          <w:lang w:val="en-GB"/>
        </w:rPr>
        <w:t>Mapfre</w:t>
      </w:r>
      <w:proofErr w:type="spellEnd"/>
      <w:r>
        <w:rPr>
          <w:sz w:val="20"/>
          <w:lang w:val="en-GB"/>
        </w:rPr>
        <w:t xml:space="preserve"> 102</w:t>
      </w:r>
      <w:r w:rsidRPr="00796191">
        <w:rPr>
          <w:sz w:val="20"/>
          <w:lang w:val="en-GB"/>
        </w:rPr>
        <w:t xml:space="preserve"> </w:t>
      </w:r>
      <w:r>
        <w:rPr>
          <w:sz w:val="20"/>
          <w:lang w:val="en-GB"/>
        </w:rPr>
        <w:t>(</w:t>
      </w:r>
      <w:r w:rsidRPr="00796191">
        <w:rPr>
          <w:sz w:val="20"/>
          <w:lang w:val="en-GB"/>
        </w:rPr>
        <w:t>2017</w:t>
      </w:r>
      <w:r>
        <w:rPr>
          <w:sz w:val="20"/>
          <w:lang w:val="en-GB"/>
        </w:rPr>
        <w:t>)</w:t>
      </w:r>
      <w:r w:rsidRPr="00293B48">
        <w:rPr>
          <w:sz w:val="20"/>
          <w:lang w:val="en-GB"/>
        </w:rPr>
        <w:t xml:space="preserve"> p. 46, with quote from the speaker Rubén Aparicio-</w:t>
      </w:r>
      <w:proofErr w:type="spellStart"/>
      <w:r w:rsidRPr="00293B48">
        <w:rPr>
          <w:sz w:val="20"/>
          <w:lang w:val="en-GB"/>
        </w:rPr>
        <w:t>Mourelo</w:t>
      </w:r>
      <w:proofErr w:type="spellEnd"/>
      <w:r w:rsidRPr="00293B48">
        <w:rPr>
          <w:sz w:val="20"/>
          <w:lang w:val="en-GB"/>
        </w:rPr>
        <w:t xml:space="preserve"> Alonso, deputy manager of CESVIMAP, R&amp;D </w:t>
      </w:r>
      <w:r>
        <w:rPr>
          <w:sz w:val="20"/>
          <w:lang w:val="en-GB"/>
        </w:rPr>
        <w:t>manager</w:t>
      </w:r>
      <w:r w:rsidRPr="00293B48">
        <w:rPr>
          <w:sz w:val="20"/>
          <w:lang w:val="en-GB"/>
        </w:rPr>
        <w:t xml:space="preserve">, in the </w:t>
      </w:r>
      <w:r>
        <w:rPr>
          <w:sz w:val="20"/>
          <w:lang w:val="en-GB"/>
        </w:rPr>
        <w:t>series</w:t>
      </w:r>
      <w:r w:rsidRPr="00293B48">
        <w:rPr>
          <w:sz w:val="20"/>
          <w:lang w:val="en-GB"/>
        </w:rPr>
        <w:t xml:space="preserve"> of conferences on New Mobility Patterns at the Catholic University of Ávila. </w:t>
      </w:r>
    </w:p>
  </w:footnote>
  <w:footnote w:id="53">
    <w:p w14:paraId="79405810" w14:textId="37D52C19" w:rsidR="00336410" w:rsidRPr="00293B48" w:rsidRDefault="00336410" w:rsidP="00482C62">
      <w:pPr>
        <w:pStyle w:val="Textdenotaapeudepgina"/>
        <w:rPr>
          <w:sz w:val="20"/>
          <w:lang w:val="en-GB"/>
        </w:rPr>
      </w:pPr>
      <w:r w:rsidRPr="00293B48">
        <w:rPr>
          <w:rStyle w:val="Refernciadenotaapeudepgina"/>
          <w:sz w:val="20"/>
          <w:lang w:val="en-GB"/>
        </w:rPr>
        <w:footnoteRef/>
      </w:r>
      <w:r w:rsidRPr="00293B48">
        <w:rPr>
          <w:sz w:val="20"/>
          <w:lang w:val="en-GB"/>
        </w:rPr>
        <w:t xml:space="preserve"> See </w:t>
      </w:r>
      <w:proofErr w:type="spellStart"/>
      <w:r w:rsidRPr="00293B48">
        <w:rPr>
          <w:sz w:val="20"/>
          <w:lang w:val="en-GB"/>
        </w:rPr>
        <w:t>Dirección</w:t>
      </w:r>
      <w:proofErr w:type="spellEnd"/>
      <w:r w:rsidRPr="00293B48">
        <w:rPr>
          <w:sz w:val="20"/>
          <w:lang w:val="en-GB"/>
        </w:rPr>
        <w:t xml:space="preserve"> General de </w:t>
      </w:r>
      <w:proofErr w:type="spellStart"/>
      <w:r w:rsidRPr="00293B48">
        <w:rPr>
          <w:sz w:val="20"/>
          <w:lang w:val="en-GB"/>
        </w:rPr>
        <w:t>Tráfico</w:t>
      </w:r>
      <w:proofErr w:type="spellEnd"/>
      <w:r w:rsidRPr="00293B48">
        <w:rPr>
          <w:sz w:val="20"/>
          <w:lang w:val="en-GB"/>
        </w:rPr>
        <w:t xml:space="preserve">: </w:t>
      </w:r>
      <w:hyperlink r:id="rId11" w:history="1">
        <w:r w:rsidRPr="00293B48">
          <w:rPr>
            <w:rStyle w:val="Enlla"/>
            <w:sz w:val="20"/>
            <w:u w:val="none"/>
            <w:lang w:val="en-GB"/>
          </w:rPr>
          <w:t>https:</w:t>
        </w:r>
      </w:hyperlink>
      <w:r w:rsidRPr="00293B48">
        <w:rPr>
          <w:sz w:val="20"/>
          <w:lang w:val="en-GB"/>
        </w:rPr>
        <w:t xml:space="preserve">//bit.ly/3Gc6uHt, accessed </w:t>
      </w:r>
      <w:r>
        <w:rPr>
          <w:sz w:val="20"/>
          <w:lang w:val="en-GB"/>
        </w:rPr>
        <w:t>6 February 2023</w:t>
      </w:r>
      <w:r w:rsidRPr="00293B48">
        <w:rPr>
          <w:sz w:val="20"/>
          <w:lang w:val="en-GB"/>
        </w:rPr>
        <w:t>.</w:t>
      </w:r>
    </w:p>
  </w:footnote>
  <w:footnote w:id="54">
    <w:p w14:paraId="347F568F" w14:textId="51AFFB2B" w:rsidR="00336410" w:rsidRPr="00293B48" w:rsidRDefault="00336410" w:rsidP="00482C62">
      <w:pPr>
        <w:pStyle w:val="Textdenotaapeudepgina"/>
        <w:rPr>
          <w:sz w:val="20"/>
          <w:lang w:val="en-GB"/>
        </w:rPr>
      </w:pPr>
      <w:r w:rsidRPr="00293B48">
        <w:rPr>
          <w:rStyle w:val="Refernciadenotaapeudepgina"/>
          <w:sz w:val="20"/>
          <w:lang w:val="en-GB"/>
        </w:rPr>
        <w:footnoteRef/>
      </w:r>
      <w:r>
        <w:rPr>
          <w:sz w:val="20"/>
          <w:lang w:val="en-GB"/>
        </w:rPr>
        <w:t xml:space="preserve"> See V. </w:t>
      </w:r>
      <w:proofErr w:type="spellStart"/>
      <w:r>
        <w:rPr>
          <w:sz w:val="20"/>
          <w:lang w:val="en-GB"/>
        </w:rPr>
        <w:t>Ilková</w:t>
      </w:r>
      <w:proofErr w:type="spellEnd"/>
      <w:r>
        <w:rPr>
          <w:sz w:val="20"/>
          <w:lang w:val="en-GB"/>
        </w:rPr>
        <w:t xml:space="preserve">, </w:t>
      </w:r>
      <w:r w:rsidRPr="00293B48">
        <w:rPr>
          <w:sz w:val="20"/>
          <w:lang w:val="en-GB"/>
        </w:rPr>
        <w:t>A. Ilka, Legal Aspects of Autonomous Vehicles - an Overview</w:t>
      </w:r>
      <w:r>
        <w:rPr>
          <w:sz w:val="20"/>
          <w:lang w:val="en-GB"/>
        </w:rPr>
        <w:t>,</w:t>
      </w:r>
      <w:r w:rsidRPr="00293B48">
        <w:rPr>
          <w:sz w:val="20"/>
          <w:lang w:val="en-GB"/>
        </w:rPr>
        <w:t xml:space="preserve"> in: Proceedings of the 2017 21st International Conference on Process Control (PC) (</w:t>
      </w:r>
      <w:proofErr w:type="spellStart"/>
      <w:r w:rsidRPr="00293B48">
        <w:rPr>
          <w:sz w:val="20"/>
          <w:lang w:val="en-GB"/>
        </w:rPr>
        <w:t>Štrbské</w:t>
      </w:r>
      <w:proofErr w:type="spellEnd"/>
      <w:r w:rsidRPr="00293B48">
        <w:rPr>
          <w:sz w:val="20"/>
          <w:lang w:val="en-GB"/>
        </w:rPr>
        <w:t xml:space="preserve"> </w:t>
      </w:r>
      <w:proofErr w:type="spellStart"/>
      <w:r w:rsidRPr="00293B48">
        <w:rPr>
          <w:sz w:val="20"/>
          <w:lang w:val="en-GB"/>
        </w:rPr>
        <w:t>Pleso</w:t>
      </w:r>
      <w:proofErr w:type="spellEnd"/>
      <w:r w:rsidRPr="00293B48">
        <w:rPr>
          <w:sz w:val="20"/>
          <w:lang w:val="en-GB"/>
        </w:rPr>
        <w:t>, Slovakia, June 6-9 2017</w:t>
      </w:r>
      <w:r>
        <w:rPr>
          <w:sz w:val="20"/>
          <w:lang w:val="en-GB"/>
        </w:rPr>
        <w:t xml:space="preserve">, pp. 428-429; </w:t>
      </w:r>
      <w:r w:rsidRPr="00293B48">
        <w:rPr>
          <w:sz w:val="20"/>
          <w:lang w:val="en-GB"/>
        </w:rPr>
        <w:t xml:space="preserve">Z. </w:t>
      </w:r>
      <w:proofErr w:type="spellStart"/>
      <w:r w:rsidRPr="00293B48">
        <w:rPr>
          <w:sz w:val="20"/>
          <w:lang w:val="en-GB"/>
        </w:rPr>
        <w:t>Altunyldiz</w:t>
      </w:r>
      <w:proofErr w:type="spellEnd"/>
      <w:r w:rsidRPr="00293B48">
        <w:rPr>
          <w:sz w:val="20"/>
          <w:lang w:val="en-GB"/>
        </w:rPr>
        <w:t xml:space="preserve"> (rapporteur), Legal aspects of </w:t>
      </w:r>
      <w:r>
        <w:rPr>
          <w:sz w:val="20"/>
          <w:lang w:val="en-GB"/>
        </w:rPr>
        <w:t>‘</w:t>
      </w:r>
      <w:r w:rsidRPr="00293B48">
        <w:rPr>
          <w:sz w:val="20"/>
          <w:lang w:val="en-GB"/>
        </w:rPr>
        <w:t>autonomous vehicles, Committee on Legal Affairs and Human Rights of the Counci</w:t>
      </w:r>
      <w:r>
        <w:rPr>
          <w:sz w:val="20"/>
          <w:lang w:val="en-GB"/>
        </w:rPr>
        <w:t>l of Europe, 2020, par. C.1.2.5; SAE</w:t>
      </w:r>
      <w:r w:rsidRPr="00293B48">
        <w:rPr>
          <w:sz w:val="20"/>
          <w:lang w:val="en-GB"/>
        </w:rPr>
        <w:t xml:space="preserve"> website, at https:</w:t>
      </w:r>
      <w:r>
        <w:rPr>
          <w:sz w:val="20"/>
          <w:lang w:val="en-GB"/>
        </w:rPr>
        <w:t>//bit.ly/3RoOgox, accessed on 6</w:t>
      </w:r>
      <w:r w:rsidRPr="00293B48">
        <w:rPr>
          <w:sz w:val="20"/>
          <w:lang w:val="en-GB"/>
        </w:rPr>
        <w:t xml:space="preserve"> </w:t>
      </w:r>
      <w:r>
        <w:rPr>
          <w:sz w:val="20"/>
          <w:lang w:val="en-GB"/>
        </w:rPr>
        <w:t>February 2023</w:t>
      </w:r>
      <w:r w:rsidRPr="00293B48">
        <w:rPr>
          <w:sz w:val="20"/>
          <w:lang w:val="en-GB"/>
        </w:rPr>
        <w:t>.</w:t>
      </w:r>
    </w:p>
  </w:footnote>
  <w:footnote w:id="55">
    <w:p w14:paraId="236C51EA" w14:textId="3A059A09" w:rsidR="00336410" w:rsidRPr="00336410" w:rsidRDefault="00336410" w:rsidP="0068422E">
      <w:pPr>
        <w:pStyle w:val="Textdenotaapeudepgina"/>
        <w:rPr>
          <w:sz w:val="20"/>
          <w:lang w:val="en-GB"/>
        </w:rPr>
      </w:pPr>
      <w:r w:rsidRPr="00351F21">
        <w:rPr>
          <w:rStyle w:val="Refernciadenotaapeudepgina"/>
          <w:sz w:val="20"/>
        </w:rPr>
        <w:footnoteRef/>
      </w:r>
      <w:r w:rsidRPr="00351F21">
        <w:rPr>
          <w:sz w:val="20"/>
        </w:rPr>
        <w:t xml:space="preserve"> </w:t>
      </w:r>
      <w:r w:rsidRPr="007A1F83">
        <w:rPr>
          <w:sz w:val="20"/>
          <w:lang w:val="en-GB"/>
        </w:rPr>
        <w:t>B. A. Browne, Self-Driving Cars: On the Road to a New Regulatory Era,</w:t>
      </w:r>
      <w:r w:rsidRPr="00336410">
        <w:rPr>
          <w:sz w:val="20"/>
          <w:lang w:val="en-GB"/>
        </w:rPr>
        <w:t xml:space="preserve"> Journal of Law, Technology &amp; the Internet</w:t>
      </w:r>
      <w:r>
        <w:rPr>
          <w:sz w:val="20"/>
          <w:lang w:val="en-GB"/>
        </w:rPr>
        <w:t xml:space="preserve"> 8(1) (2017)</w:t>
      </w:r>
      <w:r w:rsidRPr="00336410">
        <w:rPr>
          <w:sz w:val="20"/>
          <w:lang w:val="en-GB"/>
        </w:rPr>
        <w:t>, pp. 1-2</w:t>
      </w:r>
      <w:r>
        <w:rPr>
          <w:sz w:val="20"/>
          <w:lang w:val="en-GB"/>
        </w:rPr>
        <w:t>.</w:t>
      </w:r>
    </w:p>
  </w:footnote>
  <w:footnote w:id="56">
    <w:p w14:paraId="0D8F4E1C" w14:textId="77777777" w:rsidR="00336410" w:rsidRPr="007A1F83" w:rsidRDefault="00336410" w:rsidP="0068422E">
      <w:pPr>
        <w:pStyle w:val="Textdenotaapeudepgina"/>
        <w:rPr>
          <w:sz w:val="20"/>
          <w:lang w:val="en-GB"/>
        </w:rPr>
      </w:pPr>
      <w:r w:rsidRPr="007A1F83">
        <w:rPr>
          <w:rStyle w:val="Refernciadenotaapeudepgina"/>
          <w:sz w:val="20"/>
          <w:lang w:val="en-GB"/>
        </w:rPr>
        <w:footnoteRef/>
      </w:r>
      <w:r w:rsidRPr="007A1F83">
        <w:rPr>
          <w:sz w:val="20"/>
          <w:lang w:val="en-GB"/>
        </w:rPr>
        <w:t xml:space="preserve"> Official Journal of the European Union, C 411/2 of 27 November 2020.</w:t>
      </w:r>
    </w:p>
  </w:footnote>
  <w:footnote w:id="57">
    <w:p w14:paraId="4DB44251" w14:textId="0AF5AD05" w:rsidR="00336410" w:rsidRPr="00336410" w:rsidRDefault="00336410" w:rsidP="0068422E">
      <w:pPr>
        <w:pStyle w:val="Textdenotaapeudepgina"/>
        <w:rPr>
          <w:sz w:val="20"/>
          <w:lang w:val="en-GB"/>
        </w:rPr>
      </w:pPr>
      <w:r w:rsidRPr="007A1F83">
        <w:rPr>
          <w:rStyle w:val="Refernciadenotaapeudepgina"/>
          <w:sz w:val="20"/>
          <w:lang w:val="en-GB"/>
        </w:rPr>
        <w:footnoteRef/>
      </w:r>
      <w:r>
        <w:rPr>
          <w:sz w:val="20"/>
          <w:lang w:val="en-GB"/>
        </w:rPr>
        <w:t xml:space="preserve"> </w:t>
      </w:r>
      <w:r w:rsidRPr="00336410">
        <w:rPr>
          <w:sz w:val="20"/>
          <w:lang w:val="en-GB"/>
        </w:rPr>
        <w:t xml:space="preserve">At </w:t>
      </w:r>
      <w:hyperlink r:id="rId12" w:history="1">
        <w:r w:rsidRPr="00336410">
          <w:rPr>
            <w:rStyle w:val="Enlla"/>
            <w:sz w:val="20"/>
            <w:u w:val="none"/>
            <w:lang w:val="en-GB"/>
          </w:rPr>
          <w:t>https://bit.ly/3klYUkT</w:t>
        </w:r>
      </w:hyperlink>
      <w:r w:rsidRPr="00336410">
        <w:rPr>
          <w:sz w:val="20"/>
          <w:lang w:val="en-GB"/>
        </w:rPr>
        <w:t>, accessed on 6 February 2023.</w:t>
      </w:r>
    </w:p>
  </w:footnote>
  <w:footnote w:id="58">
    <w:p w14:paraId="1760F578" w14:textId="2FD59E4F" w:rsidR="00336410" w:rsidRPr="00336410" w:rsidRDefault="00336410" w:rsidP="0068422E">
      <w:pPr>
        <w:pStyle w:val="Textdenotaapeudepgina"/>
        <w:rPr>
          <w:sz w:val="20"/>
          <w:lang w:val="en-GB"/>
        </w:rPr>
      </w:pPr>
      <w:r w:rsidRPr="00336410">
        <w:rPr>
          <w:rStyle w:val="Refernciadenotaapeudepgina"/>
          <w:sz w:val="20"/>
          <w:lang w:val="en-GB"/>
        </w:rPr>
        <w:footnoteRef/>
      </w:r>
      <w:r w:rsidRPr="00336410">
        <w:rPr>
          <w:sz w:val="20"/>
          <w:lang w:val="en-GB"/>
        </w:rPr>
        <w:t xml:space="preserve"> At </w:t>
      </w:r>
      <w:hyperlink r:id="rId13" w:history="1">
        <w:r w:rsidRPr="00336410">
          <w:rPr>
            <w:rStyle w:val="Enlla"/>
            <w:sz w:val="20"/>
            <w:u w:val="none"/>
            <w:lang w:val="en-GB"/>
          </w:rPr>
          <w:t>https://reut.rs/3CPcR1c</w:t>
        </w:r>
      </w:hyperlink>
      <w:r w:rsidRPr="00336410">
        <w:rPr>
          <w:sz w:val="20"/>
          <w:lang w:val="en-GB"/>
        </w:rPr>
        <w:t>, accessed on 6 February 2023.</w:t>
      </w:r>
    </w:p>
  </w:footnote>
  <w:footnote w:id="59">
    <w:p w14:paraId="7DB5C07A" w14:textId="56B49F56" w:rsidR="00336410" w:rsidRPr="00336410" w:rsidRDefault="00336410" w:rsidP="0068422E">
      <w:pPr>
        <w:pStyle w:val="Textdenotaapeudepgina"/>
        <w:rPr>
          <w:sz w:val="20"/>
          <w:lang w:val="en-GB"/>
        </w:rPr>
      </w:pPr>
      <w:r w:rsidRPr="00336410">
        <w:rPr>
          <w:rStyle w:val="Refernciadenotaapeudepgina"/>
          <w:sz w:val="20"/>
          <w:lang w:val="en-GB"/>
        </w:rPr>
        <w:footnoteRef/>
      </w:r>
      <w:r w:rsidRPr="00336410">
        <w:rPr>
          <w:sz w:val="20"/>
          <w:lang w:val="en-GB"/>
        </w:rPr>
        <w:t xml:space="preserve"> At </w:t>
      </w:r>
      <w:hyperlink r:id="rId14" w:history="1">
        <w:r w:rsidRPr="00336410">
          <w:rPr>
            <w:rStyle w:val="Enlla"/>
            <w:sz w:val="20"/>
            <w:u w:val="none"/>
            <w:lang w:val="en-GB"/>
          </w:rPr>
          <w:t>https://bit.ly/3Xukdz6</w:t>
        </w:r>
      </w:hyperlink>
      <w:r w:rsidRPr="00336410">
        <w:rPr>
          <w:sz w:val="20"/>
          <w:lang w:val="en-GB"/>
        </w:rPr>
        <w:t>, accessed on 6 February 2023.</w:t>
      </w:r>
    </w:p>
  </w:footnote>
  <w:footnote w:id="60">
    <w:p w14:paraId="40A5F7E4" w14:textId="47473230" w:rsidR="00336410" w:rsidRPr="007A1F83" w:rsidRDefault="00336410" w:rsidP="0068422E">
      <w:pPr>
        <w:pStyle w:val="Textdenotaapeudepgina"/>
        <w:rPr>
          <w:sz w:val="20"/>
          <w:lang w:val="en-GB"/>
        </w:rPr>
      </w:pPr>
      <w:r w:rsidRPr="00336410">
        <w:rPr>
          <w:rStyle w:val="Refernciadenotaapeudepgina"/>
          <w:sz w:val="20"/>
          <w:lang w:val="en-GB"/>
        </w:rPr>
        <w:footnoteRef/>
      </w:r>
      <w:r w:rsidRPr="00336410">
        <w:rPr>
          <w:sz w:val="20"/>
          <w:lang w:val="en-GB"/>
        </w:rPr>
        <w:t xml:space="preserve"> At </w:t>
      </w:r>
      <w:hyperlink r:id="rId15" w:history="1">
        <w:r w:rsidRPr="00336410">
          <w:rPr>
            <w:rStyle w:val="Enlla"/>
            <w:sz w:val="20"/>
            <w:u w:val="none"/>
            <w:lang w:val="en-GB"/>
          </w:rPr>
          <w:t>https://bit.ly/3hX3zsG</w:t>
        </w:r>
      </w:hyperlink>
      <w:r w:rsidRPr="00336410">
        <w:rPr>
          <w:sz w:val="20"/>
          <w:lang w:val="en-GB"/>
        </w:rPr>
        <w:t>,</w:t>
      </w:r>
      <w:r>
        <w:rPr>
          <w:sz w:val="20"/>
          <w:lang w:val="en-GB"/>
        </w:rPr>
        <w:t xml:space="preserve"> </w:t>
      </w:r>
      <w:r w:rsidRPr="00336410">
        <w:rPr>
          <w:sz w:val="20"/>
          <w:lang w:val="en-GB"/>
        </w:rPr>
        <w:t>accessed on 6 February 2023.</w:t>
      </w:r>
    </w:p>
  </w:footnote>
  <w:footnote w:id="61">
    <w:p w14:paraId="3A23AB23" w14:textId="47622BF9" w:rsidR="00336410" w:rsidRPr="007A1F83" w:rsidRDefault="00336410" w:rsidP="0068422E">
      <w:pPr>
        <w:pStyle w:val="Textdenotaapeudepgina"/>
        <w:rPr>
          <w:sz w:val="20"/>
          <w:lang w:val="en-GB"/>
        </w:rPr>
      </w:pPr>
      <w:r w:rsidRPr="007A1F83">
        <w:rPr>
          <w:rStyle w:val="Refernciadenotaapeudepgina"/>
          <w:sz w:val="20"/>
          <w:lang w:val="en-GB"/>
        </w:rPr>
        <w:footnoteRef/>
      </w:r>
      <w:r w:rsidRPr="007A1F83">
        <w:rPr>
          <w:sz w:val="20"/>
          <w:lang w:val="en-GB"/>
        </w:rPr>
        <w:t xml:space="preserve"> COM</w:t>
      </w:r>
      <w:r>
        <w:rPr>
          <w:sz w:val="20"/>
          <w:lang w:val="en-GB"/>
        </w:rPr>
        <w:t xml:space="preserve"> </w:t>
      </w:r>
      <w:r w:rsidRPr="007A1F83">
        <w:rPr>
          <w:sz w:val="20"/>
          <w:lang w:val="en-GB"/>
        </w:rPr>
        <w:t xml:space="preserve">(2018) 293 final, </w:t>
      </w:r>
      <w:r>
        <w:rPr>
          <w:sz w:val="20"/>
          <w:lang w:val="en-GB"/>
        </w:rPr>
        <w:t>par 3.1</w:t>
      </w:r>
      <w:r w:rsidRPr="007A1F83">
        <w:rPr>
          <w:sz w:val="20"/>
          <w:lang w:val="en-GB"/>
        </w:rPr>
        <w:t>.</w:t>
      </w:r>
    </w:p>
  </w:footnote>
  <w:footnote w:id="62">
    <w:p w14:paraId="0569383B" w14:textId="6B6063BD" w:rsidR="00336410" w:rsidRPr="00336410" w:rsidRDefault="00336410" w:rsidP="0068422E">
      <w:pPr>
        <w:pStyle w:val="Textdenotaapeudepgina"/>
        <w:rPr>
          <w:sz w:val="20"/>
          <w:lang w:val="en-GB"/>
        </w:rPr>
      </w:pPr>
      <w:r w:rsidRPr="007A1F83">
        <w:rPr>
          <w:rStyle w:val="Refernciadenotaapeudepgina"/>
          <w:sz w:val="20"/>
          <w:lang w:val="en-GB"/>
        </w:rPr>
        <w:footnoteRef/>
      </w:r>
      <w:r w:rsidRPr="007A1F83">
        <w:rPr>
          <w:sz w:val="20"/>
          <w:lang w:val="en-GB"/>
        </w:rPr>
        <w:t xml:space="preserve"> C</w:t>
      </w:r>
      <w:r>
        <w:rPr>
          <w:sz w:val="20"/>
          <w:lang w:val="en-GB"/>
        </w:rPr>
        <w:t xml:space="preserve">. </w:t>
      </w:r>
      <w:proofErr w:type="spellStart"/>
      <w:r>
        <w:rPr>
          <w:sz w:val="20"/>
          <w:lang w:val="en-GB"/>
        </w:rPr>
        <w:t>Pitarque</w:t>
      </w:r>
      <w:proofErr w:type="spellEnd"/>
      <w:r>
        <w:rPr>
          <w:sz w:val="20"/>
          <w:lang w:val="en-GB"/>
        </w:rPr>
        <w:t xml:space="preserve">, </w:t>
      </w:r>
      <w:r w:rsidRPr="007A1F83">
        <w:rPr>
          <w:sz w:val="20"/>
          <w:lang w:val="en-GB"/>
        </w:rPr>
        <w:t>X</w:t>
      </w:r>
      <w:r>
        <w:rPr>
          <w:sz w:val="20"/>
          <w:lang w:val="en-GB"/>
        </w:rPr>
        <w:t xml:space="preserve">. </w:t>
      </w:r>
      <w:r w:rsidRPr="007A1F83">
        <w:rPr>
          <w:sz w:val="20"/>
          <w:lang w:val="en-GB"/>
        </w:rPr>
        <w:t xml:space="preserve">Daura, </w:t>
      </w:r>
      <w:proofErr w:type="spellStart"/>
      <w:r w:rsidRPr="007A1F83">
        <w:rPr>
          <w:sz w:val="20"/>
          <w:lang w:val="en-GB"/>
        </w:rPr>
        <w:t>Autopistas</w:t>
      </w:r>
      <w:proofErr w:type="spellEnd"/>
      <w:r w:rsidRPr="007A1F83">
        <w:rPr>
          <w:sz w:val="20"/>
          <w:lang w:val="en-GB"/>
        </w:rPr>
        <w:t xml:space="preserve"> </w:t>
      </w:r>
      <w:proofErr w:type="spellStart"/>
      <w:r w:rsidRPr="007A1F83">
        <w:rPr>
          <w:sz w:val="20"/>
          <w:lang w:val="en-GB"/>
        </w:rPr>
        <w:t>inteligentes</w:t>
      </w:r>
      <w:proofErr w:type="spellEnd"/>
      <w:r w:rsidRPr="007A1F83">
        <w:rPr>
          <w:sz w:val="20"/>
          <w:lang w:val="en-GB"/>
        </w:rPr>
        <w:t xml:space="preserve"> y </w:t>
      </w:r>
      <w:proofErr w:type="spellStart"/>
      <w:r w:rsidRPr="007A1F83">
        <w:rPr>
          <w:sz w:val="20"/>
          <w:lang w:val="en-GB"/>
        </w:rPr>
        <w:t>movilidad</w:t>
      </w:r>
      <w:proofErr w:type="spellEnd"/>
      <w:r w:rsidRPr="007A1F83">
        <w:rPr>
          <w:sz w:val="20"/>
          <w:lang w:val="en-GB"/>
        </w:rPr>
        <w:t xml:space="preserve"> </w:t>
      </w:r>
      <w:proofErr w:type="spellStart"/>
      <w:r w:rsidRPr="007A1F83">
        <w:rPr>
          <w:sz w:val="20"/>
          <w:lang w:val="en-GB"/>
        </w:rPr>
        <w:t>integrada</w:t>
      </w:r>
      <w:proofErr w:type="spellEnd"/>
      <w:r w:rsidRPr="007A1F83">
        <w:rPr>
          <w:sz w:val="20"/>
          <w:lang w:val="en-GB"/>
        </w:rPr>
        <w:t xml:space="preserve">, </w:t>
      </w:r>
      <w:proofErr w:type="spellStart"/>
      <w:r w:rsidRPr="00336410">
        <w:rPr>
          <w:sz w:val="20"/>
          <w:lang w:val="en-GB"/>
        </w:rPr>
        <w:t>Carreteras</w:t>
      </w:r>
      <w:proofErr w:type="spellEnd"/>
      <w:r w:rsidRPr="00336410">
        <w:rPr>
          <w:sz w:val="20"/>
          <w:lang w:val="en-GB"/>
        </w:rPr>
        <w:t xml:space="preserve">: Revista </w:t>
      </w:r>
      <w:proofErr w:type="spellStart"/>
      <w:r w:rsidRPr="00336410">
        <w:rPr>
          <w:sz w:val="20"/>
          <w:lang w:val="en-GB"/>
        </w:rPr>
        <w:t>técnica</w:t>
      </w:r>
      <w:proofErr w:type="spellEnd"/>
      <w:r w:rsidRPr="00336410">
        <w:rPr>
          <w:sz w:val="20"/>
          <w:lang w:val="en-GB"/>
        </w:rPr>
        <w:t xml:space="preserve"> de la </w:t>
      </w:r>
      <w:proofErr w:type="spellStart"/>
      <w:r w:rsidRPr="00336410">
        <w:rPr>
          <w:sz w:val="20"/>
          <w:lang w:val="en-GB"/>
        </w:rPr>
        <w:t>Asociación</w:t>
      </w:r>
      <w:proofErr w:type="spellEnd"/>
      <w:r w:rsidRPr="00336410">
        <w:rPr>
          <w:sz w:val="20"/>
          <w:lang w:val="en-GB"/>
        </w:rPr>
        <w:t xml:space="preserve"> Española de la </w:t>
      </w:r>
      <w:proofErr w:type="spellStart"/>
      <w:r w:rsidRPr="00336410">
        <w:rPr>
          <w:sz w:val="20"/>
          <w:lang w:val="en-GB"/>
        </w:rPr>
        <w:t>Carretera</w:t>
      </w:r>
      <w:proofErr w:type="spellEnd"/>
      <w:r w:rsidRPr="00336410">
        <w:rPr>
          <w:sz w:val="20"/>
          <w:lang w:val="en-GB"/>
        </w:rPr>
        <w:t xml:space="preserve">, </w:t>
      </w:r>
      <w:r>
        <w:rPr>
          <w:sz w:val="20"/>
          <w:lang w:val="en-GB"/>
        </w:rPr>
        <w:t>219</w:t>
      </w:r>
      <w:r w:rsidRPr="00336410">
        <w:rPr>
          <w:sz w:val="20"/>
          <w:lang w:val="en-GB"/>
        </w:rPr>
        <w:t xml:space="preserve"> </w:t>
      </w:r>
      <w:r>
        <w:rPr>
          <w:sz w:val="20"/>
          <w:lang w:val="en-GB"/>
        </w:rPr>
        <w:t>(</w:t>
      </w:r>
      <w:r w:rsidRPr="00336410">
        <w:rPr>
          <w:sz w:val="20"/>
          <w:lang w:val="en-GB"/>
        </w:rPr>
        <w:t>2018</w:t>
      </w:r>
      <w:r>
        <w:rPr>
          <w:sz w:val="20"/>
          <w:lang w:val="en-GB"/>
        </w:rPr>
        <w:t>)</w:t>
      </w:r>
      <w:r w:rsidRPr="00336410">
        <w:rPr>
          <w:sz w:val="20"/>
          <w:lang w:val="en-GB"/>
        </w:rPr>
        <w:t>, p. 53.</w:t>
      </w:r>
    </w:p>
  </w:footnote>
  <w:footnote w:id="63">
    <w:p w14:paraId="309EF318" w14:textId="5F2DC58B" w:rsidR="00336410" w:rsidRPr="00126FBD" w:rsidRDefault="00336410" w:rsidP="0068422E">
      <w:pPr>
        <w:pStyle w:val="Textdenotaapeudepgina"/>
        <w:rPr>
          <w:sz w:val="20"/>
          <w:lang w:val="en-GB"/>
        </w:rPr>
      </w:pPr>
      <w:r w:rsidRPr="00126FBD">
        <w:rPr>
          <w:rStyle w:val="Refernciadenotaapeudepgina"/>
          <w:sz w:val="20"/>
          <w:lang w:val="en-GB"/>
        </w:rPr>
        <w:footnoteRef/>
      </w:r>
      <w:r>
        <w:rPr>
          <w:sz w:val="20"/>
          <w:lang w:val="en-GB"/>
        </w:rPr>
        <w:t xml:space="preserve"> See </w:t>
      </w:r>
      <w:r w:rsidRPr="00126FBD">
        <w:rPr>
          <w:sz w:val="20"/>
          <w:lang w:val="en-GB"/>
        </w:rPr>
        <w:t>H. Lipson</w:t>
      </w:r>
      <w:r>
        <w:rPr>
          <w:sz w:val="20"/>
          <w:lang w:val="en-GB"/>
        </w:rPr>
        <w:t>, M</w:t>
      </w:r>
      <w:r w:rsidRPr="00126FBD">
        <w:rPr>
          <w:sz w:val="20"/>
          <w:lang w:val="en-GB"/>
        </w:rPr>
        <w:t xml:space="preserve">. </w:t>
      </w:r>
      <w:proofErr w:type="spellStart"/>
      <w:r w:rsidRPr="00126FBD">
        <w:rPr>
          <w:sz w:val="20"/>
          <w:lang w:val="en-GB"/>
        </w:rPr>
        <w:t>Kurman</w:t>
      </w:r>
      <w:proofErr w:type="spellEnd"/>
      <w:r w:rsidRPr="00126FBD">
        <w:rPr>
          <w:sz w:val="20"/>
          <w:lang w:val="en-GB"/>
        </w:rPr>
        <w:t xml:space="preserve">: Driverless: Intelligent Cars and the </w:t>
      </w:r>
      <w:r>
        <w:rPr>
          <w:sz w:val="20"/>
          <w:lang w:val="en-GB"/>
        </w:rPr>
        <w:t>Road Ahead, The MIT Press, 2016;</w:t>
      </w:r>
      <w:r w:rsidRPr="00126FBD">
        <w:rPr>
          <w:sz w:val="20"/>
          <w:lang w:val="en-GB"/>
        </w:rPr>
        <w:t xml:space="preserve"> J. A. Pattinson</w:t>
      </w:r>
      <w:r>
        <w:rPr>
          <w:sz w:val="20"/>
          <w:lang w:val="en-GB"/>
        </w:rPr>
        <w:t xml:space="preserve">, H. Chen, S. </w:t>
      </w:r>
      <w:proofErr w:type="spellStart"/>
      <w:r>
        <w:rPr>
          <w:sz w:val="20"/>
          <w:lang w:val="en-GB"/>
        </w:rPr>
        <w:t>Basu</w:t>
      </w:r>
      <w:proofErr w:type="spellEnd"/>
      <w:r w:rsidRPr="00126FBD">
        <w:rPr>
          <w:sz w:val="20"/>
          <w:lang w:val="en-GB"/>
        </w:rPr>
        <w:t>, Legal issues in automated vehicles: critically considering the potential role of consent and interactive digital interfaces, Humanities &amp; Social Sciences Communications of University of Leeds</w:t>
      </w:r>
      <w:r w:rsidR="00FD2F63">
        <w:rPr>
          <w:sz w:val="20"/>
          <w:lang w:val="en-GB"/>
        </w:rPr>
        <w:t xml:space="preserve"> 7:153 (2020)</w:t>
      </w:r>
      <w:r w:rsidRPr="00126FBD">
        <w:rPr>
          <w:sz w:val="20"/>
          <w:lang w:val="en-GB"/>
        </w:rPr>
        <w:t>, p</w:t>
      </w:r>
      <w:r w:rsidR="00FD2F63">
        <w:rPr>
          <w:sz w:val="20"/>
          <w:lang w:val="en-GB"/>
        </w:rPr>
        <w:t>p</w:t>
      </w:r>
      <w:r w:rsidRPr="00126FBD">
        <w:rPr>
          <w:sz w:val="20"/>
          <w:lang w:val="en-GB"/>
        </w:rPr>
        <w:t>. 1-2.</w:t>
      </w:r>
    </w:p>
  </w:footnote>
  <w:footnote w:id="64">
    <w:p w14:paraId="50FE2054" w14:textId="5EC7ACBC" w:rsidR="00336410" w:rsidRPr="00126FBD" w:rsidRDefault="00336410" w:rsidP="00FD2F63">
      <w:pPr>
        <w:pStyle w:val="Textdenotaapeudepgina"/>
        <w:rPr>
          <w:sz w:val="20"/>
          <w:lang w:val="en-GB"/>
        </w:rPr>
      </w:pPr>
      <w:r w:rsidRPr="00126FBD">
        <w:rPr>
          <w:rStyle w:val="Refernciadenotaapeudepgina"/>
          <w:sz w:val="20"/>
          <w:lang w:val="en-GB"/>
        </w:rPr>
        <w:footnoteRef/>
      </w:r>
      <w:r w:rsidRPr="00126FBD">
        <w:rPr>
          <w:sz w:val="20"/>
          <w:lang w:val="en-GB"/>
        </w:rPr>
        <w:t xml:space="preserve"> </w:t>
      </w:r>
      <w:r w:rsidR="00FD2F63" w:rsidRPr="00FD2F63">
        <w:rPr>
          <w:sz w:val="20"/>
          <w:lang w:val="en-GB"/>
        </w:rPr>
        <w:t>J</w:t>
      </w:r>
      <w:r w:rsidR="00FD2F63">
        <w:rPr>
          <w:sz w:val="20"/>
          <w:lang w:val="en-GB"/>
        </w:rPr>
        <w:t>.</w:t>
      </w:r>
      <w:r w:rsidR="00FD2F63" w:rsidRPr="00FD2F63">
        <w:rPr>
          <w:sz w:val="20"/>
          <w:lang w:val="en-GB"/>
        </w:rPr>
        <w:t xml:space="preserve"> </w:t>
      </w:r>
      <w:proofErr w:type="spellStart"/>
      <w:r w:rsidR="00FD2F63" w:rsidRPr="00FD2F63">
        <w:rPr>
          <w:sz w:val="20"/>
          <w:lang w:val="en-GB"/>
        </w:rPr>
        <w:t>Andraško</w:t>
      </w:r>
      <w:proofErr w:type="spellEnd"/>
      <w:r w:rsidR="00FD2F63">
        <w:rPr>
          <w:sz w:val="20"/>
          <w:lang w:val="en-GB"/>
        </w:rPr>
        <w:t xml:space="preserve">, O. </w:t>
      </w:r>
      <w:proofErr w:type="spellStart"/>
      <w:r w:rsidR="00FD2F63">
        <w:rPr>
          <w:sz w:val="20"/>
          <w:lang w:val="en-GB"/>
        </w:rPr>
        <w:t>Hamul</w:t>
      </w:r>
      <w:r w:rsidR="00FD2F63" w:rsidRPr="00FD2F63">
        <w:rPr>
          <w:sz w:val="20"/>
          <w:lang w:val="en-GB"/>
        </w:rPr>
        <w:t>ák</w:t>
      </w:r>
      <w:proofErr w:type="spellEnd"/>
      <w:r w:rsidR="00FD2F63">
        <w:rPr>
          <w:sz w:val="20"/>
          <w:lang w:val="en-GB"/>
        </w:rPr>
        <w:t xml:space="preserve">, M. </w:t>
      </w:r>
      <w:proofErr w:type="spellStart"/>
      <w:r w:rsidR="00FD2F63" w:rsidRPr="00FD2F63">
        <w:rPr>
          <w:sz w:val="20"/>
          <w:lang w:val="en-GB"/>
        </w:rPr>
        <w:t>Mesarčík</w:t>
      </w:r>
      <w:proofErr w:type="spellEnd"/>
      <w:r w:rsidRPr="00126FBD">
        <w:rPr>
          <w:sz w:val="20"/>
          <w:lang w:val="en-GB"/>
        </w:rPr>
        <w:t>, The digital development of the European Union: data governance aspects of cooperative, conn</w:t>
      </w:r>
      <w:r w:rsidR="00FD2F63">
        <w:rPr>
          <w:sz w:val="20"/>
          <w:lang w:val="en-GB"/>
        </w:rPr>
        <w:t xml:space="preserve">ected and automated mobility, </w:t>
      </w:r>
      <w:r w:rsidRPr="00FD2F63">
        <w:rPr>
          <w:sz w:val="20"/>
          <w:lang w:val="en-GB"/>
        </w:rPr>
        <w:t>Journal of Internet, Law and Politics</w:t>
      </w:r>
      <w:r w:rsidR="00FD2F63">
        <w:rPr>
          <w:sz w:val="20"/>
          <w:lang w:val="en-GB"/>
        </w:rPr>
        <w:t xml:space="preserve"> Extra 34 (</w:t>
      </w:r>
      <w:r w:rsidRPr="00126FBD">
        <w:rPr>
          <w:sz w:val="20"/>
          <w:lang w:val="en-GB"/>
        </w:rPr>
        <w:t>2021</w:t>
      </w:r>
      <w:r w:rsidR="00FD2F63">
        <w:rPr>
          <w:sz w:val="20"/>
          <w:lang w:val="en-GB"/>
        </w:rPr>
        <w:t>)</w:t>
      </w:r>
      <w:r w:rsidRPr="00126FBD">
        <w:rPr>
          <w:sz w:val="20"/>
          <w:lang w:val="en-GB"/>
        </w:rPr>
        <w:t>.</w:t>
      </w:r>
    </w:p>
  </w:footnote>
  <w:footnote w:id="65">
    <w:p w14:paraId="514AC2ED" w14:textId="678AA689" w:rsidR="00FD2F63" w:rsidRDefault="00336410">
      <w:pPr>
        <w:pStyle w:val="Textdenotaapeudepgina"/>
        <w:rPr>
          <w:sz w:val="20"/>
        </w:rPr>
      </w:pPr>
      <w:r w:rsidRPr="00FD2F63">
        <w:rPr>
          <w:rStyle w:val="Refernciadenotaapeudepgina"/>
          <w:sz w:val="20"/>
        </w:rPr>
        <w:footnoteRef/>
      </w:r>
      <w:r w:rsidRPr="00FD2F63">
        <w:rPr>
          <w:sz w:val="20"/>
        </w:rPr>
        <w:t xml:space="preserve"> </w:t>
      </w:r>
      <w:r w:rsidR="00FD2F63">
        <w:rPr>
          <w:sz w:val="20"/>
        </w:rPr>
        <w:t xml:space="preserve">See K. </w:t>
      </w:r>
      <w:proofErr w:type="spellStart"/>
      <w:r w:rsidR="00FD2F63">
        <w:rPr>
          <w:sz w:val="20"/>
        </w:rPr>
        <w:t>Noussia</w:t>
      </w:r>
      <w:proofErr w:type="spellEnd"/>
      <w:r w:rsidR="00FD2F63">
        <w:rPr>
          <w:sz w:val="20"/>
        </w:rPr>
        <w:t xml:space="preserve">, </w:t>
      </w:r>
      <w:r w:rsidR="00FD2F63" w:rsidRPr="00FD2F63">
        <w:rPr>
          <w:sz w:val="20"/>
        </w:rPr>
        <w:t>Autonomous vehicles: l</w:t>
      </w:r>
      <w:r w:rsidR="00FD2F63">
        <w:rPr>
          <w:sz w:val="20"/>
        </w:rPr>
        <w:t xml:space="preserve">egal considerations and </w:t>
      </w:r>
      <w:proofErr w:type="spellStart"/>
      <w:r w:rsidR="00FD2F63">
        <w:rPr>
          <w:sz w:val="20"/>
        </w:rPr>
        <w:t>dilemas</w:t>
      </w:r>
      <w:proofErr w:type="spellEnd"/>
      <w:r w:rsidR="00FD2F63" w:rsidRPr="00FD2F63">
        <w:rPr>
          <w:sz w:val="20"/>
        </w:rPr>
        <w:t xml:space="preserve">, </w:t>
      </w:r>
      <w:r w:rsidR="00FD2F63">
        <w:rPr>
          <w:sz w:val="20"/>
        </w:rPr>
        <w:t>i</w:t>
      </w:r>
      <w:r w:rsidR="00FD2F63" w:rsidRPr="00FD2F63">
        <w:rPr>
          <w:sz w:val="20"/>
        </w:rPr>
        <w:t>n</w:t>
      </w:r>
      <w:r w:rsidR="00FD2F63">
        <w:rPr>
          <w:sz w:val="20"/>
        </w:rPr>
        <w:t>:</w:t>
      </w:r>
      <w:r w:rsidR="00FD2F63" w:rsidRPr="00FD2F63">
        <w:rPr>
          <w:sz w:val="20"/>
        </w:rPr>
        <w:t xml:space="preserve"> </w:t>
      </w:r>
      <w:r w:rsidR="00FD2F63">
        <w:rPr>
          <w:sz w:val="20"/>
        </w:rPr>
        <w:t xml:space="preserve">P. </w:t>
      </w:r>
      <w:proofErr w:type="spellStart"/>
      <w:r w:rsidR="00FD2F63" w:rsidRPr="00FD2F63">
        <w:rPr>
          <w:sz w:val="20"/>
        </w:rPr>
        <w:t>Marano</w:t>
      </w:r>
      <w:proofErr w:type="spellEnd"/>
      <w:r w:rsidR="00FD2F63">
        <w:rPr>
          <w:sz w:val="20"/>
        </w:rPr>
        <w:t xml:space="preserve">, K. </w:t>
      </w:r>
      <w:proofErr w:type="spellStart"/>
      <w:r w:rsidR="00FD2F63" w:rsidRPr="00FD2F63">
        <w:rPr>
          <w:sz w:val="20"/>
        </w:rPr>
        <w:t>Noussia</w:t>
      </w:r>
      <w:proofErr w:type="spellEnd"/>
      <w:r w:rsidR="00FD2F63">
        <w:rPr>
          <w:sz w:val="20"/>
        </w:rPr>
        <w:t xml:space="preserve"> (</w:t>
      </w:r>
      <w:proofErr w:type="spellStart"/>
      <w:r w:rsidR="00FD2F63">
        <w:rPr>
          <w:sz w:val="20"/>
        </w:rPr>
        <w:t>E</w:t>
      </w:r>
      <w:r w:rsidR="00FD2F63" w:rsidRPr="00FD2F63">
        <w:rPr>
          <w:sz w:val="20"/>
        </w:rPr>
        <w:t>ds</w:t>
      </w:r>
      <w:proofErr w:type="spellEnd"/>
      <w:r w:rsidR="00FD2F63" w:rsidRPr="00FD2F63">
        <w:rPr>
          <w:sz w:val="20"/>
        </w:rPr>
        <w:t xml:space="preserve">), </w:t>
      </w:r>
      <w:proofErr w:type="spellStart"/>
      <w:r w:rsidR="00FD2F63" w:rsidRPr="00FD2F63">
        <w:rPr>
          <w:sz w:val="20"/>
        </w:rPr>
        <w:t>Insurtech</w:t>
      </w:r>
      <w:proofErr w:type="spellEnd"/>
      <w:r w:rsidR="00FD2F63" w:rsidRPr="00FD2F63">
        <w:rPr>
          <w:sz w:val="20"/>
        </w:rPr>
        <w:t>: A legal and Regulatory View, Springer Nature Switzerland AG 2020</w:t>
      </w:r>
      <w:r w:rsidR="00FD2F63">
        <w:rPr>
          <w:sz w:val="20"/>
        </w:rPr>
        <w:t xml:space="preserve">, pp. 253-270; </w:t>
      </w:r>
      <w:proofErr w:type="spellStart"/>
      <w:r w:rsidR="00FD2F63" w:rsidRPr="00293B48">
        <w:rPr>
          <w:sz w:val="20"/>
          <w:lang w:val="en-GB"/>
        </w:rPr>
        <w:t>Altunyldiz</w:t>
      </w:r>
      <w:proofErr w:type="spellEnd"/>
      <w:r w:rsidR="00FD2F63" w:rsidRPr="00293B48">
        <w:rPr>
          <w:sz w:val="20"/>
          <w:lang w:val="en-GB"/>
        </w:rPr>
        <w:t xml:space="preserve"> (rapporteur), Legal aspects of </w:t>
      </w:r>
      <w:r w:rsidR="00FD2F63">
        <w:rPr>
          <w:sz w:val="20"/>
          <w:lang w:val="en-GB"/>
        </w:rPr>
        <w:t>‘</w:t>
      </w:r>
      <w:r w:rsidR="00FD2F63" w:rsidRPr="00293B48">
        <w:rPr>
          <w:sz w:val="20"/>
          <w:lang w:val="en-GB"/>
        </w:rPr>
        <w:t>autonomous vehicles, Committee on Legal Affairs and Human Rights of the Counci</w:t>
      </w:r>
      <w:r w:rsidR="00FD2F63">
        <w:rPr>
          <w:sz w:val="20"/>
          <w:lang w:val="en-GB"/>
        </w:rPr>
        <w:t>l of Europe, 2020</w:t>
      </w:r>
      <w:r w:rsidR="00FD2F63">
        <w:rPr>
          <w:sz w:val="20"/>
          <w:lang w:val="en-GB"/>
        </w:rPr>
        <w:t xml:space="preserve">; </w:t>
      </w:r>
      <w:r w:rsidR="00FD2F63" w:rsidRPr="00FD2F63">
        <w:rPr>
          <w:sz w:val="20"/>
          <w:lang w:val="en-GB"/>
        </w:rPr>
        <w:t xml:space="preserve">V. </w:t>
      </w:r>
      <w:proofErr w:type="spellStart"/>
      <w:r w:rsidR="00FD2F63" w:rsidRPr="00FD2F63">
        <w:rPr>
          <w:sz w:val="20"/>
          <w:lang w:val="en-GB"/>
        </w:rPr>
        <w:t>Ilková</w:t>
      </w:r>
      <w:proofErr w:type="spellEnd"/>
      <w:r w:rsidR="00FD2F63" w:rsidRPr="00FD2F63">
        <w:rPr>
          <w:sz w:val="20"/>
          <w:lang w:val="en-GB"/>
        </w:rPr>
        <w:t>, A. Ilka, Legal Aspects of Autonomous Vehicles - an Overview, in: Proceedings of the 2017 21st International Conference on Process Control (PC) (</w:t>
      </w:r>
      <w:proofErr w:type="spellStart"/>
      <w:r w:rsidR="00FD2F63" w:rsidRPr="00FD2F63">
        <w:rPr>
          <w:sz w:val="20"/>
          <w:lang w:val="en-GB"/>
        </w:rPr>
        <w:t>Štrbské</w:t>
      </w:r>
      <w:proofErr w:type="spellEnd"/>
      <w:r w:rsidR="00FD2F63">
        <w:rPr>
          <w:sz w:val="20"/>
          <w:lang w:val="en-GB"/>
        </w:rPr>
        <w:t xml:space="preserve"> </w:t>
      </w:r>
      <w:proofErr w:type="spellStart"/>
      <w:r w:rsidR="00FD2F63">
        <w:rPr>
          <w:sz w:val="20"/>
          <w:lang w:val="en-GB"/>
        </w:rPr>
        <w:t>Pleso</w:t>
      </w:r>
      <w:proofErr w:type="spellEnd"/>
      <w:r w:rsidR="00FD2F63">
        <w:rPr>
          <w:sz w:val="20"/>
          <w:lang w:val="en-GB"/>
        </w:rPr>
        <w:t xml:space="preserve">, Slovakia, June 6-9 2017; J. A. </w:t>
      </w:r>
      <w:r w:rsidR="00FD2F63" w:rsidRPr="00FD2F63">
        <w:rPr>
          <w:sz w:val="20"/>
          <w:lang w:val="en-GB"/>
        </w:rPr>
        <w:t>P</w:t>
      </w:r>
      <w:r w:rsidR="00FD2F63">
        <w:rPr>
          <w:sz w:val="20"/>
          <w:lang w:val="en-GB"/>
        </w:rPr>
        <w:t xml:space="preserve">attinson, H. Chen, S. </w:t>
      </w:r>
      <w:proofErr w:type="spellStart"/>
      <w:r w:rsidR="00FD2F63">
        <w:rPr>
          <w:sz w:val="20"/>
          <w:lang w:val="en-GB"/>
        </w:rPr>
        <w:t>Basu</w:t>
      </w:r>
      <w:proofErr w:type="spellEnd"/>
      <w:r w:rsidR="00FD2F63">
        <w:rPr>
          <w:sz w:val="20"/>
          <w:lang w:val="en-GB"/>
        </w:rPr>
        <w:t xml:space="preserve">, </w:t>
      </w:r>
      <w:r w:rsidR="00FD2F63" w:rsidRPr="00FD2F63">
        <w:rPr>
          <w:sz w:val="20"/>
          <w:lang w:val="en-GB"/>
        </w:rPr>
        <w:t xml:space="preserve">Legal issues in automated vehicles: critically considering the potential role of consent and interactive digital interfaces”, Humanities &amp; Social Sciences Communications of University of Leeds, </w:t>
      </w:r>
      <w:r w:rsidR="00FD2F63">
        <w:rPr>
          <w:sz w:val="20"/>
          <w:lang w:val="en-GB"/>
        </w:rPr>
        <w:t>7:153 (</w:t>
      </w:r>
      <w:r w:rsidR="00FD2F63" w:rsidRPr="00FD2F63">
        <w:rPr>
          <w:sz w:val="20"/>
          <w:lang w:val="en-GB"/>
        </w:rPr>
        <w:t>2020</w:t>
      </w:r>
      <w:r w:rsidR="00FD2F63">
        <w:rPr>
          <w:sz w:val="20"/>
          <w:lang w:val="en-GB"/>
        </w:rPr>
        <w:t>).</w:t>
      </w:r>
    </w:p>
    <w:p w14:paraId="501A11C4" w14:textId="0E2CCB94" w:rsidR="00336410" w:rsidRPr="00FD2F63" w:rsidRDefault="00336410">
      <w:pPr>
        <w:pStyle w:val="Textdenotaapeudepgina"/>
        <w:rPr>
          <w:sz w:val="20"/>
          <w:lang w:val="es-E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DE6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AEA4D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3E04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B0EC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B2861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A7E69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148F4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F20A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3EEE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E82E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67B95"/>
    <w:multiLevelType w:val="hybridMultilevel"/>
    <w:tmpl w:val="FA54F770"/>
    <w:lvl w:ilvl="0" w:tplc="408EF682">
      <w:start w:val="1"/>
      <w:numFmt w:val="decimal"/>
      <w:pStyle w:val="Numberedlist"/>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1" w15:restartNumberingAfterBreak="0">
    <w:nsid w:val="05C47042"/>
    <w:multiLevelType w:val="multilevel"/>
    <w:tmpl w:val="061E12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86F3F21"/>
    <w:multiLevelType w:val="multilevel"/>
    <w:tmpl w:val="7354D142"/>
    <w:numStyleLink w:val="111111"/>
  </w:abstractNum>
  <w:abstractNum w:abstractNumId="13" w15:restartNumberingAfterBreak="0">
    <w:nsid w:val="0AB60B25"/>
    <w:multiLevelType w:val="multilevel"/>
    <w:tmpl w:val="9758AD48"/>
    <w:styleLink w:val="Universitiesnumberedlist"/>
    <w:lvl w:ilvl="0">
      <w:start w:val="1"/>
      <w:numFmt w:val="lowerLetter"/>
      <w:pStyle w:val="University"/>
      <w:lvlText w:val="%1"/>
      <w:lvlJc w:val="left"/>
      <w:pPr>
        <w:ind w:left="360" w:hanging="360"/>
      </w:pPr>
      <w:rPr>
        <w:rFonts w:ascii="Times New Roman" w:hAnsi="Times New Roman"/>
        <w:i/>
        <w:sz w:val="16"/>
        <w:u w:val="none"/>
        <w:vertAlign w:val="superscrip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7607C8A"/>
    <w:multiLevelType w:val="multilevel"/>
    <w:tmpl w:val="9758AD48"/>
    <w:numStyleLink w:val="Universitiesnumberedlist"/>
  </w:abstractNum>
  <w:abstractNum w:abstractNumId="15" w15:restartNumberingAfterBreak="0">
    <w:nsid w:val="1E1414DE"/>
    <w:multiLevelType w:val="multilevel"/>
    <w:tmpl w:val="8FEE34FA"/>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27663A"/>
    <w:multiLevelType w:val="multilevel"/>
    <w:tmpl w:val="7354D142"/>
    <w:styleLink w:val="111111"/>
    <w:lvl w:ilvl="0">
      <w:start w:val="1"/>
      <w:numFmt w:val="decimal"/>
      <w:pStyle w:val="Ttol1"/>
      <w:lvlText w:val="%1."/>
      <w:lvlJc w:val="left"/>
      <w:pPr>
        <w:ind w:left="360" w:hanging="360"/>
      </w:pPr>
    </w:lvl>
    <w:lvl w:ilvl="1">
      <w:start w:val="1"/>
      <w:numFmt w:val="decimal"/>
      <w:pStyle w:val="Ttol2"/>
      <w:lvlText w:val="%1.%2."/>
      <w:lvlJc w:val="left"/>
      <w:pPr>
        <w:ind w:left="792" w:hanging="432"/>
      </w:pPr>
    </w:lvl>
    <w:lvl w:ilvl="2">
      <w:start w:val="1"/>
      <w:numFmt w:val="decimal"/>
      <w:pStyle w:val="Tto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7F56BB9"/>
    <w:multiLevelType w:val="multilevel"/>
    <w:tmpl w:val="9758AD48"/>
    <w:numStyleLink w:val="Universitiesnumberedlist"/>
  </w:abstractNum>
  <w:abstractNum w:abstractNumId="18" w15:restartNumberingAfterBreak="0">
    <w:nsid w:val="3EE52556"/>
    <w:multiLevelType w:val="hybridMultilevel"/>
    <w:tmpl w:val="3B56D1D0"/>
    <w:lvl w:ilvl="0" w:tplc="A8149AAE">
      <w:start w:val="1"/>
      <w:numFmt w:val="bullet"/>
      <w:pStyle w:val="BulletedLis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9" w15:restartNumberingAfterBreak="0">
    <w:nsid w:val="441E71DF"/>
    <w:multiLevelType w:val="multilevel"/>
    <w:tmpl w:val="B4386AE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566F7D"/>
    <w:multiLevelType w:val="hybridMultilevel"/>
    <w:tmpl w:val="211A2EA4"/>
    <w:lvl w:ilvl="0" w:tplc="15E2C664">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37208F"/>
    <w:multiLevelType w:val="hybridMultilevel"/>
    <w:tmpl w:val="9BEAE6C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2" w15:restartNumberingAfterBreak="0">
    <w:nsid w:val="521C500B"/>
    <w:multiLevelType w:val="multilevel"/>
    <w:tmpl w:val="FA22B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2AA030D"/>
    <w:multiLevelType w:val="multilevel"/>
    <w:tmpl w:val="061E12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FD1115C"/>
    <w:multiLevelType w:val="hybridMultilevel"/>
    <w:tmpl w:val="8F5C5078"/>
    <w:lvl w:ilvl="0" w:tplc="CF84BAEC">
      <w:start w:val="1"/>
      <w:numFmt w:val="decimal"/>
      <w:lvlText w:val="%1."/>
      <w:lvlJc w:val="left"/>
      <w:pPr>
        <w:ind w:left="1884" w:hanging="160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5" w15:restartNumberingAfterBreak="0">
    <w:nsid w:val="6E9215A6"/>
    <w:multiLevelType w:val="hybridMultilevel"/>
    <w:tmpl w:val="B262048A"/>
    <w:lvl w:ilvl="0" w:tplc="9796EF86">
      <w:start w:val="1"/>
      <w:numFmt w:val="decimal"/>
      <w:pStyle w:val="reference"/>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4B10B7C"/>
    <w:multiLevelType w:val="multilevel"/>
    <w:tmpl w:val="7354D142"/>
    <w:numStyleLink w:val="111111"/>
  </w:abstractNum>
  <w:num w:numId="1">
    <w:abstractNumId w:val="21"/>
  </w:num>
  <w:num w:numId="2">
    <w:abstractNumId w:val="24"/>
  </w:num>
  <w:num w:numId="3">
    <w:abstractNumId w:val="10"/>
  </w:num>
  <w:num w:numId="4">
    <w:abstractNumId w:val="18"/>
  </w:num>
  <w:num w:numId="5">
    <w:abstractNumId w:val="20"/>
  </w:num>
  <w:num w:numId="6">
    <w:abstractNumId w:val="11"/>
  </w:num>
  <w:num w:numId="7">
    <w:abstractNumId w:val="16"/>
  </w:num>
  <w:num w:numId="8">
    <w:abstractNumId w:val="26"/>
  </w:num>
  <w:num w:numId="9">
    <w:abstractNumId w:val="23"/>
  </w:num>
  <w:num w:numId="10">
    <w:abstractNumId w:val="12"/>
  </w:num>
  <w:num w:numId="11">
    <w:abstractNumId w:val="22"/>
  </w:num>
  <w:num w:numId="12">
    <w:abstractNumId w:val="19"/>
  </w:num>
  <w:num w:numId="13">
    <w:abstractNumId w:val="15"/>
  </w:num>
  <w:num w:numId="14">
    <w:abstractNumId w:val="0"/>
  </w:num>
  <w:num w:numId="15">
    <w:abstractNumId w:val="1"/>
  </w:num>
  <w:num w:numId="16">
    <w:abstractNumId w:val="2"/>
  </w:num>
  <w:num w:numId="17">
    <w:abstractNumId w:val="3"/>
  </w:num>
  <w:num w:numId="18">
    <w:abstractNumId w:val="8"/>
  </w:num>
  <w:num w:numId="19">
    <w:abstractNumId w:val="4"/>
  </w:num>
  <w:num w:numId="20">
    <w:abstractNumId w:val="5"/>
  </w:num>
  <w:num w:numId="21">
    <w:abstractNumId w:val="6"/>
  </w:num>
  <w:num w:numId="22">
    <w:abstractNumId w:val="7"/>
  </w:num>
  <w:num w:numId="23">
    <w:abstractNumId w:val="9"/>
  </w:num>
  <w:num w:numId="24">
    <w:abstractNumId w:val="25"/>
  </w:num>
  <w:num w:numId="25">
    <w:abstractNumId w:val="13"/>
  </w:num>
  <w:num w:numId="26">
    <w:abstractNumId w:val="17"/>
  </w:num>
  <w:num w:numId="27">
    <w:abstractNumId w:val="14"/>
    <w:lvlOverride w:ilvl="0">
      <w:lvl w:ilvl="0">
        <w:start w:val="1"/>
        <w:numFmt w:val="lowerLetter"/>
        <w:pStyle w:val="University"/>
        <w:lvlText w:val="%1"/>
        <w:lvlJc w:val="left"/>
        <w:pPr>
          <w:ind w:left="360" w:hanging="360"/>
        </w:pPr>
        <w:rPr>
          <w:rFonts w:ascii="Times New Roman" w:hAnsi="Times New Roman"/>
          <w:i/>
          <w:sz w:val="20"/>
          <w:u w:val="none"/>
          <w:vertAlign w:val="superscrip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F5C"/>
    <w:rsid w:val="000649C3"/>
    <w:rsid w:val="00076EF3"/>
    <w:rsid w:val="00084FC0"/>
    <w:rsid w:val="000E19F4"/>
    <w:rsid w:val="00156670"/>
    <w:rsid w:val="001865DA"/>
    <w:rsid w:val="00240241"/>
    <w:rsid w:val="00242E3B"/>
    <w:rsid w:val="00270914"/>
    <w:rsid w:val="00280109"/>
    <w:rsid w:val="00336410"/>
    <w:rsid w:val="0039617C"/>
    <w:rsid w:val="003A2840"/>
    <w:rsid w:val="003C4648"/>
    <w:rsid w:val="004137EA"/>
    <w:rsid w:val="00466050"/>
    <w:rsid w:val="00482C62"/>
    <w:rsid w:val="004A7F5B"/>
    <w:rsid w:val="004C17BF"/>
    <w:rsid w:val="004F428B"/>
    <w:rsid w:val="00520F5C"/>
    <w:rsid w:val="00587C39"/>
    <w:rsid w:val="005975C5"/>
    <w:rsid w:val="005F42E4"/>
    <w:rsid w:val="0068422E"/>
    <w:rsid w:val="00734587"/>
    <w:rsid w:val="0076368C"/>
    <w:rsid w:val="00785680"/>
    <w:rsid w:val="00791443"/>
    <w:rsid w:val="00796191"/>
    <w:rsid w:val="008424AC"/>
    <w:rsid w:val="00857FAF"/>
    <w:rsid w:val="00883C4C"/>
    <w:rsid w:val="00897704"/>
    <w:rsid w:val="008A7BEF"/>
    <w:rsid w:val="00963383"/>
    <w:rsid w:val="009D0D2A"/>
    <w:rsid w:val="00A17E5C"/>
    <w:rsid w:val="00A8149E"/>
    <w:rsid w:val="00AF120D"/>
    <w:rsid w:val="00C52ABA"/>
    <w:rsid w:val="00C539A9"/>
    <w:rsid w:val="00D25B6B"/>
    <w:rsid w:val="00D91BB5"/>
    <w:rsid w:val="00DD4755"/>
    <w:rsid w:val="00DF0DD6"/>
    <w:rsid w:val="00E1079B"/>
    <w:rsid w:val="00E34537"/>
    <w:rsid w:val="00E515C1"/>
    <w:rsid w:val="00E90FCD"/>
    <w:rsid w:val="00EA1FF4"/>
    <w:rsid w:val="00FA4539"/>
    <w:rsid w:val="00FC58AF"/>
    <w:rsid w:val="00FD2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09B87"/>
  <w15:chartTrackingRefBased/>
  <w15:docId w15:val="{73D0202E-17ED-2048-98DB-E98444A06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4648"/>
    <w:pPr>
      <w:ind w:firstLine="284"/>
      <w:jc w:val="both"/>
    </w:pPr>
    <w:rPr>
      <w:rFonts w:ascii="Times New Roman" w:eastAsia="Times New Roman" w:hAnsi="Times New Roman" w:cs="Times New Roman"/>
      <w:sz w:val="22"/>
      <w:szCs w:val="22"/>
      <w:lang w:eastAsia="en-GB"/>
    </w:rPr>
  </w:style>
  <w:style w:type="paragraph" w:styleId="Ttol1">
    <w:name w:val="heading 1"/>
    <w:basedOn w:val="Normal"/>
    <w:next w:val="Normal"/>
    <w:link w:val="Ttol1Car"/>
    <w:uiPriority w:val="9"/>
    <w:qFormat/>
    <w:rsid w:val="00785680"/>
    <w:pPr>
      <w:numPr>
        <w:numId w:val="8"/>
      </w:numPr>
      <w:spacing w:before="100" w:beforeAutospacing="1" w:after="100" w:afterAutospacing="1"/>
      <w:outlineLvl w:val="0"/>
    </w:pPr>
    <w:rPr>
      <w:rFonts w:ascii="Calibri" w:hAnsi="Calibri" w:cs="Calibri"/>
      <w:b/>
      <w:bCs/>
      <w:sz w:val="28"/>
      <w:szCs w:val="28"/>
    </w:rPr>
  </w:style>
  <w:style w:type="paragraph" w:styleId="Ttol2">
    <w:name w:val="heading 2"/>
    <w:basedOn w:val="Ttol1"/>
    <w:next w:val="Normal"/>
    <w:link w:val="Ttol2Car"/>
    <w:uiPriority w:val="9"/>
    <w:unhideWhenUsed/>
    <w:qFormat/>
    <w:rsid w:val="00785680"/>
    <w:pPr>
      <w:numPr>
        <w:ilvl w:val="1"/>
      </w:numPr>
      <w:ind w:left="0" w:firstLine="0"/>
      <w:outlineLvl w:val="1"/>
    </w:pPr>
  </w:style>
  <w:style w:type="paragraph" w:styleId="Ttol3">
    <w:name w:val="heading 3"/>
    <w:basedOn w:val="Ttol2"/>
    <w:next w:val="Normal"/>
    <w:link w:val="Ttol3Car"/>
    <w:uiPriority w:val="9"/>
    <w:unhideWhenUsed/>
    <w:qFormat/>
    <w:rsid w:val="00DD4755"/>
    <w:pPr>
      <w:numPr>
        <w:ilvl w:val="2"/>
      </w:numPr>
      <w:ind w:left="0" w:firstLine="0"/>
      <w:outlineLvl w:val="2"/>
    </w:pPr>
  </w:style>
  <w:style w:type="character" w:default="1" w:styleId="Tipusde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customStyle="1" w:styleId="reference">
    <w:name w:val="reference"/>
    <w:basedOn w:val="Normal"/>
    <w:qFormat/>
    <w:rsid w:val="004F428B"/>
    <w:pPr>
      <w:numPr>
        <w:numId w:val="24"/>
      </w:numPr>
      <w:ind w:left="426" w:hanging="426"/>
    </w:pPr>
  </w:style>
  <w:style w:type="paragraph" w:styleId="Textdenotaapeudepgina">
    <w:name w:val="footnote text"/>
    <w:basedOn w:val="Normal"/>
    <w:link w:val="TextdenotaapeudepginaCar"/>
    <w:uiPriority w:val="99"/>
    <w:unhideWhenUsed/>
    <w:rsid w:val="00734587"/>
    <w:pPr>
      <w:ind w:firstLine="0"/>
    </w:pPr>
    <w:rPr>
      <w:sz w:val="16"/>
      <w:szCs w:val="20"/>
    </w:rPr>
  </w:style>
  <w:style w:type="character" w:customStyle="1" w:styleId="TextdenotaapeudepginaCar">
    <w:name w:val="Text de nota a peu de pàgina Car"/>
    <w:basedOn w:val="Tipusdelletraperdefectedelpargraf"/>
    <w:link w:val="Textdenotaapeudepgina"/>
    <w:uiPriority w:val="99"/>
    <w:rsid w:val="00734587"/>
    <w:rPr>
      <w:rFonts w:ascii="Times New Roman" w:eastAsia="Times New Roman" w:hAnsi="Times New Roman" w:cs="Times New Roman"/>
      <w:sz w:val="16"/>
      <w:szCs w:val="20"/>
      <w:lang w:eastAsia="en-GB"/>
    </w:rPr>
  </w:style>
  <w:style w:type="character" w:styleId="Refernciadenotaapeudepgina">
    <w:name w:val="footnote reference"/>
    <w:basedOn w:val="Tipusdelletraperdefectedelpargraf"/>
    <w:uiPriority w:val="99"/>
    <w:semiHidden/>
    <w:unhideWhenUsed/>
    <w:rsid w:val="00520F5C"/>
    <w:rPr>
      <w:vertAlign w:val="superscript"/>
    </w:rPr>
  </w:style>
  <w:style w:type="table" w:styleId="Taulaambquadrcula">
    <w:name w:val="Table Grid"/>
    <w:basedOn w:val="Taulanormal"/>
    <w:uiPriority w:val="39"/>
    <w:rsid w:val="00520F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list">
    <w:name w:val="Numbered list"/>
    <w:basedOn w:val="Normal"/>
    <w:qFormat/>
    <w:rsid w:val="000649C3"/>
    <w:pPr>
      <w:numPr>
        <w:numId w:val="3"/>
      </w:numPr>
      <w:ind w:left="284" w:firstLine="0"/>
      <w:contextualSpacing/>
    </w:pPr>
  </w:style>
  <w:style w:type="character" w:customStyle="1" w:styleId="Ttol1Car">
    <w:name w:val="Títol 1 Car"/>
    <w:basedOn w:val="Tipusdelletraperdefectedelpargraf"/>
    <w:link w:val="Ttol1"/>
    <w:uiPriority w:val="9"/>
    <w:rsid w:val="00785680"/>
    <w:rPr>
      <w:rFonts w:ascii="Calibri" w:eastAsia="Times New Roman" w:hAnsi="Calibri" w:cs="Calibri"/>
      <w:b/>
      <w:bCs/>
      <w:sz w:val="28"/>
      <w:szCs w:val="28"/>
      <w:lang w:eastAsia="en-GB"/>
    </w:rPr>
  </w:style>
  <w:style w:type="paragraph" w:styleId="Ttol">
    <w:name w:val="Title"/>
    <w:basedOn w:val="Normal"/>
    <w:next w:val="Normal"/>
    <w:link w:val="TtolCar"/>
    <w:uiPriority w:val="10"/>
    <w:qFormat/>
    <w:rsid w:val="003C4648"/>
    <w:pPr>
      <w:ind w:firstLine="0"/>
    </w:pPr>
    <w:rPr>
      <w:rFonts w:ascii="Calibri" w:hAnsi="Calibri" w:cs="Calibri"/>
      <w:b/>
      <w:bCs/>
      <w:sz w:val="34"/>
      <w:szCs w:val="34"/>
    </w:rPr>
  </w:style>
  <w:style w:type="character" w:customStyle="1" w:styleId="TtolCar">
    <w:name w:val="Títol Car"/>
    <w:basedOn w:val="Tipusdelletraperdefectedelpargraf"/>
    <w:link w:val="Ttol"/>
    <w:uiPriority w:val="10"/>
    <w:rsid w:val="003C4648"/>
    <w:rPr>
      <w:rFonts w:ascii="Calibri" w:eastAsia="Times New Roman" w:hAnsi="Calibri" w:cs="Calibri"/>
      <w:b/>
      <w:bCs/>
      <w:sz w:val="34"/>
      <w:szCs w:val="34"/>
      <w:lang w:val="en-US" w:eastAsia="en-GB"/>
    </w:rPr>
  </w:style>
  <w:style w:type="paragraph" w:customStyle="1" w:styleId="BulletedList">
    <w:name w:val="Bulleted List"/>
    <w:basedOn w:val="Numberedlist"/>
    <w:qFormat/>
    <w:rsid w:val="003C4648"/>
    <w:pPr>
      <w:numPr>
        <w:numId w:val="4"/>
      </w:numPr>
      <w:ind w:left="284" w:firstLine="0"/>
    </w:pPr>
  </w:style>
  <w:style w:type="paragraph" w:customStyle="1" w:styleId="AbstractTitle">
    <w:name w:val="Abstract Title"/>
    <w:basedOn w:val="Normal"/>
    <w:qFormat/>
    <w:rsid w:val="00785680"/>
    <w:pPr>
      <w:ind w:left="709" w:firstLine="425"/>
    </w:pPr>
    <w:rPr>
      <w:rFonts w:ascii="Calibri" w:hAnsi="Calibri" w:cs="Calibri"/>
      <w:b/>
      <w:bCs/>
    </w:rPr>
  </w:style>
  <w:style w:type="paragraph" w:customStyle="1" w:styleId="University">
    <w:name w:val="University"/>
    <w:basedOn w:val="Normal"/>
    <w:qFormat/>
    <w:rsid w:val="005F42E4"/>
    <w:pPr>
      <w:numPr>
        <w:numId w:val="27"/>
      </w:numPr>
      <w:ind w:left="142" w:hanging="142"/>
    </w:pPr>
    <w:rPr>
      <w:i/>
      <w:iCs/>
      <w:sz w:val="20"/>
      <w:szCs w:val="20"/>
    </w:rPr>
  </w:style>
  <w:style w:type="paragraph" w:customStyle="1" w:styleId="AbstractText">
    <w:name w:val="Abstract Text"/>
    <w:basedOn w:val="Normal"/>
    <w:qFormat/>
    <w:rsid w:val="00785680"/>
    <w:pPr>
      <w:ind w:left="1134" w:firstLine="0"/>
    </w:pPr>
    <w:rPr>
      <w:sz w:val="21"/>
      <w:szCs w:val="21"/>
    </w:rPr>
  </w:style>
  <w:style w:type="paragraph" w:customStyle="1" w:styleId="Authors">
    <w:name w:val="Authors"/>
    <w:basedOn w:val="Normal"/>
    <w:qFormat/>
    <w:rsid w:val="003C4648"/>
    <w:pPr>
      <w:ind w:firstLine="0"/>
    </w:pPr>
    <w:rPr>
      <w:color w:val="7F7F7F"/>
      <w:sz w:val="24"/>
      <w:szCs w:val="24"/>
    </w:rPr>
  </w:style>
  <w:style w:type="character" w:customStyle="1" w:styleId="Ttol2Car">
    <w:name w:val="Títol 2 Car"/>
    <w:basedOn w:val="Tipusdelletraperdefectedelpargraf"/>
    <w:link w:val="Ttol2"/>
    <w:uiPriority w:val="9"/>
    <w:rsid w:val="00785680"/>
    <w:rPr>
      <w:rFonts w:ascii="Calibri" w:eastAsia="Times New Roman" w:hAnsi="Calibri" w:cs="Calibri"/>
      <w:b/>
      <w:bCs/>
      <w:sz w:val="28"/>
      <w:szCs w:val="28"/>
      <w:lang w:val="en-US" w:eastAsia="en-GB"/>
    </w:rPr>
  </w:style>
  <w:style w:type="paragraph" w:customStyle="1" w:styleId="Tablenumber">
    <w:name w:val="Table number"/>
    <w:basedOn w:val="Normal"/>
    <w:next w:val="Tabletitle"/>
    <w:qFormat/>
    <w:rsid w:val="00785680"/>
    <w:pPr>
      <w:ind w:firstLine="0"/>
    </w:pPr>
    <w:rPr>
      <w:rFonts w:ascii="Calibri" w:hAnsi="Calibri" w:cs="Calibri"/>
      <w:b/>
      <w:bCs/>
    </w:rPr>
  </w:style>
  <w:style w:type="paragraph" w:customStyle="1" w:styleId="Tabletitle">
    <w:name w:val="Table title"/>
    <w:basedOn w:val="Tablenumber"/>
    <w:qFormat/>
    <w:rsid w:val="00785680"/>
    <w:rPr>
      <w:b w:val="0"/>
      <w:bCs w:val="0"/>
    </w:rPr>
  </w:style>
  <w:style w:type="numbering" w:styleId="111111">
    <w:name w:val="Outline List 2"/>
    <w:basedOn w:val="Sensellista"/>
    <w:uiPriority w:val="99"/>
    <w:semiHidden/>
    <w:unhideWhenUsed/>
    <w:rsid w:val="00785680"/>
    <w:pPr>
      <w:numPr>
        <w:numId w:val="7"/>
      </w:numPr>
    </w:pPr>
  </w:style>
  <w:style w:type="table" w:customStyle="1" w:styleId="Style1">
    <w:name w:val="Style1"/>
    <w:basedOn w:val="Taulanormal"/>
    <w:uiPriority w:val="99"/>
    <w:rsid w:val="00DF0DD6"/>
    <w:rPr>
      <w:rFonts w:ascii="Times New Roman" w:hAnsi="Times New Roman"/>
    </w:rPr>
    <w:tblPr/>
  </w:style>
  <w:style w:type="paragraph" w:customStyle="1" w:styleId="Figure">
    <w:name w:val="Figure"/>
    <w:basedOn w:val="Normal"/>
    <w:qFormat/>
    <w:rsid w:val="004A7F5B"/>
    <w:pPr>
      <w:ind w:firstLine="0"/>
      <w:jc w:val="center"/>
    </w:pPr>
    <w:rPr>
      <w:noProof/>
    </w:rPr>
  </w:style>
  <w:style w:type="paragraph" w:customStyle="1" w:styleId="Figurecaption">
    <w:name w:val="Figure caption"/>
    <w:basedOn w:val="Normal"/>
    <w:next w:val="Normal"/>
    <w:qFormat/>
    <w:rsid w:val="00734587"/>
    <w:pPr>
      <w:ind w:firstLine="0"/>
    </w:pPr>
    <w:rPr>
      <w:rFonts w:ascii="Calibri" w:hAnsi="Calibri"/>
    </w:rPr>
  </w:style>
  <w:style w:type="character" w:styleId="Enlla">
    <w:name w:val="Hyperlink"/>
    <w:basedOn w:val="Tipusdelletraperdefectedelpargraf"/>
    <w:uiPriority w:val="99"/>
    <w:unhideWhenUsed/>
    <w:rsid w:val="000649C3"/>
    <w:rPr>
      <w:color w:val="000000" w:themeColor="text1"/>
      <w:u w:val="single"/>
    </w:rPr>
  </w:style>
  <w:style w:type="character" w:styleId="Textdelcontenidor">
    <w:name w:val="Placeholder Text"/>
    <w:basedOn w:val="Tipusdelletraperdefectedelpargraf"/>
    <w:uiPriority w:val="99"/>
    <w:semiHidden/>
    <w:rsid w:val="00DF0DD6"/>
    <w:rPr>
      <w:color w:val="808080"/>
    </w:rPr>
  </w:style>
  <w:style w:type="paragraph" w:styleId="Llegenda">
    <w:name w:val="caption"/>
    <w:basedOn w:val="Normal"/>
    <w:next w:val="Normal"/>
    <w:uiPriority w:val="35"/>
    <w:unhideWhenUsed/>
    <w:qFormat/>
    <w:rsid w:val="00DD4755"/>
    <w:pPr>
      <w:spacing w:after="200"/>
    </w:pPr>
    <w:rPr>
      <w:i/>
      <w:iCs/>
      <w:color w:val="44546A" w:themeColor="text2"/>
      <w:sz w:val="18"/>
      <w:szCs w:val="18"/>
    </w:rPr>
  </w:style>
  <w:style w:type="character" w:customStyle="1" w:styleId="Ttol3Car">
    <w:name w:val="Títol 3 Car"/>
    <w:basedOn w:val="Tipusdelletraperdefectedelpargraf"/>
    <w:link w:val="Ttol3"/>
    <w:uiPriority w:val="9"/>
    <w:rsid w:val="00DD4755"/>
    <w:rPr>
      <w:rFonts w:ascii="Calibri" w:eastAsia="Times New Roman" w:hAnsi="Calibri" w:cs="Calibri"/>
      <w:b/>
      <w:bCs/>
      <w:sz w:val="28"/>
      <w:szCs w:val="28"/>
      <w:lang w:val="en-US" w:eastAsia="en-GB"/>
    </w:rPr>
  </w:style>
  <w:style w:type="paragraph" w:styleId="NormalWeb">
    <w:name w:val="Normal (Web)"/>
    <w:basedOn w:val="Normal"/>
    <w:uiPriority w:val="99"/>
    <w:semiHidden/>
    <w:unhideWhenUsed/>
    <w:rsid w:val="00DD4755"/>
    <w:rPr>
      <w:sz w:val="24"/>
      <w:szCs w:val="24"/>
    </w:rPr>
  </w:style>
  <w:style w:type="numbering" w:customStyle="1" w:styleId="Universitiesnumberedlist">
    <w:name w:val="Universities numbered list"/>
    <w:uiPriority w:val="99"/>
    <w:rsid w:val="005F42E4"/>
    <w:pPr>
      <w:numPr>
        <w:numId w:val="25"/>
      </w:numPr>
    </w:pPr>
  </w:style>
  <w:style w:type="table" w:customStyle="1" w:styleId="TableNormal">
    <w:name w:val="Table Normal"/>
    <w:uiPriority w:val="2"/>
    <w:semiHidden/>
    <w:unhideWhenUsed/>
    <w:qFormat/>
    <w:rsid w:val="00482C62"/>
    <w:pPr>
      <w:widowControl w:val="0"/>
      <w:autoSpaceDE w:val="0"/>
      <w:autoSpaceDN w:val="0"/>
    </w:pPr>
    <w:rPr>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82C62"/>
    <w:pPr>
      <w:widowControl w:val="0"/>
      <w:autoSpaceDE w:val="0"/>
      <w:autoSpaceDN w:val="0"/>
      <w:ind w:firstLine="0"/>
      <w:jc w:val="left"/>
    </w:pPr>
    <w:rPr>
      <w:lang w:eastAsia="en-US"/>
    </w:rPr>
  </w:style>
  <w:style w:type="table" w:customStyle="1" w:styleId="Taulaambquadrcula1">
    <w:name w:val="Taula amb quadrícula1"/>
    <w:basedOn w:val="Taulanormal"/>
    <w:next w:val="Taulaambquadrcula"/>
    <w:uiPriority w:val="39"/>
    <w:rsid w:val="00883C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denotaalfinal">
    <w:name w:val="endnote text"/>
    <w:basedOn w:val="Normal"/>
    <w:link w:val="TextdenotaalfinalCar"/>
    <w:uiPriority w:val="99"/>
    <w:semiHidden/>
    <w:unhideWhenUsed/>
    <w:rsid w:val="00076EF3"/>
    <w:rPr>
      <w:sz w:val="20"/>
      <w:szCs w:val="20"/>
    </w:rPr>
  </w:style>
  <w:style w:type="character" w:customStyle="1" w:styleId="TextdenotaalfinalCar">
    <w:name w:val="Text de nota al final Car"/>
    <w:basedOn w:val="Tipusdelletraperdefectedelpargraf"/>
    <w:link w:val="Textdenotaalfinal"/>
    <w:uiPriority w:val="99"/>
    <w:semiHidden/>
    <w:rsid w:val="00076EF3"/>
    <w:rPr>
      <w:rFonts w:ascii="Times New Roman" w:eastAsia="Times New Roman" w:hAnsi="Times New Roman" w:cs="Times New Roman"/>
      <w:sz w:val="20"/>
      <w:szCs w:val="20"/>
      <w:lang w:eastAsia="en-GB"/>
    </w:rPr>
  </w:style>
  <w:style w:type="character" w:styleId="Refernciadenotaalfinal">
    <w:name w:val="endnote reference"/>
    <w:basedOn w:val="Tipusdelletraperdefectedelpargraf"/>
    <w:uiPriority w:val="99"/>
    <w:semiHidden/>
    <w:unhideWhenUsed/>
    <w:rsid w:val="00076E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260193">
      <w:bodyDiv w:val="1"/>
      <w:marLeft w:val="0"/>
      <w:marRight w:val="0"/>
      <w:marTop w:val="0"/>
      <w:marBottom w:val="0"/>
      <w:divBdr>
        <w:top w:val="none" w:sz="0" w:space="0" w:color="auto"/>
        <w:left w:val="none" w:sz="0" w:space="0" w:color="auto"/>
        <w:bottom w:val="none" w:sz="0" w:space="0" w:color="auto"/>
        <w:right w:val="none" w:sz="0" w:space="0" w:color="auto"/>
      </w:divBdr>
      <w:divsChild>
        <w:div w:id="85660376">
          <w:marLeft w:val="0"/>
          <w:marRight w:val="0"/>
          <w:marTop w:val="0"/>
          <w:marBottom w:val="0"/>
          <w:divBdr>
            <w:top w:val="none" w:sz="0" w:space="0" w:color="auto"/>
            <w:left w:val="none" w:sz="0" w:space="0" w:color="auto"/>
            <w:bottom w:val="none" w:sz="0" w:space="0" w:color="auto"/>
            <w:right w:val="none" w:sz="0" w:space="0" w:color="auto"/>
          </w:divBdr>
          <w:divsChild>
            <w:div w:id="1836220141">
              <w:marLeft w:val="0"/>
              <w:marRight w:val="0"/>
              <w:marTop w:val="0"/>
              <w:marBottom w:val="0"/>
              <w:divBdr>
                <w:top w:val="none" w:sz="0" w:space="0" w:color="auto"/>
                <w:left w:val="none" w:sz="0" w:space="0" w:color="auto"/>
                <w:bottom w:val="none" w:sz="0" w:space="0" w:color="auto"/>
                <w:right w:val="none" w:sz="0" w:space="0" w:color="auto"/>
              </w:divBdr>
              <w:divsChild>
                <w:div w:id="156711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88769">
      <w:bodyDiv w:val="1"/>
      <w:marLeft w:val="0"/>
      <w:marRight w:val="0"/>
      <w:marTop w:val="0"/>
      <w:marBottom w:val="0"/>
      <w:divBdr>
        <w:top w:val="none" w:sz="0" w:space="0" w:color="auto"/>
        <w:left w:val="none" w:sz="0" w:space="0" w:color="auto"/>
        <w:bottom w:val="none" w:sz="0" w:space="0" w:color="auto"/>
        <w:right w:val="none" w:sz="0" w:space="0" w:color="auto"/>
      </w:divBdr>
      <w:divsChild>
        <w:div w:id="436557183">
          <w:marLeft w:val="0"/>
          <w:marRight w:val="0"/>
          <w:marTop w:val="0"/>
          <w:marBottom w:val="0"/>
          <w:divBdr>
            <w:top w:val="none" w:sz="0" w:space="0" w:color="auto"/>
            <w:left w:val="none" w:sz="0" w:space="0" w:color="auto"/>
            <w:bottom w:val="none" w:sz="0" w:space="0" w:color="auto"/>
            <w:right w:val="none" w:sz="0" w:space="0" w:color="auto"/>
          </w:divBdr>
          <w:divsChild>
            <w:div w:id="900941826">
              <w:marLeft w:val="0"/>
              <w:marRight w:val="0"/>
              <w:marTop w:val="0"/>
              <w:marBottom w:val="0"/>
              <w:divBdr>
                <w:top w:val="none" w:sz="0" w:space="0" w:color="auto"/>
                <w:left w:val="none" w:sz="0" w:space="0" w:color="auto"/>
                <w:bottom w:val="none" w:sz="0" w:space="0" w:color="auto"/>
                <w:right w:val="none" w:sz="0" w:space="0" w:color="auto"/>
              </w:divBdr>
              <w:divsChild>
                <w:div w:id="164542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548961">
      <w:bodyDiv w:val="1"/>
      <w:marLeft w:val="0"/>
      <w:marRight w:val="0"/>
      <w:marTop w:val="0"/>
      <w:marBottom w:val="0"/>
      <w:divBdr>
        <w:top w:val="none" w:sz="0" w:space="0" w:color="auto"/>
        <w:left w:val="none" w:sz="0" w:space="0" w:color="auto"/>
        <w:bottom w:val="none" w:sz="0" w:space="0" w:color="auto"/>
        <w:right w:val="none" w:sz="0" w:space="0" w:color="auto"/>
      </w:divBdr>
    </w:div>
    <w:div w:id="597058215">
      <w:bodyDiv w:val="1"/>
      <w:marLeft w:val="0"/>
      <w:marRight w:val="0"/>
      <w:marTop w:val="0"/>
      <w:marBottom w:val="0"/>
      <w:divBdr>
        <w:top w:val="none" w:sz="0" w:space="0" w:color="auto"/>
        <w:left w:val="none" w:sz="0" w:space="0" w:color="auto"/>
        <w:bottom w:val="none" w:sz="0" w:space="0" w:color="auto"/>
        <w:right w:val="none" w:sz="0" w:space="0" w:color="auto"/>
      </w:divBdr>
      <w:divsChild>
        <w:div w:id="1918661871">
          <w:marLeft w:val="0"/>
          <w:marRight w:val="0"/>
          <w:marTop w:val="0"/>
          <w:marBottom w:val="0"/>
          <w:divBdr>
            <w:top w:val="none" w:sz="0" w:space="0" w:color="auto"/>
            <w:left w:val="none" w:sz="0" w:space="0" w:color="auto"/>
            <w:bottom w:val="none" w:sz="0" w:space="0" w:color="auto"/>
            <w:right w:val="none" w:sz="0" w:space="0" w:color="auto"/>
          </w:divBdr>
          <w:divsChild>
            <w:div w:id="1290283874">
              <w:marLeft w:val="0"/>
              <w:marRight w:val="0"/>
              <w:marTop w:val="0"/>
              <w:marBottom w:val="0"/>
              <w:divBdr>
                <w:top w:val="none" w:sz="0" w:space="0" w:color="auto"/>
                <w:left w:val="none" w:sz="0" w:space="0" w:color="auto"/>
                <w:bottom w:val="none" w:sz="0" w:space="0" w:color="auto"/>
                <w:right w:val="none" w:sz="0" w:space="0" w:color="auto"/>
              </w:divBdr>
              <w:divsChild>
                <w:div w:id="72137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087018">
      <w:bodyDiv w:val="1"/>
      <w:marLeft w:val="0"/>
      <w:marRight w:val="0"/>
      <w:marTop w:val="0"/>
      <w:marBottom w:val="0"/>
      <w:divBdr>
        <w:top w:val="none" w:sz="0" w:space="0" w:color="auto"/>
        <w:left w:val="none" w:sz="0" w:space="0" w:color="auto"/>
        <w:bottom w:val="none" w:sz="0" w:space="0" w:color="auto"/>
        <w:right w:val="none" w:sz="0" w:space="0" w:color="auto"/>
      </w:divBdr>
      <w:divsChild>
        <w:div w:id="1728262509">
          <w:marLeft w:val="0"/>
          <w:marRight w:val="0"/>
          <w:marTop w:val="0"/>
          <w:marBottom w:val="0"/>
          <w:divBdr>
            <w:top w:val="none" w:sz="0" w:space="0" w:color="auto"/>
            <w:left w:val="none" w:sz="0" w:space="0" w:color="auto"/>
            <w:bottom w:val="none" w:sz="0" w:space="0" w:color="auto"/>
            <w:right w:val="none" w:sz="0" w:space="0" w:color="auto"/>
          </w:divBdr>
          <w:divsChild>
            <w:div w:id="752967419">
              <w:marLeft w:val="0"/>
              <w:marRight w:val="0"/>
              <w:marTop w:val="0"/>
              <w:marBottom w:val="0"/>
              <w:divBdr>
                <w:top w:val="none" w:sz="0" w:space="0" w:color="auto"/>
                <w:left w:val="none" w:sz="0" w:space="0" w:color="auto"/>
                <w:bottom w:val="none" w:sz="0" w:space="0" w:color="auto"/>
                <w:right w:val="none" w:sz="0" w:space="0" w:color="auto"/>
              </w:divBdr>
              <w:divsChild>
                <w:div w:id="27579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069413">
      <w:bodyDiv w:val="1"/>
      <w:marLeft w:val="0"/>
      <w:marRight w:val="0"/>
      <w:marTop w:val="0"/>
      <w:marBottom w:val="0"/>
      <w:divBdr>
        <w:top w:val="none" w:sz="0" w:space="0" w:color="auto"/>
        <w:left w:val="none" w:sz="0" w:space="0" w:color="auto"/>
        <w:bottom w:val="none" w:sz="0" w:space="0" w:color="auto"/>
        <w:right w:val="none" w:sz="0" w:space="0" w:color="auto"/>
      </w:divBdr>
      <w:divsChild>
        <w:div w:id="1715502504">
          <w:marLeft w:val="0"/>
          <w:marRight w:val="0"/>
          <w:marTop w:val="0"/>
          <w:marBottom w:val="0"/>
          <w:divBdr>
            <w:top w:val="none" w:sz="0" w:space="0" w:color="auto"/>
            <w:left w:val="none" w:sz="0" w:space="0" w:color="auto"/>
            <w:bottom w:val="none" w:sz="0" w:space="0" w:color="auto"/>
            <w:right w:val="none" w:sz="0" w:space="0" w:color="auto"/>
          </w:divBdr>
          <w:divsChild>
            <w:div w:id="1844853420">
              <w:marLeft w:val="0"/>
              <w:marRight w:val="0"/>
              <w:marTop w:val="0"/>
              <w:marBottom w:val="0"/>
              <w:divBdr>
                <w:top w:val="none" w:sz="0" w:space="0" w:color="auto"/>
                <w:left w:val="none" w:sz="0" w:space="0" w:color="auto"/>
                <w:bottom w:val="none" w:sz="0" w:space="0" w:color="auto"/>
                <w:right w:val="none" w:sz="0" w:space="0" w:color="auto"/>
              </w:divBdr>
              <w:divsChild>
                <w:div w:id="200115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3701">
      <w:bodyDiv w:val="1"/>
      <w:marLeft w:val="0"/>
      <w:marRight w:val="0"/>
      <w:marTop w:val="0"/>
      <w:marBottom w:val="0"/>
      <w:divBdr>
        <w:top w:val="none" w:sz="0" w:space="0" w:color="auto"/>
        <w:left w:val="none" w:sz="0" w:space="0" w:color="auto"/>
        <w:bottom w:val="none" w:sz="0" w:space="0" w:color="auto"/>
        <w:right w:val="none" w:sz="0" w:space="0" w:color="auto"/>
      </w:divBdr>
      <w:divsChild>
        <w:div w:id="1287783753">
          <w:marLeft w:val="0"/>
          <w:marRight w:val="0"/>
          <w:marTop w:val="0"/>
          <w:marBottom w:val="0"/>
          <w:divBdr>
            <w:top w:val="none" w:sz="0" w:space="0" w:color="auto"/>
            <w:left w:val="none" w:sz="0" w:space="0" w:color="auto"/>
            <w:bottom w:val="none" w:sz="0" w:space="0" w:color="auto"/>
            <w:right w:val="none" w:sz="0" w:space="0" w:color="auto"/>
          </w:divBdr>
          <w:divsChild>
            <w:div w:id="226380934">
              <w:marLeft w:val="0"/>
              <w:marRight w:val="0"/>
              <w:marTop w:val="0"/>
              <w:marBottom w:val="0"/>
              <w:divBdr>
                <w:top w:val="none" w:sz="0" w:space="0" w:color="auto"/>
                <w:left w:val="none" w:sz="0" w:space="0" w:color="auto"/>
                <w:bottom w:val="none" w:sz="0" w:space="0" w:color="auto"/>
                <w:right w:val="none" w:sz="0" w:space="0" w:color="auto"/>
              </w:divBdr>
              <w:divsChild>
                <w:div w:id="176537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720738">
          <w:marLeft w:val="0"/>
          <w:marRight w:val="0"/>
          <w:marTop w:val="0"/>
          <w:marBottom w:val="0"/>
          <w:divBdr>
            <w:top w:val="none" w:sz="0" w:space="0" w:color="auto"/>
            <w:left w:val="none" w:sz="0" w:space="0" w:color="auto"/>
            <w:bottom w:val="none" w:sz="0" w:space="0" w:color="auto"/>
            <w:right w:val="none" w:sz="0" w:space="0" w:color="auto"/>
          </w:divBdr>
          <w:divsChild>
            <w:div w:id="805008977">
              <w:marLeft w:val="0"/>
              <w:marRight w:val="0"/>
              <w:marTop w:val="0"/>
              <w:marBottom w:val="0"/>
              <w:divBdr>
                <w:top w:val="none" w:sz="0" w:space="0" w:color="auto"/>
                <w:left w:val="none" w:sz="0" w:space="0" w:color="auto"/>
                <w:bottom w:val="none" w:sz="0" w:space="0" w:color="auto"/>
                <w:right w:val="none" w:sz="0" w:space="0" w:color="auto"/>
              </w:divBdr>
              <w:divsChild>
                <w:div w:id="103195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20617">
          <w:marLeft w:val="0"/>
          <w:marRight w:val="0"/>
          <w:marTop w:val="0"/>
          <w:marBottom w:val="0"/>
          <w:divBdr>
            <w:top w:val="none" w:sz="0" w:space="0" w:color="auto"/>
            <w:left w:val="none" w:sz="0" w:space="0" w:color="auto"/>
            <w:bottom w:val="none" w:sz="0" w:space="0" w:color="auto"/>
            <w:right w:val="none" w:sz="0" w:space="0" w:color="auto"/>
          </w:divBdr>
          <w:divsChild>
            <w:div w:id="1408914785">
              <w:marLeft w:val="0"/>
              <w:marRight w:val="0"/>
              <w:marTop w:val="0"/>
              <w:marBottom w:val="0"/>
              <w:divBdr>
                <w:top w:val="none" w:sz="0" w:space="0" w:color="auto"/>
                <w:left w:val="none" w:sz="0" w:space="0" w:color="auto"/>
                <w:bottom w:val="none" w:sz="0" w:space="0" w:color="auto"/>
                <w:right w:val="none" w:sz="0" w:space="0" w:color="auto"/>
              </w:divBdr>
              <w:divsChild>
                <w:div w:id="163776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40967">
      <w:bodyDiv w:val="1"/>
      <w:marLeft w:val="0"/>
      <w:marRight w:val="0"/>
      <w:marTop w:val="0"/>
      <w:marBottom w:val="0"/>
      <w:divBdr>
        <w:top w:val="none" w:sz="0" w:space="0" w:color="auto"/>
        <w:left w:val="none" w:sz="0" w:space="0" w:color="auto"/>
        <w:bottom w:val="none" w:sz="0" w:space="0" w:color="auto"/>
        <w:right w:val="none" w:sz="0" w:space="0" w:color="auto"/>
      </w:divBdr>
      <w:divsChild>
        <w:div w:id="313724524">
          <w:marLeft w:val="0"/>
          <w:marRight w:val="0"/>
          <w:marTop w:val="0"/>
          <w:marBottom w:val="0"/>
          <w:divBdr>
            <w:top w:val="none" w:sz="0" w:space="0" w:color="auto"/>
            <w:left w:val="none" w:sz="0" w:space="0" w:color="auto"/>
            <w:bottom w:val="none" w:sz="0" w:space="0" w:color="auto"/>
            <w:right w:val="none" w:sz="0" w:space="0" w:color="auto"/>
          </w:divBdr>
          <w:divsChild>
            <w:div w:id="1058211077">
              <w:marLeft w:val="0"/>
              <w:marRight w:val="0"/>
              <w:marTop w:val="0"/>
              <w:marBottom w:val="0"/>
              <w:divBdr>
                <w:top w:val="none" w:sz="0" w:space="0" w:color="auto"/>
                <w:left w:val="none" w:sz="0" w:space="0" w:color="auto"/>
                <w:bottom w:val="none" w:sz="0" w:space="0" w:color="auto"/>
                <w:right w:val="none" w:sz="0" w:space="0" w:color="auto"/>
              </w:divBdr>
              <w:divsChild>
                <w:div w:id="100370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472007">
      <w:bodyDiv w:val="1"/>
      <w:marLeft w:val="0"/>
      <w:marRight w:val="0"/>
      <w:marTop w:val="0"/>
      <w:marBottom w:val="0"/>
      <w:divBdr>
        <w:top w:val="none" w:sz="0" w:space="0" w:color="auto"/>
        <w:left w:val="none" w:sz="0" w:space="0" w:color="auto"/>
        <w:bottom w:val="none" w:sz="0" w:space="0" w:color="auto"/>
        <w:right w:val="none" w:sz="0" w:space="0" w:color="auto"/>
      </w:divBdr>
      <w:divsChild>
        <w:div w:id="345208926">
          <w:marLeft w:val="0"/>
          <w:marRight w:val="0"/>
          <w:marTop w:val="0"/>
          <w:marBottom w:val="0"/>
          <w:divBdr>
            <w:top w:val="none" w:sz="0" w:space="0" w:color="auto"/>
            <w:left w:val="none" w:sz="0" w:space="0" w:color="auto"/>
            <w:bottom w:val="none" w:sz="0" w:space="0" w:color="auto"/>
            <w:right w:val="none" w:sz="0" w:space="0" w:color="auto"/>
          </w:divBdr>
          <w:divsChild>
            <w:div w:id="1858351558">
              <w:marLeft w:val="0"/>
              <w:marRight w:val="0"/>
              <w:marTop w:val="0"/>
              <w:marBottom w:val="0"/>
              <w:divBdr>
                <w:top w:val="none" w:sz="0" w:space="0" w:color="auto"/>
                <w:left w:val="none" w:sz="0" w:space="0" w:color="auto"/>
                <w:bottom w:val="none" w:sz="0" w:space="0" w:color="auto"/>
                <w:right w:val="none" w:sz="0" w:space="0" w:color="auto"/>
              </w:divBdr>
              <w:divsChild>
                <w:div w:id="121631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056579">
      <w:bodyDiv w:val="1"/>
      <w:marLeft w:val="0"/>
      <w:marRight w:val="0"/>
      <w:marTop w:val="0"/>
      <w:marBottom w:val="0"/>
      <w:divBdr>
        <w:top w:val="none" w:sz="0" w:space="0" w:color="auto"/>
        <w:left w:val="none" w:sz="0" w:space="0" w:color="auto"/>
        <w:bottom w:val="none" w:sz="0" w:space="0" w:color="auto"/>
        <w:right w:val="none" w:sz="0" w:space="0" w:color="auto"/>
      </w:divBdr>
      <w:divsChild>
        <w:div w:id="2131514456">
          <w:marLeft w:val="0"/>
          <w:marRight w:val="0"/>
          <w:marTop w:val="0"/>
          <w:marBottom w:val="0"/>
          <w:divBdr>
            <w:top w:val="none" w:sz="0" w:space="0" w:color="auto"/>
            <w:left w:val="none" w:sz="0" w:space="0" w:color="auto"/>
            <w:bottom w:val="none" w:sz="0" w:space="0" w:color="auto"/>
            <w:right w:val="none" w:sz="0" w:space="0" w:color="auto"/>
          </w:divBdr>
          <w:divsChild>
            <w:div w:id="261685922">
              <w:marLeft w:val="0"/>
              <w:marRight w:val="0"/>
              <w:marTop w:val="0"/>
              <w:marBottom w:val="0"/>
              <w:divBdr>
                <w:top w:val="none" w:sz="0" w:space="0" w:color="auto"/>
                <w:left w:val="none" w:sz="0" w:space="0" w:color="auto"/>
                <w:bottom w:val="none" w:sz="0" w:space="0" w:color="auto"/>
                <w:right w:val="none" w:sz="0" w:space="0" w:color="auto"/>
              </w:divBdr>
              <w:divsChild>
                <w:div w:id="141388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868445">
      <w:bodyDiv w:val="1"/>
      <w:marLeft w:val="0"/>
      <w:marRight w:val="0"/>
      <w:marTop w:val="0"/>
      <w:marBottom w:val="0"/>
      <w:divBdr>
        <w:top w:val="none" w:sz="0" w:space="0" w:color="auto"/>
        <w:left w:val="none" w:sz="0" w:space="0" w:color="auto"/>
        <w:bottom w:val="none" w:sz="0" w:space="0" w:color="auto"/>
        <w:right w:val="none" w:sz="0" w:space="0" w:color="auto"/>
      </w:divBdr>
    </w:div>
    <w:div w:id="2119133534">
      <w:bodyDiv w:val="1"/>
      <w:marLeft w:val="0"/>
      <w:marRight w:val="0"/>
      <w:marTop w:val="0"/>
      <w:marBottom w:val="0"/>
      <w:divBdr>
        <w:top w:val="none" w:sz="0" w:space="0" w:color="auto"/>
        <w:left w:val="none" w:sz="0" w:space="0" w:color="auto"/>
        <w:bottom w:val="none" w:sz="0" w:space="0" w:color="auto"/>
        <w:right w:val="none" w:sz="0" w:space="0" w:color="auto"/>
      </w:divBdr>
      <w:divsChild>
        <w:div w:id="1317302783">
          <w:marLeft w:val="0"/>
          <w:marRight w:val="0"/>
          <w:marTop w:val="0"/>
          <w:marBottom w:val="0"/>
          <w:divBdr>
            <w:top w:val="none" w:sz="0" w:space="0" w:color="auto"/>
            <w:left w:val="none" w:sz="0" w:space="0" w:color="auto"/>
            <w:bottom w:val="none" w:sz="0" w:space="0" w:color="auto"/>
            <w:right w:val="none" w:sz="0" w:space="0" w:color="auto"/>
          </w:divBdr>
          <w:divsChild>
            <w:div w:id="610018048">
              <w:marLeft w:val="0"/>
              <w:marRight w:val="0"/>
              <w:marTop w:val="0"/>
              <w:marBottom w:val="0"/>
              <w:divBdr>
                <w:top w:val="none" w:sz="0" w:space="0" w:color="auto"/>
                <w:left w:val="none" w:sz="0" w:space="0" w:color="auto"/>
                <w:bottom w:val="none" w:sz="0" w:space="0" w:color="auto"/>
                <w:right w:val="none" w:sz="0" w:space="0" w:color="auto"/>
              </w:divBdr>
              <w:divsChild>
                <w:div w:id="151645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bit.ly/3iNgm1j" TargetMode="External"/><Relationship Id="rId13" Type="http://schemas.openxmlformats.org/officeDocument/2006/relationships/hyperlink" Target="https://reut.rs/3CPcR1c" TargetMode="External"/><Relationship Id="rId3" Type="http://schemas.openxmlformats.org/officeDocument/2006/relationships/hyperlink" Target="https://bit.ly/3Wf9k34" TargetMode="External"/><Relationship Id="rId7" Type="http://schemas.openxmlformats.org/officeDocument/2006/relationships/hyperlink" Target="https://bit.ly/3Xq0wbE" TargetMode="External"/><Relationship Id="rId12" Type="http://schemas.openxmlformats.org/officeDocument/2006/relationships/hyperlink" Target="https://bit.ly/3klYUkT" TargetMode="External"/><Relationship Id="rId2" Type="http://schemas.openxmlformats.org/officeDocument/2006/relationships/image" Target="media/image2.emf"/><Relationship Id="rId1" Type="http://schemas.openxmlformats.org/officeDocument/2006/relationships/image" Target="media/image1.emf"/><Relationship Id="rId6" Type="http://schemas.openxmlformats.org/officeDocument/2006/relationships/hyperlink" Target="https://bit.ly/3IOJ7FB" TargetMode="External"/><Relationship Id="rId11" Type="http://schemas.openxmlformats.org/officeDocument/2006/relationships/hyperlink" Target="https://bit.ly/3Gc6uHt" TargetMode="External"/><Relationship Id="rId5" Type="http://schemas.openxmlformats.org/officeDocument/2006/relationships/hyperlink" Target="https://bit.ly/3QEjyZI" TargetMode="External"/><Relationship Id="rId15" Type="http://schemas.openxmlformats.org/officeDocument/2006/relationships/hyperlink" Target="https://bit.ly/3hX3zsG" TargetMode="External"/><Relationship Id="rId10" Type="http://schemas.openxmlformats.org/officeDocument/2006/relationships/hyperlink" Target="https://bit.ly/3H558OZ" TargetMode="External"/><Relationship Id="rId4" Type="http://schemas.openxmlformats.org/officeDocument/2006/relationships/hyperlink" Target="https://bit.ly/3WbHe8X" TargetMode="External"/><Relationship Id="rId9" Type="http://schemas.openxmlformats.org/officeDocument/2006/relationships/hyperlink" Target="https://bit.ly/3CTbQp4" TargetMode="External"/><Relationship Id="rId14" Type="http://schemas.openxmlformats.org/officeDocument/2006/relationships/hyperlink" Target="https://bit.ly/3Xukdz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3E69C-A3C0-4491-9D01-920D9ABB5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5598</Words>
  <Characters>30790</Characters>
  <Application>Microsoft Office Word</Application>
  <DocSecurity>0</DocSecurity>
  <Lines>256</Lines>
  <Paragraphs>72</Paragraphs>
  <ScaleCrop>false</ScaleCrop>
  <HeadingPairs>
    <vt:vector size="4" baseType="variant">
      <vt:variant>
        <vt:lpstr>Títol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eliseo</dc:creator>
  <cp:keywords/>
  <dc:description/>
  <cp:lastModifiedBy>Eliseo Sierra Noguero</cp:lastModifiedBy>
  <cp:revision>3</cp:revision>
  <cp:lastPrinted>2021-03-20T15:36:00Z</cp:lastPrinted>
  <dcterms:created xsi:type="dcterms:W3CDTF">2023-02-08T06:25:00Z</dcterms:created>
  <dcterms:modified xsi:type="dcterms:W3CDTF">2023-02-08T06:29:00Z</dcterms:modified>
</cp:coreProperties>
</file>