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5C9CE7" w14:textId="77777777" w:rsidR="00750702" w:rsidRPr="00E3148A" w:rsidRDefault="00750702" w:rsidP="00750702">
      <w:pPr>
        <w:jc w:val="both"/>
        <w:rPr>
          <w:rFonts w:ascii="Arial" w:hAnsi="Arial" w:cs="Arial"/>
          <w:b/>
          <w:caps/>
        </w:rPr>
      </w:pPr>
      <w:r w:rsidRPr="00E3148A">
        <w:rPr>
          <w:rFonts w:ascii="Arial" w:hAnsi="Arial" w:cs="Arial"/>
          <w:b/>
          <w:caps/>
        </w:rPr>
        <w:t>La hipoteca naval en Derecho español y peruano</w:t>
      </w:r>
    </w:p>
    <w:p w14:paraId="2DFC342B" w14:textId="77777777" w:rsidR="00750702" w:rsidRPr="00E3148A" w:rsidRDefault="00750702" w:rsidP="00750702">
      <w:pPr>
        <w:jc w:val="both"/>
        <w:rPr>
          <w:rStyle w:val="Refdenotaalpie"/>
          <w:rFonts w:ascii="Arial" w:eastAsiaTheme="majorEastAsia" w:hAnsi="Arial" w:cs="Arial"/>
          <w:sz w:val="24"/>
          <w:szCs w:val="24"/>
        </w:rPr>
      </w:pPr>
      <w:r w:rsidRPr="00E3148A">
        <w:rPr>
          <w:rFonts w:ascii="Arial" w:hAnsi="Arial" w:cs="Arial"/>
        </w:rPr>
        <w:t>Eliseo Sierra Noguero</w:t>
      </w:r>
      <w:r w:rsidRPr="00E3148A">
        <w:rPr>
          <w:rStyle w:val="Refdenotaalpie"/>
          <w:rFonts w:ascii="Arial" w:eastAsiaTheme="majorEastAsia" w:hAnsi="Arial" w:cs="Arial"/>
          <w:sz w:val="24"/>
          <w:szCs w:val="24"/>
        </w:rPr>
        <w:footnoteReference w:customMarkFollows="1" w:id="1"/>
        <w:t xml:space="preserve">* </w:t>
      </w:r>
    </w:p>
    <w:p w14:paraId="3F6A1ED4" w14:textId="77777777" w:rsidR="00750702" w:rsidRPr="00E3148A" w:rsidRDefault="00750702" w:rsidP="00750702">
      <w:pPr>
        <w:jc w:val="both"/>
        <w:rPr>
          <w:rFonts w:ascii="Arial" w:hAnsi="Arial" w:cs="Arial"/>
        </w:rPr>
      </w:pPr>
      <w:r w:rsidRPr="00E3148A">
        <w:rPr>
          <w:rFonts w:ascii="Arial" w:hAnsi="Arial" w:cs="Arial"/>
        </w:rPr>
        <w:t>José Antonio Pejovés Macedo</w:t>
      </w:r>
      <w:r w:rsidRPr="00E3148A">
        <w:rPr>
          <w:rStyle w:val="Refdenotaalpie"/>
          <w:rFonts w:ascii="Arial" w:eastAsiaTheme="majorEastAsia" w:hAnsi="Arial" w:cs="Arial"/>
          <w:b/>
          <w:caps/>
          <w:sz w:val="24"/>
          <w:szCs w:val="24"/>
        </w:rPr>
        <w:footnoteReference w:customMarkFollows="1" w:id="2"/>
        <w:t>**</w:t>
      </w:r>
    </w:p>
    <w:p w14:paraId="652D703F" w14:textId="77777777" w:rsidR="00750702" w:rsidRPr="00E3148A" w:rsidRDefault="00750702" w:rsidP="00750702">
      <w:pPr>
        <w:jc w:val="both"/>
        <w:rPr>
          <w:rFonts w:ascii="Arial" w:hAnsi="Arial" w:cs="Arial"/>
        </w:rPr>
      </w:pPr>
    </w:p>
    <w:p w14:paraId="1B381ACC" w14:textId="63C90D38" w:rsidR="00750702" w:rsidRPr="00E3148A" w:rsidRDefault="00750702" w:rsidP="00750702">
      <w:pPr>
        <w:jc w:val="both"/>
        <w:rPr>
          <w:rFonts w:ascii="Arial" w:hAnsi="Arial" w:cs="Arial"/>
          <w:b/>
        </w:rPr>
      </w:pPr>
      <w:r w:rsidRPr="00E3148A">
        <w:rPr>
          <w:rFonts w:ascii="Arial" w:hAnsi="Arial" w:cs="Arial"/>
          <w:b/>
        </w:rPr>
        <w:t xml:space="preserve">RESUMEN: </w:t>
      </w:r>
      <w:r w:rsidRPr="00E3148A">
        <w:rPr>
          <w:rFonts w:ascii="Arial" w:hAnsi="Arial" w:cs="Arial"/>
        </w:rPr>
        <w:t>La hipoteca naval es un mecanismo de fomento de la construcción y compraventa de buques, mediante la constitución de una garantía que sujeta directamente al mismo al cumplimiento de la obligación garantizada.</w:t>
      </w:r>
      <w:r w:rsidRPr="00E3148A">
        <w:rPr>
          <w:rFonts w:ascii="Arial" w:hAnsi="Arial" w:cs="Arial"/>
          <w:b/>
        </w:rPr>
        <w:t xml:space="preserve"> </w:t>
      </w:r>
      <w:r w:rsidRPr="00E3148A">
        <w:rPr>
          <w:rFonts w:ascii="Arial" w:hAnsi="Arial" w:cs="Arial"/>
        </w:rPr>
        <w:t xml:space="preserve">El artículo analiza la regulación de la hipoteca naval en Derecho español y peruano, respectivamente, siendo ambos Estados parte del Convenio de privilegios marítimos e hipoteca naval de 1993. El escaso éxito del Convenio de 1993 en la creación de un marco internacional de reconocimiento de las hipotecas navales (solo 19 Estados) no es una limitación que afecte a los buques, sino en general a las hipotecas sobre bienes muebles. Los operadores desconfían de la hipoteca cuando recae sobre bienes muebles, por la dificultad debido a su desplazamiento de asegurar con dicho bien el cumplimiento de la obligación principal. La falta de una norma internacional ampliamente difundida no permite asegurar que la hipoteca naval, por ejemplo, la constituida en España, sea reconocida ni ejecutada en el país extranjero en el que se haya desplazado y embargado preventivamente el buque, si ello es posible. Además, la ley aplicable a la hipoteca naval es la de su Estado de matrícula, pero de reconocerse en el extranjero, el procedimiento de ejecución se regirá por la legislación del Estado donde la ejecución tenga lugar (art. 2 Convenio de 1993). </w:t>
      </w:r>
      <w:r w:rsidR="00BC39AA">
        <w:rPr>
          <w:rFonts w:ascii="Arial" w:hAnsi="Arial" w:cs="Arial"/>
        </w:rPr>
        <w:t xml:space="preserve">No está todavía en vigor la </w:t>
      </w:r>
      <w:r w:rsidR="00BC39AA" w:rsidRPr="00E3148A">
        <w:rPr>
          <w:rFonts w:ascii="Arial" w:hAnsi="Arial" w:cs="Arial"/>
        </w:rPr>
        <w:t>Convención de las Naciones Unidas sobre los Efectos Internacionales de las Ventas Judiciales de Buques, también conocida como Convención de Beijing sobre la Venta Judicial de Buques</w:t>
      </w:r>
      <w:r w:rsidR="00BC39AA">
        <w:rPr>
          <w:rFonts w:ascii="Arial" w:hAnsi="Arial" w:cs="Arial"/>
        </w:rPr>
        <w:t>, del cual España es Estado firmante, que dará seguridad jurídica a la ejecución de buques hipotecados entre los Estados parte.</w:t>
      </w:r>
    </w:p>
    <w:p w14:paraId="5268CBE4" w14:textId="77777777" w:rsidR="00750702" w:rsidRPr="00E3148A" w:rsidRDefault="00750702" w:rsidP="00750702">
      <w:pPr>
        <w:jc w:val="both"/>
        <w:rPr>
          <w:rFonts w:ascii="Arial" w:hAnsi="Arial" w:cs="Arial"/>
          <w:b/>
        </w:rPr>
      </w:pPr>
    </w:p>
    <w:p w14:paraId="1962C41F" w14:textId="39F9305E" w:rsidR="00750702" w:rsidRDefault="00750702" w:rsidP="00750702">
      <w:pPr>
        <w:jc w:val="both"/>
        <w:rPr>
          <w:rFonts w:ascii="Arial" w:hAnsi="Arial" w:cs="Arial"/>
          <w:lang w:val="en-GB"/>
        </w:rPr>
      </w:pPr>
      <w:r w:rsidRPr="00E3148A">
        <w:rPr>
          <w:rFonts w:ascii="Arial" w:hAnsi="Arial" w:cs="Arial"/>
          <w:b/>
          <w:lang w:val="en-GB"/>
        </w:rPr>
        <w:t xml:space="preserve">ABSTRACT: </w:t>
      </w:r>
      <w:r w:rsidRPr="00E3148A">
        <w:rPr>
          <w:rFonts w:ascii="Arial" w:hAnsi="Arial" w:cs="Arial"/>
          <w:lang w:val="en-GB"/>
        </w:rPr>
        <w:t xml:space="preserve">The maritime mortgage is a mechanism to promote the construction and sale of ships, through the constitution of a guarantee that directly subjects the same to the fulfilment of the guaranteed obligation. The article deals with the regulation of the naval mortgage in Spanish and Peruvian law, respectively. They have important points in common, as both States are parties to the 1993 Maritime Liens and Naval Mortgage Convention (hereinafter, the 1993 Convention). The limited success of the 1993 Convention in creating an international framework for the recognition and enforcement of naval mortgages (only 19 States) is not a limitation that affects ships, but in general mortgages on movable property. The operators distrust the mortgage when it falls on movable property, due to the difficulty due to its displacement of ensuring with said asset the fulfilment of the main obligation. The lack of a widely disseminated international standard does not ensure that the naval mortgage, for example, the one established in Spain, is recognized or enforced in the foreign country in which the ship has moved and pre-emptively seized, if this is possible. In addition, the law applicable to the naval mortgage is that of its State of registry, but if it is recognized abroad, the execution procedure will be governed, as a rule, by the legislation of the State where the execution takes place. This is precisely what is foreseen between the States parties in accordance with art. 2 1993 Convention. </w:t>
      </w:r>
      <w:r w:rsidR="00BC39AA" w:rsidRPr="00BC39AA">
        <w:rPr>
          <w:rFonts w:ascii="Arial" w:hAnsi="Arial" w:cs="Arial"/>
          <w:lang w:val="en-GB"/>
        </w:rPr>
        <w:t>The United Nations Convention on the International Effects of Judicial Sales of Ships, also known as the Beijing Convention on the Judicial Sale of Ships, of which Spain is a signatory State, is not yet in force, which will provide legal certainty to the execution of mortgaged ships between the States parties.</w:t>
      </w:r>
    </w:p>
    <w:p w14:paraId="79C8656A" w14:textId="77777777" w:rsidR="00BC39AA" w:rsidRPr="00E3148A" w:rsidRDefault="00BC39AA" w:rsidP="00750702">
      <w:pPr>
        <w:jc w:val="both"/>
        <w:rPr>
          <w:rFonts w:ascii="Arial" w:hAnsi="Arial" w:cs="Arial"/>
          <w:lang w:val="en-GB"/>
        </w:rPr>
      </w:pPr>
    </w:p>
    <w:p w14:paraId="7D0A8803" w14:textId="77777777" w:rsidR="00750702" w:rsidRPr="00E3148A" w:rsidRDefault="00750702" w:rsidP="00750702">
      <w:pPr>
        <w:jc w:val="both"/>
        <w:rPr>
          <w:rFonts w:ascii="Arial" w:hAnsi="Arial" w:cs="Arial"/>
        </w:rPr>
      </w:pPr>
      <w:r w:rsidRPr="00E3148A">
        <w:rPr>
          <w:rFonts w:ascii="Arial" w:hAnsi="Arial" w:cs="Arial"/>
          <w:b/>
        </w:rPr>
        <w:t xml:space="preserve">Palabras clave: </w:t>
      </w:r>
      <w:r w:rsidRPr="00E3148A">
        <w:rPr>
          <w:rFonts w:ascii="Arial" w:hAnsi="Arial" w:cs="Arial"/>
        </w:rPr>
        <w:t xml:space="preserve">Hipoteca naval. Privilegios marítimos. Convenio internacional de privilegios marítimos e hipoteca naval de 1993. Buque. Ejecución judicial y extrajudicial. Ley española de navegación marítima. Decisión 487 de la Comunidad Andina. </w:t>
      </w:r>
    </w:p>
    <w:p w14:paraId="1810E87B" w14:textId="77777777" w:rsidR="00750702" w:rsidRPr="00E3148A" w:rsidRDefault="00750702" w:rsidP="00750702">
      <w:pPr>
        <w:jc w:val="both"/>
        <w:rPr>
          <w:rFonts w:ascii="Arial" w:hAnsi="Arial" w:cs="Arial"/>
          <w:lang w:val="en-GB"/>
        </w:rPr>
      </w:pPr>
      <w:r w:rsidRPr="00E3148A">
        <w:rPr>
          <w:rFonts w:ascii="Arial" w:hAnsi="Arial" w:cs="Arial"/>
          <w:b/>
        </w:rPr>
        <w:t xml:space="preserve">Key words: </w:t>
      </w:r>
      <w:r w:rsidRPr="00E3148A">
        <w:rPr>
          <w:rFonts w:ascii="Arial" w:hAnsi="Arial" w:cs="Arial"/>
        </w:rPr>
        <w:t xml:space="preserve">Maritime mortgage. Maritime Liens. 1993 International Convention on Maritime Liens and Mortgages. Vessel. </w:t>
      </w:r>
      <w:r w:rsidRPr="00E3148A">
        <w:rPr>
          <w:rFonts w:ascii="Arial" w:hAnsi="Arial" w:cs="Arial"/>
          <w:lang w:val="en-GB"/>
        </w:rPr>
        <w:t>Judicial and extrajudicial execution. Spanish Maritime Navigation Act. Decision 487 of the Andean Community.</w:t>
      </w:r>
    </w:p>
    <w:p w14:paraId="5BB3873B" w14:textId="77777777" w:rsidR="00750702" w:rsidRPr="00E3148A" w:rsidRDefault="00750702" w:rsidP="00750702">
      <w:pPr>
        <w:jc w:val="both"/>
        <w:rPr>
          <w:rFonts w:ascii="Arial" w:hAnsi="Arial" w:cs="Arial"/>
          <w:lang w:val="en-GB"/>
        </w:rPr>
      </w:pPr>
    </w:p>
    <w:p w14:paraId="1157C664" w14:textId="6E392B88" w:rsidR="00750702" w:rsidRPr="00E3148A" w:rsidRDefault="00750702" w:rsidP="00750702">
      <w:pPr>
        <w:jc w:val="both"/>
        <w:rPr>
          <w:rFonts w:ascii="Arial" w:hAnsi="Arial" w:cs="Arial"/>
        </w:rPr>
      </w:pPr>
      <w:r w:rsidRPr="00E3148A">
        <w:rPr>
          <w:rFonts w:ascii="Arial" w:hAnsi="Arial" w:cs="Arial"/>
        </w:rPr>
        <w:t xml:space="preserve"> </w:t>
      </w:r>
    </w:p>
    <w:p w14:paraId="01E9F53C" w14:textId="77777777" w:rsidR="00E3148A" w:rsidRPr="00E3148A" w:rsidRDefault="00E3148A">
      <w:pPr>
        <w:rPr>
          <w:rFonts w:ascii="Arial" w:hAnsi="Arial" w:cs="Arial"/>
        </w:rPr>
      </w:pPr>
    </w:p>
    <w:p w14:paraId="108A04BA" w14:textId="730CDEB6" w:rsidR="00750702" w:rsidRPr="00BC39AA" w:rsidRDefault="00E3148A" w:rsidP="00E3148A">
      <w:pPr>
        <w:rPr>
          <w:rFonts w:ascii="Arial" w:hAnsi="Arial" w:cs="Arial"/>
          <w:b/>
          <w:bCs/>
        </w:rPr>
      </w:pPr>
      <w:r w:rsidRPr="00BC39AA">
        <w:rPr>
          <w:rFonts w:ascii="Arial" w:hAnsi="Arial" w:cs="Arial"/>
          <w:b/>
          <w:bCs/>
        </w:rPr>
        <w:t>1. La hipoteca naval en Derecho español</w:t>
      </w:r>
      <w:r w:rsidR="00750702" w:rsidRPr="00BC39AA">
        <w:rPr>
          <w:rFonts w:ascii="Arial" w:hAnsi="Arial" w:cs="Arial"/>
          <w:b/>
          <w:bCs/>
          <w:caps/>
        </w:rPr>
        <w:t xml:space="preserve"> </w:t>
      </w:r>
    </w:p>
    <w:p w14:paraId="4BAFF4A1" w14:textId="77777777" w:rsidR="00E3148A" w:rsidRPr="00E3148A" w:rsidRDefault="00E3148A" w:rsidP="00750702">
      <w:pPr>
        <w:jc w:val="both"/>
        <w:rPr>
          <w:rFonts w:ascii="Arial" w:hAnsi="Arial" w:cs="Arial"/>
          <w:b/>
        </w:rPr>
      </w:pPr>
    </w:p>
    <w:p w14:paraId="19E402C7" w14:textId="566FFCDB" w:rsidR="00750702" w:rsidRPr="00E3148A" w:rsidRDefault="00E3148A" w:rsidP="00750702">
      <w:pPr>
        <w:jc w:val="both"/>
        <w:rPr>
          <w:rFonts w:ascii="Arial" w:hAnsi="Arial" w:cs="Arial"/>
          <w:b/>
        </w:rPr>
      </w:pPr>
      <w:r w:rsidRPr="00E3148A">
        <w:rPr>
          <w:rFonts w:ascii="Arial" w:hAnsi="Arial" w:cs="Arial"/>
          <w:b/>
        </w:rPr>
        <w:t>1</w:t>
      </w:r>
      <w:r w:rsidR="00750702" w:rsidRPr="00E3148A">
        <w:rPr>
          <w:rFonts w:ascii="Arial" w:hAnsi="Arial" w:cs="Arial"/>
          <w:b/>
        </w:rPr>
        <w:t>.1. Concepto y función</w:t>
      </w:r>
    </w:p>
    <w:p w14:paraId="5B4B5067" w14:textId="45A47FA2" w:rsidR="00750702" w:rsidRPr="00E3148A" w:rsidRDefault="00750702" w:rsidP="00750702">
      <w:pPr>
        <w:jc w:val="both"/>
        <w:rPr>
          <w:rFonts w:ascii="Arial" w:hAnsi="Arial" w:cs="Arial"/>
        </w:rPr>
      </w:pPr>
      <w:r w:rsidRPr="00E3148A">
        <w:rPr>
          <w:rFonts w:ascii="Arial" w:hAnsi="Arial" w:cs="Arial"/>
        </w:rPr>
        <w:lastRenderedPageBreak/>
        <w:t xml:space="preserve">La hipoteca naval es un derecho real, que recae sobre el propio buque y es accesoria a la obligación </w:t>
      </w:r>
      <w:r w:rsidR="000209A4" w:rsidRPr="00E3148A">
        <w:rPr>
          <w:rFonts w:ascii="Arial" w:hAnsi="Arial" w:cs="Arial"/>
        </w:rPr>
        <w:t xml:space="preserve">u obligaciones </w:t>
      </w:r>
      <w:r w:rsidRPr="00E3148A">
        <w:rPr>
          <w:rFonts w:ascii="Arial" w:hAnsi="Arial" w:cs="Arial"/>
        </w:rPr>
        <w:t>principal</w:t>
      </w:r>
      <w:r w:rsidR="000209A4" w:rsidRPr="00E3148A">
        <w:rPr>
          <w:rFonts w:ascii="Arial" w:hAnsi="Arial" w:cs="Arial"/>
        </w:rPr>
        <w:t>es</w:t>
      </w:r>
      <w:r w:rsidRPr="00E3148A">
        <w:rPr>
          <w:rStyle w:val="Refdenotaalpie"/>
          <w:rFonts w:ascii="Arial" w:eastAsiaTheme="majorEastAsia" w:hAnsi="Arial" w:cs="Arial"/>
          <w:sz w:val="24"/>
          <w:szCs w:val="24"/>
        </w:rPr>
        <w:footnoteReference w:id="3"/>
      </w:r>
      <w:r w:rsidRPr="00E3148A">
        <w:rPr>
          <w:rFonts w:ascii="Arial" w:hAnsi="Arial" w:cs="Arial"/>
        </w:rPr>
        <w:t>. La hipoteca naval es una garantía habitual en la financiación de buques en construcción o ya construidos. En su virtud, el financiador, normalmente una o varias entidades bancarias, obtienen una garantía de devolución del crédito o préstamo. El buque hipotecado queda sujeto directa e inmediatamente</w:t>
      </w:r>
      <w:r w:rsidRPr="00E3148A">
        <w:rPr>
          <w:rFonts w:ascii="Arial" w:hAnsi="Arial" w:cs="Arial"/>
          <w:i/>
        </w:rPr>
        <w:t xml:space="preserve">, </w:t>
      </w:r>
      <w:r w:rsidRPr="00E3148A">
        <w:rPr>
          <w:rFonts w:ascii="Arial" w:hAnsi="Arial" w:cs="Arial"/>
        </w:rPr>
        <w:t xml:space="preserve">cualquiera que sea su poseedor, al cumplimiento de la obligación para cuya seguridad fue constituida la hipoteca naval. </w:t>
      </w:r>
    </w:p>
    <w:p w14:paraId="5D8C4558" w14:textId="1CB1DFEF" w:rsidR="00750702" w:rsidRPr="00E3148A" w:rsidRDefault="00750702" w:rsidP="00750702">
      <w:pPr>
        <w:jc w:val="both"/>
        <w:rPr>
          <w:rFonts w:ascii="Arial" w:hAnsi="Arial" w:cs="Arial"/>
        </w:rPr>
      </w:pPr>
      <w:r w:rsidRPr="00E3148A">
        <w:rPr>
          <w:rFonts w:ascii="Arial" w:hAnsi="Arial" w:cs="Arial"/>
        </w:rPr>
        <w:t xml:space="preserve">La hipoteca naval puede garantizar íntegramente la obligación principal o sólo una parte de </w:t>
      </w:r>
      <w:r w:rsidR="004D1F0D" w:rsidRPr="00E3148A">
        <w:rPr>
          <w:rFonts w:ascii="Arial" w:hAnsi="Arial" w:cs="Arial"/>
        </w:rPr>
        <w:t>esta</w:t>
      </w:r>
      <w:r w:rsidRPr="00E3148A">
        <w:rPr>
          <w:rFonts w:ascii="Arial" w:hAnsi="Arial" w:cs="Arial"/>
        </w:rPr>
        <w:t>. La</w:t>
      </w:r>
      <w:r w:rsidRPr="00E3148A">
        <w:rPr>
          <w:rFonts w:ascii="Arial" w:hAnsi="Arial" w:cs="Arial"/>
          <w:color w:val="000000"/>
          <w:shd w:val="clear" w:color="auto" w:fill="FFFFFF"/>
        </w:rPr>
        <w:t xml:space="preserve"> hipoteca naval puede también constituirse en garantía de cuentas corrientes de crédito o de letras de cambio u otros instrumentos. En este </w:t>
      </w:r>
      <w:r w:rsidR="00E3148A" w:rsidRPr="00E3148A">
        <w:rPr>
          <w:rFonts w:ascii="Arial" w:hAnsi="Arial" w:cs="Arial"/>
          <w:color w:val="000000"/>
          <w:shd w:val="clear" w:color="auto" w:fill="FFFFFF"/>
        </w:rPr>
        <w:t>caso, el</w:t>
      </w:r>
      <w:r w:rsidRPr="00E3148A">
        <w:rPr>
          <w:rFonts w:ascii="Arial" w:hAnsi="Arial" w:cs="Arial"/>
          <w:color w:val="000000"/>
          <w:shd w:val="clear" w:color="auto" w:fill="FFFFFF"/>
        </w:rPr>
        <w:t xml:space="preserve"> art. 129.2 </w:t>
      </w:r>
      <w:r w:rsidRPr="00E3148A">
        <w:rPr>
          <w:rFonts w:ascii="Arial" w:hAnsi="Arial" w:cs="Arial"/>
        </w:rPr>
        <w:t>Ley 14/2014, de 24 de julio, de navegación marítima (en adelante LNM</w:t>
      </w:r>
      <w:r w:rsidRPr="00E3148A">
        <w:rPr>
          <w:rFonts w:ascii="Arial" w:hAnsi="Arial" w:cs="Arial"/>
          <w:color w:val="000000"/>
          <w:shd w:val="clear" w:color="auto" w:fill="FFFFFF"/>
        </w:rPr>
        <w:t xml:space="preserve">) </w:t>
      </w:r>
      <w:r w:rsidR="00E3148A" w:rsidRPr="00E3148A">
        <w:rPr>
          <w:rFonts w:ascii="Arial" w:hAnsi="Arial" w:cs="Arial"/>
          <w:color w:val="000000"/>
          <w:shd w:val="clear" w:color="auto" w:fill="FFFFFF"/>
        </w:rPr>
        <w:t>impone seguir</w:t>
      </w:r>
      <w:r w:rsidRPr="00E3148A">
        <w:rPr>
          <w:rFonts w:ascii="Arial" w:hAnsi="Arial" w:cs="Arial"/>
          <w:color w:val="000000"/>
          <w:shd w:val="clear" w:color="auto" w:fill="FFFFFF"/>
        </w:rPr>
        <w:t xml:space="preserve"> lo establecido en la legislación hipotecaria. En concreto, </w:t>
      </w:r>
      <w:r w:rsidRPr="00E3148A">
        <w:rPr>
          <w:rFonts w:ascii="Arial" w:hAnsi="Arial" w:cs="Arial"/>
        </w:rPr>
        <w:t xml:space="preserve">el art. 163 Reglamento del Registro Mercantil de 1956 (en adelante, RRM 1956) impone algunas menciones específicas que deben figurar en las escrituras de hipotecas en garantía de cuentas corrientes de crédito y de títulos al portador. </w:t>
      </w:r>
    </w:p>
    <w:p w14:paraId="3E3EFCDB" w14:textId="1AC5A1CD" w:rsidR="00750702" w:rsidRPr="00E3148A" w:rsidRDefault="00750702" w:rsidP="00750702">
      <w:pPr>
        <w:jc w:val="both"/>
        <w:rPr>
          <w:rFonts w:ascii="Arial" w:hAnsi="Arial" w:cs="Arial"/>
        </w:rPr>
      </w:pPr>
      <w:r w:rsidRPr="00E3148A">
        <w:rPr>
          <w:rFonts w:ascii="Arial" w:hAnsi="Arial" w:cs="Arial"/>
        </w:rPr>
        <w:t>La hipoteca naval es compatible y de hecho suele concurrir con otras garantías constituidas sobre la misma obligación principal. Usualmente, la fianza personal</w:t>
      </w:r>
      <w:r w:rsidRPr="00E3148A">
        <w:rPr>
          <w:rStyle w:val="Refdenotaalpie"/>
          <w:rFonts w:ascii="Arial" w:hAnsi="Arial" w:cs="Arial"/>
          <w:sz w:val="24"/>
          <w:szCs w:val="24"/>
        </w:rPr>
        <w:footnoteReference w:id="4"/>
      </w:r>
      <w:r w:rsidRPr="00E3148A">
        <w:rPr>
          <w:rFonts w:ascii="Arial" w:hAnsi="Arial" w:cs="Arial"/>
        </w:rPr>
        <w:t xml:space="preserve"> o el aval cambiario</w:t>
      </w:r>
      <w:r w:rsidRPr="00E3148A">
        <w:rPr>
          <w:rStyle w:val="Refdenotaalpie"/>
          <w:rFonts w:ascii="Arial" w:hAnsi="Arial" w:cs="Arial"/>
          <w:sz w:val="24"/>
          <w:szCs w:val="24"/>
        </w:rPr>
        <w:footnoteReference w:id="5"/>
      </w:r>
      <w:r w:rsidRPr="00E3148A">
        <w:rPr>
          <w:rFonts w:ascii="Arial" w:hAnsi="Arial" w:cs="Arial"/>
        </w:rPr>
        <w:t xml:space="preserve">. Son garantías independientes, ejecutables en sus propios términos. </w:t>
      </w:r>
    </w:p>
    <w:p w14:paraId="30BC0C76" w14:textId="77777777" w:rsidR="00750702" w:rsidRPr="00E3148A" w:rsidRDefault="00750702" w:rsidP="00750702">
      <w:pPr>
        <w:jc w:val="both"/>
        <w:rPr>
          <w:rFonts w:ascii="Arial" w:hAnsi="Arial" w:cs="Arial"/>
        </w:rPr>
      </w:pPr>
      <w:r w:rsidRPr="00E3148A">
        <w:rPr>
          <w:rFonts w:ascii="Arial" w:hAnsi="Arial" w:cs="Arial"/>
        </w:rPr>
        <w:t>Además de la acción hipotecaria naval en caso de incumplimiento o cumplimiento defectuoso de la obligación asegurada por la hipoteca naval, cabe la acción personal que el acreedor hipotecario tenga contra su deudor. La hipoteca naval no excluye por sí sola la responsabilidad patrimonial universal del deudor, de responder con todos sus bienes presentes y futuros (art. 1911 Código Civil).</w:t>
      </w:r>
    </w:p>
    <w:p w14:paraId="686F8837" w14:textId="77777777" w:rsidR="00750702" w:rsidRPr="00E3148A" w:rsidRDefault="00750702" w:rsidP="00750702">
      <w:pPr>
        <w:jc w:val="both"/>
        <w:rPr>
          <w:rFonts w:ascii="Arial" w:hAnsi="Arial" w:cs="Arial"/>
          <w:b/>
          <w:caps/>
        </w:rPr>
      </w:pPr>
    </w:p>
    <w:p w14:paraId="13F5DD3D" w14:textId="2C4C2755" w:rsidR="00750702" w:rsidRPr="00E3148A" w:rsidRDefault="00E3148A" w:rsidP="00750702">
      <w:pPr>
        <w:jc w:val="both"/>
        <w:rPr>
          <w:rFonts w:ascii="Arial" w:hAnsi="Arial" w:cs="Arial"/>
          <w:b/>
          <w:caps/>
        </w:rPr>
      </w:pPr>
      <w:r w:rsidRPr="00E3148A">
        <w:rPr>
          <w:rFonts w:ascii="Arial" w:hAnsi="Arial" w:cs="Arial"/>
          <w:b/>
          <w:caps/>
        </w:rPr>
        <w:t>1</w:t>
      </w:r>
      <w:r w:rsidR="00750702" w:rsidRPr="00E3148A">
        <w:rPr>
          <w:rFonts w:ascii="Arial" w:hAnsi="Arial" w:cs="Arial"/>
          <w:b/>
          <w:caps/>
        </w:rPr>
        <w:t xml:space="preserve">.2. </w:t>
      </w:r>
      <w:r w:rsidR="000209A4" w:rsidRPr="00E3148A">
        <w:rPr>
          <w:rFonts w:ascii="Arial" w:hAnsi="Arial" w:cs="Arial"/>
          <w:b/>
        </w:rPr>
        <w:t>Régimen jurídico</w:t>
      </w:r>
      <w:r w:rsidR="00750702" w:rsidRPr="00E3148A">
        <w:rPr>
          <w:rFonts w:ascii="Arial" w:hAnsi="Arial" w:cs="Arial"/>
          <w:b/>
        </w:rPr>
        <w:t xml:space="preserve"> </w:t>
      </w:r>
    </w:p>
    <w:p w14:paraId="5A352A9A" w14:textId="19443E8B" w:rsidR="00750702" w:rsidRPr="00E3148A" w:rsidRDefault="00750702" w:rsidP="00750702">
      <w:pPr>
        <w:jc w:val="both"/>
        <w:rPr>
          <w:rFonts w:ascii="Arial" w:hAnsi="Arial" w:cs="Arial"/>
        </w:rPr>
      </w:pPr>
      <w:r w:rsidRPr="00E3148A">
        <w:rPr>
          <w:rFonts w:ascii="Arial" w:hAnsi="Arial" w:cs="Arial"/>
        </w:rPr>
        <w:t>La disposición derogatoria única de la LNM deroga la Ley de Hipoteca Naval de 1893. Sus arts.128 a 144 constituyen el régimen vigente en España de la hipoteca naval sobre buques de navegación marítima.</w:t>
      </w:r>
    </w:p>
    <w:p w14:paraId="44B02DB0" w14:textId="34EE6717" w:rsidR="00750702" w:rsidRPr="00E3148A" w:rsidRDefault="00750702" w:rsidP="00750702">
      <w:pPr>
        <w:jc w:val="both"/>
        <w:rPr>
          <w:rFonts w:ascii="Arial" w:hAnsi="Arial" w:cs="Arial"/>
        </w:rPr>
      </w:pPr>
      <w:r w:rsidRPr="00E3148A">
        <w:rPr>
          <w:rFonts w:ascii="Arial" w:hAnsi="Arial" w:cs="Arial"/>
        </w:rPr>
        <w:t>De forma supletoria, la hipoteca naval se rige por lo dispuesto en la Ley Hipotecaria, aprobada por Decreto de 8 de febrero de 1946 (art. 144 LNM). Se trata de la ley hipotecaria de referencia general en Derecho español.</w:t>
      </w:r>
    </w:p>
    <w:p w14:paraId="35D58750" w14:textId="0D49EC38" w:rsidR="00750702" w:rsidRPr="00E3148A" w:rsidRDefault="00750702" w:rsidP="00750702">
      <w:pPr>
        <w:jc w:val="both"/>
        <w:rPr>
          <w:rFonts w:ascii="Arial" w:hAnsi="Arial" w:cs="Arial"/>
        </w:rPr>
      </w:pPr>
      <w:r w:rsidRPr="00E3148A">
        <w:rPr>
          <w:rFonts w:ascii="Arial" w:hAnsi="Arial" w:cs="Arial"/>
        </w:rPr>
        <w:t>A efectos registrales, la inscripción de la hipoteca naval se realiza con arreglo a los arts. 145 a 176 RRM 1956, que no han sido derogados por el Reglamento del Registro Mercantil de 1996. No obstante, hay que adaptar la norma, pues la hipoteca naval se inscribe en el Registro de Bienes Muebles, Sección de buques (art. 67 LNM). Es un Registro llevado por los registradores de la Propiedad y Mercantiles, bajo la dependencia del Ministerio de Justicia, que tiene por objeto la publicidad de la propiedad y de las cargas y gravámenes sobre bienes muebles, así como las condiciones generales de la contratación. El RRM 1956 no ha incorporado este cambio por su falta de actualización y se refiere todavía a la inscripción de la hipoteca naval en el Registro Mercantil.</w:t>
      </w:r>
    </w:p>
    <w:p w14:paraId="37E2B9D2" w14:textId="0450B4FA" w:rsidR="002E591A" w:rsidRPr="00E3148A" w:rsidRDefault="002E591A" w:rsidP="002E591A">
      <w:pPr>
        <w:jc w:val="both"/>
        <w:rPr>
          <w:rFonts w:ascii="Arial" w:hAnsi="Arial" w:cs="Arial"/>
        </w:rPr>
      </w:pPr>
      <w:r w:rsidRPr="00E3148A">
        <w:rPr>
          <w:rFonts w:ascii="Arial" w:hAnsi="Arial" w:cs="Arial"/>
        </w:rPr>
        <w:t>Además del Derecho nacional, España es parte, desde su ratificación en 2004, del Convenio internacional sobre los privilegios marítimos y la hipoteca naval, 1993, en vigor desde el 5 de septiembre de 2004 (en adelante, Convenio de 1993). En julio de 2024, sólo 21 Estados son contratantes</w:t>
      </w:r>
      <w:r w:rsidRPr="00E3148A">
        <w:rPr>
          <w:rStyle w:val="Refdenotaalpie"/>
          <w:rFonts w:ascii="Arial" w:hAnsi="Arial" w:cs="Arial"/>
          <w:sz w:val="24"/>
          <w:szCs w:val="24"/>
        </w:rPr>
        <w:footnoteReference w:id="6"/>
      </w:r>
      <w:r w:rsidRPr="00E3148A">
        <w:rPr>
          <w:rFonts w:ascii="Arial" w:hAnsi="Arial" w:cs="Arial"/>
        </w:rPr>
        <w:t>. El Convenio de 1993 se aplica a todos los buques de navegación marítima matriculados en un Estado Parte o en un Estado que no sea parte en el Convenio, a condición de que los buques de este último estén sujetos a la jurisdicción del Estado Parte (art. 13). La LNM, aprobada en 2014, adapta su regulación a lo contenido en el Convenio de 1993, con las mismas normas, por ejemplo, sobre reconocimiento y ejecución de hipotecas navales entre Estados parte (arts. 1 y 2 Convenio de 1993 y 143 LNM); la protección del derecho real de hipoteca naval inscrita en caso de cambio definitivo o temporal de pabellón del buque hipotecado (arts. 3 y 16 Convenio de 1993 y arts. 93 y 96 LNM); la protección del derecho de retención del buque en construcción hipotecado a favor del constructor (art. 7 Convenio de 1993 y art. 139 LNM); la notificación en caso de venta forzosa en un Estado parte de un buque matriculado en otro Estado parte del Convenio de 1993 (art. 11 Convenio de 1993 y 481 LNM); o, la purga de hipotecas en caso de venta forzosa (art. 12 Convenio de 1993 y 484 LNM).</w:t>
      </w:r>
    </w:p>
    <w:p w14:paraId="125B8239" w14:textId="1C2A4B45" w:rsidR="00750702" w:rsidRPr="00E3148A" w:rsidRDefault="002E591A" w:rsidP="002E591A">
      <w:pPr>
        <w:jc w:val="both"/>
        <w:rPr>
          <w:rFonts w:ascii="Arial" w:hAnsi="Arial" w:cs="Arial"/>
        </w:rPr>
      </w:pPr>
      <w:r w:rsidRPr="00E3148A">
        <w:rPr>
          <w:rFonts w:ascii="Arial" w:hAnsi="Arial" w:cs="Arial"/>
        </w:rPr>
        <w:t xml:space="preserve">España también es parte del Convenio Internacional sobre el embargo preventivo de buques de 1999. </w:t>
      </w:r>
      <w:r w:rsidR="000209A4" w:rsidRPr="00E3148A">
        <w:rPr>
          <w:rFonts w:ascii="Arial" w:hAnsi="Arial" w:cs="Arial"/>
        </w:rPr>
        <w:t>Es de gran aplicación práctica, pues en</w:t>
      </w:r>
      <w:r w:rsidRPr="00E3148A">
        <w:rPr>
          <w:rFonts w:ascii="Arial" w:hAnsi="Arial" w:cs="Arial"/>
        </w:rPr>
        <w:t xml:space="preserve"> caso de incumplimiento de la obligación garantizada por la hipoteca naval, la realización forzosa del buque hipotecado suele ir precedida de la práctica de un embargo preventivo del buque</w:t>
      </w:r>
      <w:r w:rsidRPr="00E3148A">
        <w:rPr>
          <w:rStyle w:val="Refdenotaalpie"/>
          <w:rFonts w:ascii="Arial" w:hAnsi="Arial" w:cs="Arial"/>
          <w:sz w:val="24"/>
          <w:szCs w:val="24"/>
        </w:rPr>
        <w:footnoteReference w:id="7"/>
      </w:r>
      <w:r w:rsidRPr="00E3148A">
        <w:rPr>
          <w:rFonts w:ascii="Arial" w:hAnsi="Arial" w:cs="Arial"/>
        </w:rPr>
        <w:t>.</w:t>
      </w:r>
    </w:p>
    <w:p w14:paraId="7C3573FC" w14:textId="77777777" w:rsidR="000209A4" w:rsidRPr="00E3148A" w:rsidRDefault="000209A4" w:rsidP="000209A4">
      <w:pPr>
        <w:jc w:val="both"/>
        <w:rPr>
          <w:rFonts w:ascii="Arial" w:hAnsi="Arial" w:cs="Arial"/>
          <w:b/>
          <w:caps/>
        </w:rPr>
      </w:pPr>
    </w:p>
    <w:p w14:paraId="14CB13CA" w14:textId="591CA3B7" w:rsidR="000209A4" w:rsidRPr="00E3148A" w:rsidRDefault="00E3148A" w:rsidP="000209A4">
      <w:pPr>
        <w:jc w:val="both"/>
        <w:rPr>
          <w:rFonts w:ascii="Arial" w:hAnsi="Arial" w:cs="Arial"/>
        </w:rPr>
      </w:pPr>
      <w:r w:rsidRPr="00E3148A">
        <w:rPr>
          <w:rFonts w:ascii="Arial" w:hAnsi="Arial" w:cs="Arial"/>
          <w:b/>
          <w:caps/>
        </w:rPr>
        <w:t>1</w:t>
      </w:r>
      <w:r w:rsidR="000209A4" w:rsidRPr="00E3148A">
        <w:rPr>
          <w:rFonts w:ascii="Arial" w:hAnsi="Arial" w:cs="Arial"/>
          <w:b/>
          <w:caps/>
        </w:rPr>
        <w:t xml:space="preserve">.3. </w:t>
      </w:r>
      <w:r w:rsidR="000209A4" w:rsidRPr="00E3148A">
        <w:rPr>
          <w:rFonts w:ascii="Arial" w:hAnsi="Arial" w:cs="Arial"/>
          <w:b/>
        </w:rPr>
        <w:t>Objeto de la hipoteca naval. Exclusiones</w:t>
      </w:r>
    </w:p>
    <w:p w14:paraId="4DC2D78A" w14:textId="77777777" w:rsidR="000209A4" w:rsidRPr="00E3148A" w:rsidRDefault="000209A4" w:rsidP="000209A4">
      <w:pPr>
        <w:jc w:val="both"/>
        <w:rPr>
          <w:rFonts w:ascii="Arial" w:hAnsi="Arial" w:cs="Arial"/>
        </w:rPr>
      </w:pPr>
      <w:r w:rsidRPr="00E3148A">
        <w:rPr>
          <w:rFonts w:ascii="Arial" w:hAnsi="Arial" w:cs="Arial"/>
        </w:rPr>
        <w:t xml:space="preserve">La LNM y el Convenio de 1993 regulan la hipoteca naval sobre buques dedicado a la navegación marítima (arts. 1 LNM y 1 Convenio de 1993). El concepto de “navegación marítima” es amplio en España, pues rige también a los buques y embarcaciones empleados en la navegación por ríos, canales, lagos, o embalses naturales o artificiales, cuando sean accesibles para los buques desde el mar (art. 1). </w:t>
      </w:r>
    </w:p>
    <w:p w14:paraId="1FD7AABC" w14:textId="77777777" w:rsidR="000209A4" w:rsidRPr="00E3148A" w:rsidRDefault="000209A4" w:rsidP="000209A4">
      <w:pPr>
        <w:jc w:val="both"/>
        <w:rPr>
          <w:rFonts w:ascii="Arial" w:hAnsi="Arial" w:cs="Arial"/>
        </w:rPr>
      </w:pPr>
      <w:r w:rsidRPr="00E3148A">
        <w:rPr>
          <w:rFonts w:ascii="Arial" w:hAnsi="Arial" w:cs="Arial"/>
        </w:rPr>
        <w:t xml:space="preserve">El buque, embarcación o artefacto naval hipotecable puede estar ya construido o estar </w:t>
      </w:r>
      <w:r w:rsidRPr="00E3148A">
        <w:rPr>
          <w:rFonts w:ascii="Arial" w:hAnsi="Arial" w:cs="Arial"/>
          <w:i/>
        </w:rPr>
        <w:t>en construcción</w:t>
      </w:r>
      <w:r w:rsidRPr="00E3148A">
        <w:rPr>
          <w:rFonts w:ascii="Arial" w:hAnsi="Arial" w:cs="Arial"/>
        </w:rPr>
        <w:t xml:space="preserve"> (art. 126 LNM). Se constituye hipoteca sobre el mismo, sin esperar a que la obra esté completada y como medio precisamente de financiarla. A todos los efectos se trata de una hipoteca naval, pues el buque en construcción goza del estatuto jurídico de buque, aunque no esté acabado. Sin embargo, hay condiciones especiales para hipotecar el buque </w:t>
      </w:r>
      <w:r w:rsidRPr="00E3148A">
        <w:rPr>
          <w:rFonts w:ascii="Arial" w:hAnsi="Arial" w:cs="Arial"/>
          <w:i/>
        </w:rPr>
        <w:t xml:space="preserve">en construcción </w:t>
      </w:r>
      <w:r w:rsidRPr="00E3148A">
        <w:rPr>
          <w:rFonts w:ascii="Arial" w:hAnsi="Arial" w:cs="Arial"/>
        </w:rPr>
        <w:t xml:space="preserve">conforme a la LNM: </w:t>
      </w:r>
    </w:p>
    <w:p w14:paraId="1DCDCE3D" w14:textId="77777777" w:rsidR="000209A4" w:rsidRPr="00E3148A" w:rsidRDefault="000209A4" w:rsidP="000209A4">
      <w:pPr>
        <w:ind w:left="708"/>
        <w:jc w:val="both"/>
        <w:rPr>
          <w:rFonts w:ascii="Arial" w:hAnsi="Arial" w:cs="Arial"/>
        </w:rPr>
      </w:pPr>
      <w:r w:rsidRPr="00E3148A">
        <w:rPr>
          <w:rFonts w:ascii="Arial" w:hAnsi="Arial" w:cs="Arial"/>
        </w:rPr>
        <w:t xml:space="preserve">1ª Que se haya inscrito el buque en construcción en el Registro del Bienes Muebles del lugar donde se construya (art. 68.2 LNM) si va a ser hipotecado (art. 69.3); y, </w:t>
      </w:r>
    </w:p>
    <w:p w14:paraId="46D3BAF3" w14:textId="334F9BF8" w:rsidR="000209A4" w:rsidRPr="00E3148A" w:rsidRDefault="000209A4" w:rsidP="000209A4">
      <w:pPr>
        <w:ind w:left="708"/>
        <w:jc w:val="both"/>
        <w:rPr>
          <w:rFonts w:ascii="Arial" w:hAnsi="Arial" w:cs="Arial"/>
        </w:rPr>
      </w:pPr>
      <w:r w:rsidRPr="00E3148A">
        <w:rPr>
          <w:rFonts w:ascii="Arial" w:hAnsi="Arial" w:cs="Arial"/>
        </w:rPr>
        <w:t xml:space="preserve">2ª Que esté invertida en la construcción la tercera parte de la cantidad en que se haya presupuestado el valor total del casco y que la propiedad del buque figure inscrita en el Registro de Bienes Muebles (art. 131 LNM). </w:t>
      </w:r>
    </w:p>
    <w:p w14:paraId="6F9D71F4" w14:textId="77777777" w:rsidR="004F57C5" w:rsidRPr="00E3148A" w:rsidRDefault="000209A4" w:rsidP="000209A4">
      <w:pPr>
        <w:jc w:val="both"/>
        <w:rPr>
          <w:rFonts w:ascii="Arial" w:hAnsi="Arial" w:cs="Arial"/>
        </w:rPr>
      </w:pPr>
      <w:r w:rsidRPr="00E3148A">
        <w:rPr>
          <w:rFonts w:ascii="Arial" w:hAnsi="Arial" w:cs="Arial"/>
        </w:rPr>
        <w:t>Cabe hipoteca de flota (</w:t>
      </w:r>
      <w:r w:rsidRPr="00E3148A">
        <w:rPr>
          <w:rFonts w:ascii="Arial" w:hAnsi="Arial" w:cs="Arial"/>
          <w:i/>
          <w:iCs/>
        </w:rPr>
        <w:t>fleet mortgage</w:t>
      </w:r>
      <w:r w:rsidRPr="00E3148A">
        <w:rPr>
          <w:rFonts w:ascii="Arial" w:hAnsi="Arial" w:cs="Arial"/>
        </w:rPr>
        <w:t>), por la cual una misma obligación u obligaciones pueden estar garantizadas con dos o más buques. Es preceptivo que el contrato de hipoteca naval consigne las cantidades de que responde cada buque (art. 132.1.f LNM y 119 LH). Las vicisitudes de cada buque hipotecado, como el hecho de ser enajenado o que haya perdido su valor, ni disminuye la obligación del prestatario ni el gravamen sobre los demás buques hipotecados</w:t>
      </w:r>
      <w:r w:rsidRPr="00E3148A">
        <w:rPr>
          <w:rStyle w:val="Refdenotaalpie"/>
          <w:rFonts w:ascii="Arial" w:hAnsi="Arial" w:cs="Arial"/>
          <w:sz w:val="24"/>
          <w:szCs w:val="24"/>
        </w:rPr>
        <w:footnoteReference w:id="8"/>
      </w:r>
      <w:r w:rsidRPr="00E3148A">
        <w:rPr>
          <w:rFonts w:ascii="Arial" w:hAnsi="Arial" w:cs="Arial"/>
        </w:rPr>
        <w:t>.</w:t>
      </w:r>
    </w:p>
    <w:p w14:paraId="0202E8FC" w14:textId="4039C68F" w:rsidR="000209A4" w:rsidRPr="00E3148A" w:rsidRDefault="004F57C5" w:rsidP="000209A4">
      <w:pPr>
        <w:jc w:val="both"/>
        <w:rPr>
          <w:rFonts w:ascii="Arial" w:hAnsi="Arial" w:cs="Arial"/>
        </w:rPr>
      </w:pPr>
      <w:r w:rsidRPr="00E3148A">
        <w:rPr>
          <w:rFonts w:ascii="Arial" w:hAnsi="Arial" w:cs="Arial"/>
        </w:rPr>
        <w:t>Cabe también hipotecar buques y bienes de distinta naturaleza (por ejemplo, fincas) en garantía de obligación u obligaciones principales</w:t>
      </w:r>
      <w:r w:rsidRPr="00E3148A">
        <w:rPr>
          <w:rStyle w:val="Refdenotaalpie"/>
          <w:rFonts w:ascii="Arial" w:hAnsi="Arial" w:cs="Arial"/>
          <w:sz w:val="24"/>
          <w:szCs w:val="24"/>
        </w:rPr>
        <w:footnoteReference w:id="9"/>
      </w:r>
      <w:r w:rsidRPr="00E3148A">
        <w:rPr>
          <w:rFonts w:ascii="Arial" w:hAnsi="Arial" w:cs="Arial"/>
        </w:rPr>
        <w:t>. En estos supuestos, sólo es hipoteca naval a efectos de la LNM y el Convenio de 1993 la que tenga por objeto el buque, no el bien de distinta naturaleza, que se rige por sus normas hipotecarias específicas o generales</w:t>
      </w:r>
    </w:p>
    <w:p w14:paraId="7C885918" w14:textId="77777777" w:rsidR="004F57C5" w:rsidRPr="00E3148A" w:rsidRDefault="004F57C5" w:rsidP="004F57C5">
      <w:pPr>
        <w:jc w:val="both"/>
        <w:rPr>
          <w:rFonts w:ascii="Arial" w:hAnsi="Arial" w:cs="Arial"/>
        </w:rPr>
      </w:pPr>
      <w:r w:rsidRPr="00E3148A">
        <w:rPr>
          <w:rFonts w:ascii="Arial" w:hAnsi="Arial" w:cs="Arial"/>
        </w:rPr>
        <w:t xml:space="preserve">La hipoteca puede recaer sobre buques mercantes u otros civiles empleados en actividades no mercantiles. Por ejemplo, los buques civiles empleados en la pesca, la navegación de recreo o deportiva, investigación oceanográfica, trabajos marítimos, etc., también pueden hipotecarse conforme a la LNM y el Convenio de 1993 en garantía del cumplimiento de obligaciones. </w:t>
      </w:r>
    </w:p>
    <w:p w14:paraId="15CEF2DF" w14:textId="0D784252" w:rsidR="004F57C5" w:rsidRPr="00E3148A" w:rsidRDefault="004F57C5" w:rsidP="004F57C5">
      <w:pPr>
        <w:jc w:val="both"/>
        <w:rPr>
          <w:rFonts w:ascii="Arial" w:hAnsi="Arial" w:cs="Arial"/>
        </w:rPr>
      </w:pPr>
      <w:r w:rsidRPr="00E3148A">
        <w:rPr>
          <w:rFonts w:ascii="Arial" w:hAnsi="Arial" w:cs="Arial"/>
        </w:rPr>
        <w:t xml:space="preserve">La hipoteca naval no se condiciona tampoco a un tamaño específico del buque. El art. 126.2 LNM declara que cabe la hipoteca de las embarcaciones y los artefactos flotantes en tanto su respectiva naturaleza lo permita. La “embarcación” se define legalmente como el vehículo que carezca de cubierta corrida y el de eslora inferior a veinticuatro metros, siempre que, en uno y otro caso, no sea calificado reglamentariamente como unidad menor en atención a sus características de propulsión o de utilización (art. 57 LNM). </w:t>
      </w:r>
    </w:p>
    <w:p w14:paraId="1CEC651B" w14:textId="6E5FFDAC" w:rsidR="004F57C5" w:rsidRPr="00E3148A" w:rsidRDefault="004F57C5" w:rsidP="004F57C5">
      <w:pPr>
        <w:jc w:val="both"/>
        <w:rPr>
          <w:rFonts w:ascii="Arial" w:hAnsi="Arial" w:cs="Arial"/>
        </w:rPr>
      </w:pPr>
      <w:r w:rsidRPr="00E3148A">
        <w:rPr>
          <w:rFonts w:ascii="Arial" w:hAnsi="Arial" w:cs="Arial"/>
        </w:rPr>
        <w:t>El “artefacto naval”, por su parte, es una construcción flotante cuyo destino no es la navegación, sino quedar situada en un punto fijo de las aguas, disponiendo de capacidad y estructura para albergar personas o cosas (art. 58.1 LNM). Por ejemplo, una batea</w:t>
      </w:r>
      <w:r w:rsidRPr="00E3148A">
        <w:rPr>
          <w:rStyle w:val="Refdenotaalpie"/>
          <w:rFonts w:ascii="Arial" w:hAnsi="Arial" w:cs="Arial"/>
          <w:sz w:val="24"/>
          <w:szCs w:val="24"/>
        </w:rPr>
        <w:footnoteReference w:id="10"/>
      </w:r>
      <w:r w:rsidRPr="00E3148A">
        <w:rPr>
          <w:rFonts w:ascii="Arial" w:hAnsi="Arial" w:cs="Arial"/>
        </w:rPr>
        <w:t>. También es un artefacto naval, a efectos legales. el buque que ha perdido su condición al haber quedado amarrado, fondeado o varado en un lugar fijo y usado para fines distintos de la navegación (art. 58.2 LNM).</w:t>
      </w:r>
    </w:p>
    <w:p w14:paraId="1E9A5E03" w14:textId="59EBD69B" w:rsidR="00C738A1" w:rsidRPr="00E3148A" w:rsidRDefault="00C738A1" w:rsidP="00C738A1">
      <w:pPr>
        <w:jc w:val="both"/>
        <w:rPr>
          <w:rFonts w:ascii="Arial" w:hAnsi="Arial" w:cs="Arial"/>
        </w:rPr>
      </w:pPr>
      <w:r w:rsidRPr="00E3148A">
        <w:rPr>
          <w:rFonts w:ascii="Arial" w:hAnsi="Arial" w:cs="Arial"/>
        </w:rPr>
        <w:t>La hipoteca naval sujeta directamente al cumplimiento de la obligación garantizada a las “partes integrantes del buque” (art. 134.1 LNM): son los elementos que forman parte de la estructura del buque, de forma que no pueden separarse sin menoscabarlo (art. 60.2). Por ejemplo, el casco, la máquina, el timón, el puente, etc.</w:t>
      </w:r>
      <w:r w:rsidR="00763CEC" w:rsidRPr="00E3148A">
        <w:rPr>
          <w:rFonts w:ascii="Arial" w:hAnsi="Arial" w:cs="Arial"/>
        </w:rPr>
        <w:t xml:space="preserve"> L</w:t>
      </w:r>
      <w:r w:rsidRPr="00E3148A">
        <w:rPr>
          <w:rFonts w:ascii="Arial" w:hAnsi="Arial" w:cs="Arial"/>
        </w:rPr>
        <w:t>a hipoteca naval sujeta en principio las pertenencias del buque (art. 134.1 LNM)</w:t>
      </w:r>
      <w:r w:rsidR="00763CEC" w:rsidRPr="00E3148A">
        <w:rPr>
          <w:rFonts w:ascii="Arial" w:hAnsi="Arial" w:cs="Arial"/>
        </w:rPr>
        <w:t xml:space="preserve">, </w:t>
      </w:r>
      <w:r w:rsidR="00E3148A" w:rsidRPr="00E3148A">
        <w:rPr>
          <w:rFonts w:ascii="Arial" w:hAnsi="Arial" w:cs="Arial"/>
        </w:rPr>
        <w:t>pues,</w:t>
      </w:r>
      <w:r w:rsidR="00763CEC" w:rsidRPr="00E3148A">
        <w:rPr>
          <w:rFonts w:ascii="Arial" w:hAnsi="Arial" w:cs="Arial"/>
        </w:rPr>
        <w:t xml:space="preserve"> aunque </w:t>
      </w:r>
      <w:r w:rsidRPr="00E3148A">
        <w:rPr>
          <w:rFonts w:ascii="Arial" w:hAnsi="Arial" w:cs="Arial"/>
        </w:rPr>
        <w:t>no integran su estructura, pero está destinados permanentemente al servicio del buque (art. 60.3 LNM). Como los botes salvavidas, el radar, la radio, etc. Con la excepción de que su propiedad a nombre de tercero esté inscrita en el Registro de Bienes Muebles o que un tercero haya adquirido su propiedad antes del negocio jurídico o acto generador de la hipoteca (arts. 62.2 y 134.1</w:t>
      </w:r>
      <w:r w:rsidR="00763CEC" w:rsidRPr="00E3148A">
        <w:rPr>
          <w:rFonts w:ascii="Arial" w:hAnsi="Arial" w:cs="Arial"/>
        </w:rPr>
        <w:t xml:space="preserve"> LNM</w:t>
      </w:r>
      <w:r w:rsidRPr="00E3148A">
        <w:rPr>
          <w:rFonts w:ascii="Arial" w:hAnsi="Arial" w:cs="Arial"/>
        </w:rPr>
        <w:t>).</w:t>
      </w:r>
    </w:p>
    <w:p w14:paraId="23155A5B" w14:textId="0B9FD07E" w:rsidR="00C738A1" w:rsidRPr="00E3148A" w:rsidRDefault="00763CEC" w:rsidP="00C738A1">
      <w:pPr>
        <w:jc w:val="both"/>
        <w:rPr>
          <w:rFonts w:ascii="Arial" w:hAnsi="Arial" w:cs="Arial"/>
        </w:rPr>
      </w:pPr>
      <w:r w:rsidRPr="00E3148A">
        <w:rPr>
          <w:rFonts w:ascii="Arial" w:hAnsi="Arial" w:cs="Arial"/>
        </w:rPr>
        <w:t>En cambio, l</w:t>
      </w:r>
      <w:r w:rsidR="00C738A1" w:rsidRPr="00E3148A">
        <w:rPr>
          <w:rFonts w:ascii="Arial" w:hAnsi="Arial" w:cs="Arial"/>
        </w:rPr>
        <w:t xml:space="preserve">a hipoteca naval no se extiende, como regla general, a los accesorios del buque hipotecado (art. 134.1 LNM): se trata de los elementos consumibles adscritos al buque de un modo temporal (art. 61). Por ejemplo, los víveres o el combustible. Están legalmente excluidos de la hipoteca y no pueden ser objeto de realización forzosa, </w:t>
      </w:r>
      <w:r w:rsidR="00C738A1" w:rsidRPr="00E3148A">
        <w:rPr>
          <w:rFonts w:ascii="Arial" w:hAnsi="Arial" w:cs="Arial"/>
          <w:i/>
        </w:rPr>
        <w:t>salvo pacto en contrario</w:t>
      </w:r>
      <w:r w:rsidR="00C738A1" w:rsidRPr="00E3148A">
        <w:rPr>
          <w:rFonts w:ascii="Arial" w:hAnsi="Arial" w:cs="Arial"/>
        </w:rPr>
        <w:t xml:space="preserve"> (arts. 62.1 y 134.1). </w:t>
      </w:r>
    </w:p>
    <w:p w14:paraId="381A0A88" w14:textId="77777777" w:rsidR="00DD3B41" w:rsidRPr="00E3148A" w:rsidRDefault="00763CEC" w:rsidP="00DD3B41">
      <w:pPr>
        <w:jc w:val="both"/>
        <w:rPr>
          <w:rFonts w:ascii="Arial" w:hAnsi="Arial" w:cs="Arial"/>
        </w:rPr>
      </w:pPr>
      <w:r w:rsidRPr="00E3148A">
        <w:rPr>
          <w:rFonts w:ascii="Arial" w:hAnsi="Arial" w:cs="Arial"/>
        </w:rPr>
        <w:t>Asimismo, l</w:t>
      </w:r>
      <w:r w:rsidR="00C738A1" w:rsidRPr="00E3148A">
        <w:rPr>
          <w:rFonts w:ascii="Arial" w:hAnsi="Arial" w:cs="Arial"/>
        </w:rPr>
        <w:t xml:space="preserve">a hipoteca naval se extiende, </w:t>
      </w:r>
      <w:r w:rsidR="00C738A1" w:rsidRPr="00E3148A">
        <w:rPr>
          <w:rFonts w:ascii="Arial" w:hAnsi="Arial" w:cs="Arial"/>
          <w:i/>
        </w:rPr>
        <w:t>salvo pacto expreso en contrario</w:t>
      </w:r>
      <w:r w:rsidR="00C738A1" w:rsidRPr="00E3148A">
        <w:rPr>
          <w:rFonts w:ascii="Arial" w:hAnsi="Arial" w:cs="Arial"/>
        </w:rPr>
        <w:t>, a las indemnizaciones por daños materiales ocasionados al buque y no reparados por abordaje u otros accidentes, así como a la contribución a la avería gruesa y a la del seguro, tanto por averías no reparadas sufridas por el buque, como por pérdida total del mismo (art. 134.2 LNM)</w:t>
      </w:r>
      <w:r w:rsidR="00C738A1" w:rsidRPr="00E3148A">
        <w:rPr>
          <w:rStyle w:val="Refdenotaalpie"/>
          <w:rFonts w:ascii="Arial" w:hAnsi="Arial" w:cs="Arial"/>
          <w:sz w:val="24"/>
          <w:szCs w:val="24"/>
        </w:rPr>
        <w:footnoteReference w:id="11"/>
      </w:r>
      <w:r w:rsidR="00C738A1" w:rsidRPr="00E3148A">
        <w:rPr>
          <w:rFonts w:ascii="Arial" w:hAnsi="Arial" w:cs="Arial"/>
        </w:rPr>
        <w:t>.</w:t>
      </w:r>
      <w:r w:rsidR="00DD3B41" w:rsidRPr="00E3148A">
        <w:rPr>
          <w:rFonts w:ascii="Arial" w:hAnsi="Arial" w:cs="Arial"/>
        </w:rPr>
        <w:t xml:space="preserve"> </w:t>
      </w:r>
    </w:p>
    <w:p w14:paraId="31E4E33A" w14:textId="44BD956B" w:rsidR="00DD3B41" w:rsidRPr="00E3148A" w:rsidRDefault="00DD3B41" w:rsidP="00DD3B41">
      <w:pPr>
        <w:jc w:val="both"/>
        <w:rPr>
          <w:rFonts w:ascii="Arial" w:hAnsi="Arial" w:cs="Arial"/>
        </w:rPr>
      </w:pPr>
      <w:r w:rsidRPr="00E3148A">
        <w:rPr>
          <w:rFonts w:ascii="Arial" w:hAnsi="Arial" w:cs="Arial"/>
        </w:rPr>
        <w:t xml:space="preserve">Como norma específica, para que la hipoteca naval se extienda a la indemnización de seguro, el acreedor hipotecario ha de notificar fehacientemente al asegurador que existe una hipoteca naval sobre el buque. Una vez recibida dicha notificación, el asegurador no podrá pagar indemnización alguna por pérdida o averías no reparadas sin que lo consienta el acreedor hipotecario (art. 135 LNM). Es práctica habitual incluir en las pólizas de seguro unas cláusulas de subrogación automática a favor del acreedor hipotecario sobre las indemnizaciones, que clarifican su derecho directo de cobro. </w:t>
      </w:r>
    </w:p>
    <w:p w14:paraId="34EDF0AD" w14:textId="77777777" w:rsidR="00DD3B41" w:rsidRPr="00E3148A" w:rsidRDefault="00DD3B41" w:rsidP="00DD3B41">
      <w:pPr>
        <w:jc w:val="both"/>
        <w:rPr>
          <w:rFonts w:ascii="Arial" w:hAnsi="Arial" w:cs="Arial"/>
        </w:rPr>
      </w:pPr>
      <w:r w:rsidRPr="00E3148A">
        <w:rPr>
          <w:rFonts w:ascii="Arial" w:hAnsi="Arial" w:cs="Arial"/>
        </w:rPr>
        <w:t xml:space="preserve">La hipoteca naval puede extenderse, si se pacta así, que incluya las licencias vinculadas al buque, a condición de que lo permitan las disposiciones que regulen su concesión (art. 134.3 LNM). Se trata de una novedad respecto al derecho anterior de la derogada Ley de hipoteca naval de 1893. </w:t>
      </w:r>
    </w:p>
    <w:p w14:paraId="4019831F" w14:textId="1A45DC2A" w:rsidR="004F57C5" w:rsidRPr="00E3148A" w:rsidRDefault="00DD3B41" w:rsidP="004F57C5">
      <w:pPr>
        <w:jc w:val="both"/>
        <w:rPr>
          <w:rFonts w:ascii="Arial" w:hAnsi="Arial" w:cs="Arial"/>
        </w:rPr>
      </w:pPr>
      <w:r w:rsidRPr="00E3148A">
        <w:rPr>
          <w:rFonts w:ascii="Arial" w:hAnsi="Arial" w:cs="Arial"/>
        </w:rPr>
        <w:t>En cambio, entre las exclusiones, l</w:t>
      </w:r>
      <w:r w:rsidR="004F57C5" w:rsidRPr="00E3148A">
        <w:rPr>
          <w:rFonts w:ascii="Arial" w:hAnsi="Arial" w:cs="Arial"/>
        </w:rPr>
        <w:t>a hipoteca sobre buques de guerra y otros de Estado no constituye una “hipoteca naval” a los efectos de la LNM y el Convenio de 1993, pues los excluyen respectivamente de su ámbito de aplicación (art. 3 LNM y 13.2 Conv</w:t>
      </w:r>
      <w:r w:rsidRPr="00E3148A">
        <w:rPr>
          <w:rFonts w:ascii="Arial" w:hAnsi="Arial" w:cs="Arial"/>
        </w:rPr>
        <w:t>e</w:t>
      </w:r>
      <w:r w:rsidR="004F57C5" w:rsidRPr="00E3148A">
        <w:rPr>
          <w:rFonts w:ascii="Arial" w:hAnsi="Arial" w:cs="Arial"/>
        </w:rPr>
        <w:t xml:space="preserve">nio de 1993). La hipoteca de este tipo de buques se regulará por las normas generales de la Ley Hipotecaria u otras específicas que puedan ser de aplicación. </w:t>
      </w:r>
    </w:p>
    <w:p w14:paraId="2DC808EA" w14:textId="2CD87D84" w:rsidR="004F57C5" w:rsidRPr="00E3148A" w:rsidRDefault="004F57C5" w:rsidP="004F57C5">
      <w:pPr>
        <w:jc w:val="both"/>
        <w:rPr>
          <w:rFonts w:ascii="Arial" w:hAnsi="Arial" w:cs="Arial"/>
        </w:rPr>
      </w:pPr>
      <w:r w:rsidRPr="00E3148A">
        <w:rPr>
          <w:rFonts w:ascii="Arial" w:hAnsi="Arial" w:cs="Arial"/>
        </w:rPr>
        <w:t xml:space="preserve">Finalmente, a efectos de aplicación del régimen especial de hipotecas navales una plataforma fija no es asimilable a un buque. Definida en el art. 9.4 El Real Decreto Legislativo 2/2011, de 5 de septiembre, por el que se aprueba el Texto Refundido de la Ley de Puertos del Estado y de la Marina Mercante (en adelante TRLPEMM), como artefacto o instalación susceptible de realizar operaciones de exploración o explotación de recursos marítimos o de destinarse a cualesquiera otras actividades, emplazadas sobre el lecho de la mar, anclado o apoyado en él, el art. 59.2 TRLPEMM añade que, por encontrarse sujeta al fondo de las aguas, la plataforma fija se considera un </w:t>
      </w:r>
      <w:r w:rsidRPr="00E3148A">
        <w:rPr>
          <w:rFonts w:ascii="Arial" w:hAnsi="Arial" w:cs="Arial"/>
          <w:i/>
          <w:iCs/>
        </w:rPr>
        <w:t>bien inmueble</w:t>
      </w:r>
      <w:r w:rsidRPr="00E3148A">
        <w:rPr>
          <w:rFonts w:ascii="Arial" w:hAnsi="Arial" w:cs="Arial"/>
        </w:rPr>
        <w:t xml:space="preserve"> con arreglo al Código Civil. </w:t>
      </w:r>
      <w:r w:rsidR="00D02C79" w:rsidRPr="00E3148A">
        <w:rPr>
          <w:rFonts w:ascii="Arial" w:hAnsi="Arial" w:cs="Arial"/>
        </w:rPr>
        <w:t xml:space="preserve">En conclusión, la </w:t>
      </w:r>
      <w:r w:rsidRPr="00E3148A">
        <w:rPr>
          <w:rFonts w:ascii="Arial" w:hAnsi="Arial" w:cs="Arial"/>
        </w:rPr>
        <w:t>hipoteca</w:t>
      </w:r>
      <w:r w:rsidR="00D02C79" w:rsidRPr="00E3148A">
        <w:rPr>
          <w:rFonts w:ascii="Arial" w:hAnsi="Arial" w:cs="Arial"/>
        </w:rPr>
        <w:t xml:space="preserve"> de la plataforma fija se regirá por la </w:t>
      </w:r>
      <w:r w:rsidRPr="00E3148A">
        <w:rPr>
          <w:rFonts w:ascii="Arial" w:hAnsi="Arial" w:cs="Arial"/>
        </w:rPr>
        <w:t>L</w:t>
      </w:r>
      <w:r w:rsidR="00D02C79" w:rsidRPr="00E3148A">
        <w:rPr>
          <w:rFonts w:ascii="Arial" w:hAnsi="Arial" w:cs="Arial"/>
        </w:rPr>
        <w:t>ey hipotecaria, no por la LNM y el Convenio de 1993</w:t>
      </w:r>
      <w:r w:rsidRPr="00E3148A">
        <w:rPr>
          <w:rFonts w:ascii="Arial" w:hAnsi="Arial" w:cs="Arial"/>
        </w:rPr>
        <w:t>.</w:t>
      </w:r>
    </w:p>
    <w:p w14:paraId="67B152FD" w14:textId="33EF6E43" w:rsidR="004F57C5" w:rsidRPr="00E3148A" w:rsidRDefault="004F57C5" w:rsidP="002604FC">
      <w:pPr>
        <w:jc w:val="both"/>
        <w:rPr>
          <w:rFonts w:ascii="Arial" w:hAnsi="Arial" w:cs="Arial"/>
        </w:rPr>
      </w:pPr>
    </w:p>
    <w:p w14:paraId="6CCE9870" w14:textId="25B66C12" w:rsidR="00763BF3" w:rsidRPr="00E3148A" w:rsidRDefault="00E3148A" w:rsidP="00E3148A">
      <w:pPr>
        <w:jc w:val="both"/>
        <w:rPr>
          <w:rFonts w:ascii="Arial" w:hAnsi="Arial" w:cs="Arial"/>
          <w:b/>
        </w:rPr>
      </w:pPr>
      <w:r w:rsidRPr="00E3148A">
        <w:rPr>
          <w:rFonts w:ascii="Arial" w:hAnsi="Arial" w:cs="Arial"/>
          <w:b/>
        </w:rPr>
        <w:t>1</w:t>
      </w:r>
      <w:r w:rsidR="00763BF3" w:rsidRPr="00E3148A">
        <w:rPr>
          <w:rFonts w:ascii="Arial" w:hAnsi="Arial" w:cs="Arial"/>
          <w:b/>
        </w:rPr>
        <w:t xml:space="preserve">.4. Personas que pueden constituir la hipoteca naval. Obligaciones propias o ajenas </w:t>
      </w:r>
    </w:p>
    <w:p w14:paraId="3AD956B3" w14:textId="52D6968B" w:rsidR="00763BF3" w:rsidRPr="00E3148A" w:rsidRDefault="00DA1DB9" w:rsidP="002604FC">
      <w:pPr>
        <w:pStyle w:val="parrafo"/>
        <w:spacing w:before="0" w:beforeAutospacing="0" w:after="0" w:afterAutospacing="0"/>
        <w:jc w:val="both"/>
        <w:rPr>
          <w:rFonts w:ascii="Arial" w:hAnsi="Arial" w:cs="Arial"/>
          <w:color w:val="000000"/>
        </w:rPr>
      </w:pPr>
      <w:r w:rsidRPr="00E3148A">
        <w:rPr>
          <w:rFonts w:ascii="Arial" w:hAnsi="Arial" w:cs="Arial"/>
          <w:color w:val="000000"/>
        </w:rPr>
        <w:t>El art. 130</w:t>
      </w:r>
      <w:r w:rsidR="00763BF3" w:rsidRPr="00E3148A">
        <w:rPr>
          <w:rFonts w:ascii="Arial" w:hAnsi="Arial" w:cs="Arial"/>
          <w:color w:val="000000"/>
        </w:rPr>
        <w:t xml:space="preserve"> LNM condiciona la hipoteca a la propiedad del buque, pues sólo pueden constituir hipoteca naval los propietarios que tengan la libre disposición de sus bienes o, en caso de no tenerla, por quienes se hallen autorizados para ello con arreglo a la ley</w:t>
      </w:r>
      <w:r w:rsidRPr="00E3148A">
        <w:rPr>
          <w:rFonts w:ascii="Arial" w:hAnsi="Arial" w:cs="Arial"/>
          <w:color w:val="000000"/>
        </w:rPr>
        <w:t>, bien por sí</w:t>
      </w:r>
      <w:r w:rsidR="00763BF3" w:rsidRPr="00E3148A">
        <w:rPr>
          <w:rFonts w:ascii="Arial" w:hAnsi="Arial" w:cs="Arial"/>
          <w:color w:val="000000"/>
        </w:rPr>
        <w:t xml:space="preserve"> </w:t>
      </w:r>
      <w:r w:rsidRPr="00E3148A">
        <w:rPr>
          <w:rFonts w:ascii="Arial" w:hAnsi="Arial" w:cs="Arial"/>
          <w:color w:val="000000"/>
        </w:rPr>
        <w:t xml:space="preserve">mismos, bien </w:t>
      </w:r>
      <w:r w:rsidR="00763BF3" w:rsidRPr="00E3148A">
        <w:rPr>
          <w:rFonts w:ascii="Arial" w:hAnsi="Arial" w:cs="Arial"/>
          <w:color w:val="000000"/>
        </w:rPr>
        <w:t>por medio de apoderado con poder especial (art. 130.2).</w:t>
      </w:r>
      <w:r w:rsidR="00763BF3" w:rsidRPr="00E3148A">
        <w:rPr>
          <w:rFonts w:ascii="Arial" w:hAnsi="Arial" w:cs="Arial"/>
        </w:rPr>
        <w:t xml:space="preserve"> </w:t>
      </w:r>
      <w:r w:rsidR="00763BF3" w:rsidRPr="00E3148A">
        <w:rPr>
          <w:rFonts w:ascii="Arial" w:hAnsi="Arial" w:cs="Arial"/>
          <w:color w:val="000000"/>
        </w:rPr>
        <w:t>Es preceptivo que el propietario del buque haya inscrito previamente su derecho de propiedad sobre el buque en el Registro de Bienes Muebles (arts. 145 y 146 RRM 1956).</w:t>
      </w:r>
    </w:p>
    <w:p w14:paraId="3EDFE5D9" w14:textId="37A4E5E4" w:rsidR="00763BF3" w:rsidRPr="00E3148A" w:rsidRDefault="00BF7D0E" w:rsidP="002604FC">
      <w:pPr>
        <w:jc w:val="both"/>
        <w:rPr>
          <w:rFonts w:ascii="Arial" w:hAnsi="Arial" w:cs="Arial"/>
        </w:rPr>
      </w:pPr>
      <w:r w:rsidRPr="00E3148A">
        <w:rPr>
          <w:rFonts w:ascii="Arial" w:hAnsi="Arial" w:cs="Arial"/>
        </w:rPr>
        <w:t xml:space="preserve">Por lo que respecta al </w:t>
      </w:r>
      <w:r w:rsidR="00763BF3" w:rsidRPr="00E3148A">
        <w:rPr>
          <w:rFonts w:ascii="Arial" w:hAnsi="Arial" w:cs="Arial"/>
        </w:rPr>
        <w:t>buque en construcción</w:t>
      </w:r>
      <w:r w:rsidRPr="00E3148A">
        <w:rPr>
          <w:rFonts w:ascii="Arial" w:hAnsi="Arial" w:cs="Arial"/>
        </w:rPr>
        <w:t>, el</w:t>
      </w:r>
      <w:r w:rsidR="00763BF3" w:rsidRPr="00E3148A">
        <w:rPr>
          <w:rFonts w:ascii="Arial" w:hAnsi="Arial" w:cs="Arial"/>
        </w:rPr>
        <w:t xml:space="preserve"> </w:t>
      </w:r>
      <w:r w:rsidRPr="00E3148A">
        <w:rPr>
          <w:rFonts w:ascii="Arial" w:hAnsi="Arial" w:cs="Arial"/>
        </w:rPr>
        <w:t xml:space="preserve">legitimado para constituir hipoteca naval es </w:t>
      </w:r>
      <w:r w:rsidR="00763BF3" w:rsidRPr="00E3148A">
        <w:rPr>
          <w:rFonts w:ascii="Arial" w:hAnsi="Arial" w:cs="Arial"/>
        </w:rPr>
        <w:t>constructor</w:t>
      </w:r>
      <w:r w:rsidRPr="00E3148A">
        <w:rPr>
          <w:rFonts w:ascii="Arial" w:hAnsi="Arial" w:cs="Arial"/>
        </w:rPr>
        <w:t xml:space="preserve">, como </w:t>
      </w:r>
      <w:r w:rsidR="00763BF3" w:rsidRPr="00E3148A">
        <w:rPr>
          <w:rFonts w:ascii="Arial" w:hAnsi="Arial" w:cs="Arial"/>
        </w:rPr>
        <w:t>propietario hasta que no haya transmisión de la propiedad al “comitente” (art. 110.1 LNM). En estos casos, la hipoteca naval podrá también constituirla el comitente si se le hubiere concedido especialmente esta facultad (art. 130.3). Los buques en construcción que vayan a ser hipotecados necesitan preceptivamente ser inscritos en l</w:t>
      </w:r>
      <w:r w:rsidR="002840DE" w:rsidRPr="00E3148A">
        <w:rPr>
          <w:rFonts w:ascii="Arial" w:hAnsi="Arial" w:cs="Arial"/>
        </w:rPr>
        <w:t>a Sección de Buques del</w:t>
      </w:r>
      <w:r w:rsidR="00763BF3" w:rsidRPr="00E3148A">
        <w:rPr>
          <w:rFonts w:ascii="Arial" w:hAnsi="Arial" w:cs="Arial"/>
        </w:rPr>
        <w:t xml:space="preserve"> Registro de Bienes Muebles (art. 69.3 LNM).</w:t>
      </w:r>
    </w:p>
    <w:p w14:paraId="2E8180FD" w14:textId="2C8F0E0B" w:rsidR="00763BF3" w:rsidRPr="00E3148A" w:rsidRDefault="00763BF3" w:rsidP="002604FC">
      <w:pPr>
        <w:jc w:val="both"/>
        <w:rPr>
          <w:rFonts w:ascii="Arial" w:hAnsi="Arial" w:cs="Arial"/>
        </w:rPr>
      </w:pPr>
      <w:r w:rsidRPr="00E3148A">
        <w:rPr>
          <w:rFonts w:ascii="Arial" w:hAnsi="Arial" w:cs="Arial"/>
        </w:rPr>
        <w:t>La LNM no regula la hipoteca naval de los copropietarios del buque. Por aplicación analógica de las normas del condominio naval para actividad mercantil, el otorgamiento del contrato de hipoteca naval requiere el acuerdo de los condueños que representen la mayoría de las cuotas de la copropiedad. Un solo condueño puede ostentar dicha mayoría (art. 151</w:t>
      </w:r>
      <w:r w:rsidR="002840DE" w:rsidRPr="00E3148A">
        <w:rPr>
          <w:rFonts w:ascii="Arial" w:hAnsi="Arial" w:cs="Arial"/>
        </w:rPr>
        <w:t xml:space="preserve"> LNM</w:t>
      </w:r>
      <w:r w:rsidRPr="00E3148A">
        <w:rPr>
          <w:rFonts w:ascii="Arial" w:hAnsi="Arial" w:cs="Arial"/>
        </w:rPr>
        <w:t xml:space="preserve">). El administrador o administradores del condominio naval, si los copropietarios los hubiesen nombrado, también podrían hipotecar el buque común (art. 153). </w:t>
      </w:r>
    </w:p>
    <w:p w14:paraId="393E2481" w14:textId="77777777" w:rsidR="00763BF3" w:rsidRPr="00E3148A" w:rsidRDefault="00763BF3" w:rsidP="002604FC">
      <w:pPr>
        <w:jc w:val="both"/>
        <w:rPr>
          <w:rFonts w:ascii="Arial" w:hAnsi="Arial" w:cs="Arial"/>
        </w:rPr>
      </w:pPr>
      <w:r w:rsidRPr="00E3148A">
        <w:rPr>
          <w:rFonts w:ascii="Arial" w:hAnsi="Arial" w:cs="Arial"/>
        </w:rPr>
        <w:t>Finalmente, el propietario/s del buque pueden constituir la hipoteca para garantizar obligaciones personales, pero también obligaciones «</w:t>
      </w:r>
      <w:r w:rsidRPr="00E3148A">
        <w:rPr>
          <w:rFonts w:ascii="Arial" w:hAnsi="Arial" w:cs="Arial"/>
          <w:i/>
        </w:rPr>
        <w:t>ajenas</w:t>
      </w:r>
      <w:r w:rsidRPr="00E3148A">
        <w:rPr>
          <w:rFonts w:ascii="Arial" w:hAnsi="Arial" w:cs="Arial"/>
        </w:rPr>
        <w:t xml:space="preserve">», de personas distintas. Sigue la regla general del art. 1857 </w:t>
      </w:r>
      <w:r w:rsidRPr="00E3148A">
        <w:rPr>
          <w:rFonts w:ascii="Arial" w:hAnsi="Arial" w:cs="Arial"/>
          <w:i/>
        </w:rPr>
        <w:t>in fine</w:t>
      </w:r>
      <w:r w:rsidRPr="00E3148A">
        <w:rPr>
          <w:rFonts w:ascii="Arial" w:hAnsi="Arial" w:cs="Arial"/>
        </w:rPr>
        <w:t xml:space="preserve"> CC, que prevé que las personas extrañas a la obligación principal también pueden asegurar ésta hipotecando sus propios bienes. Surge así la figura del «</w:t>
      </w:r>
      <w:r w:rsidRPr="00E3148A">
        <w:rPr>
          <w:rFonts w:ascii="Arial" w:hAnsi="Arial" w:cs="Arial"/>
          <w:i/>
        </w:rPr>
        <w:t>hipotecante no deudor</w:t>
      </w:r>
      <w:r w:rsidRPr="00E3148A">
        <w:rPr>
          <w:rFonts w:ascii="Arial" w:hAnsi="Arial" w:cs="Arial"/>
        </w:rPr>
        <w:t xml:space="preserve">». La relación que mantenga el hipotecante no deudor con el deudor de la obligación principal es la causa de garantizar con bienes propios la obligación de otro. </w:t>
      </w:r>
    </w:p>
    <w:p w14:paraId="200B445A" w14:textId="77777777" w:rsidR="00763BF3" w:rsidRPr="00E3148A" w:rsidRDefault="00763BF3" w:rsidP="002604FC">
      <w:pPr>
        <w:pStyle w:val="Prrafodelista"/>
        <w:contextualSpacing w:val="0"/>
        <w:jc w:val="both"/>
        <w:rPr>
          <w:rFonts w:ascii="Arial" w:hAnsi="Arial" w:cs="Arial"/>
        </w:rPr>
      </w:pPr>
    </w:p>
    <w:p w14:paraId="6B4A0237" w14:textId="63249155" w:rsidR="00763BF3" w:rsidRPr="00E3148A" w:rsidRDefault="00E3148A" w:rsidP="00E3148A">
      <w:pPr>
        <w:jc w:val="both"/>
        <w:rPr>
          <w:rFonts w:ascii="Arial" w:hAnsi="Arial" w:cs="Arial"/>
          <w:b/>
        </w:rPr>
      </w:pPr>
      <w:r w:rsidRPr="00E3148A">
        <w:rPr>
          <w:rFonts w:ascii="Arial" w:hAnsi="Arial" w:cs="Arial"/>
          <w:b/>
        </w:rPr>
        <w:t>1</w:t>
      </w:r>
      <w:r w:rsidR="00763BF3" w:rsidRPr="00E3148A">
        <w:rPr>
          <w:rFonts w:ascii="Arial" w:hAnsi="Arial" w:cs="Arial"/>
          <w:b/>
        </w:rPr>
        <w:t>.5. El acreedor hipotecario naval</w:t>
      </w:r>
    </w:p>
    <w:p w14:paraId="0D504D74" w14:textId="77777777" w:rsidR="00CA33F6" w:rsidRPr="00E3148A" w:rsidRDefault="000D0E0A" w:rsidP="002604FC">
      <w:pPr>
        <w:jc w:val="both"/>
        <w:rPr>
          <w:rFonts w:ascii="Arial" w:hAnsi="Arial" w:cs="Arial"/>
        </w:rPr>
      </w:pPr>
      <w:r w:rsidRPr="00E3148A">
        <w:rPr>
          <w:rFonts w:ascii="Arial" w:hAnsi="Arial" w:cs="Arial"/>
        </w:rPr>
        <w:t>El acreedor hipotecario suele ser una entidad de crédito</w:t>
      </w:r>
      <w:r w:rsidR="00521BCC" w:rsidRPr="00E3148A">
        <w:rPr>
          <w:rFonts w:ascii="Arial" w:hAnsi="Arial" w:cs="Arial"/>
        </w:rPr>
        <w:t xml:space="preserve"> que ha otorgado un préstamo y que se ha constituido una hipoteca naval en su favor sobre el buque o embarcación</w:t>
      </w:r>
      <w:r w:rsidR="00521BCC" w:rsidRPr="00E3148A">
        <w:rPr>
          <w:rStyle w:val="Refdenotaalpie"/>
          <w:rFonts w:ascii="Arial" w:hAnsi="Arial" w:cs="Arial"/>
          <w:sz w:val="24"/>
          <w:szCs w:val="24"/>
        </w:rPr>
        <w:footnoteReference w:id="12"/>
      </w:r>
      <w:r w:rsidR="00521BCC" w:rsidRPr="00E3148A">
        <w:rPr>
          <w:rFonts w:ascii="Arial" w:hAnsi="Arial" w:cs="Arial"/>
        </w:rPr>
        <w:t xml:space="preserve">. </w:t>
      </w:r>
      <w:r w:rsidR="007A6BCF" w:rsidRPr="00E3148A">
        <w:rPr>
          <w:rFonts w:ascii="Arial" w:hAnsi="Arial" w:cs="Arial"/>
        </w:rPr>
        <w:t xml:space="preserve">También puede ser constituida a favor de </w:t>
      </w:r>
      <w:r w:rsidR="000649E8" w:rsidRPr="00E3148A">
        <w:rPr>
          <w:rFonts w:ascii="Arial" w:hAnsi="Arial" w:cs="Arial"/>
        </w:rPr>
        <w:t>personas físicas o jurídicas distintas, de naturaleza privada o pública, por ejemplo, a favor del Estado o de uno de sus organismos</w:t>
      </w:r>
      <w:r w:rsidR="000649E8" w:rsidRPr="00E3148A">
        <w:rPr>
          <w:rStyle w:val="Refdenotaalpie"/>
          <w:rFonts w:ascii="Arial" w:hAnsi="Arial" w:cs="Arial"/>
          <w:sz w:val="24"/>
          <w:szCs w:val="24"/>
        </w:rPr>
        <w:footnoteReference w:id="13"/>
      </w:r>
      <w:r w:rsidR="000649E8" w:rsidRPr="00E3148A">
        <w:rPr>
          <w:rFonts w:ascii="Arial" w:hAnsi="Arial" w:cs="Arial"/>
        </w:rPr>
        <w:t>.</w:t>
      </w:r>
    </w:p>
    <w:p w14:paraId="3B5E1CC7" w14:textId="1BD657EB" w:rsidR="000209A4" w:rsidRPr="00E3148A" w:rsidRDefault="00CA33F6" w:rsidP="002604FC">
      <w:pPr>
        <w:jc w:val="both"/>
        <w:rPr>
          <w:rFonts w:ascii="Arial" w:hAnsi="Arial" w:cs="Arial"/>
        </w:rPr>
      </w:pPr>
      <w:r w:rsidRPr="00E3148A">
        <w:rPr>
          <w:rFonts w:ascii="Arial" w:hAnsi="Arial" w:cs="Arial"/>
        </w:rPr>
        <w:t>Si son varias entidades de crédito que concurren conjuntamente como parte activa en un préstamo sindicado, el contrato debe indicar el importe del préstamo de que es titular cada acreedor, aunque la hipoteca sea única, de acuerdo con el principio de indivisibilidad. Esta pluralidad de acreedores hipotecarios puede ejercer sus derechos directamente o nombrar un agente en representación de todos ellos</w:t>
      </w:r>
      <w:r w:rsidRPr="00E3148A">
        <w:rPr>
          <w:rStyle w:val="Refdenotaalpie"/>
          <w:rFonts w:ascii="Arial" w:hAnsi="Arial" w:cs="Arial"/>
          <w:sz w:val="24"/>
          <w:szCs w:val="24"/>
        </w:rPr>
        <w:footnoteReference w:id="14"/>
      </w:r>
      <w:r w:rsidRPr="00E3148A">
        <w:rPr>
          <w:rFonts w:ascii="Arial" w:hAnsi="Arial" w:cs="Arial"/>
        </w:rPr>
        <w:t>.</w:t>
      </w:r>
    </w:p>
    <w:p w14:paraId="181C74B1" w14:textId="77777777" w:rsidR="00E93E89" w:rsidRPr="00E3148A" w:rsidRDefault="00E93E89" w:rsidP="00E93E89">
      <w:pPr>
        <w:jc w:val="both"/>
        <w:rPr>
          <w:rFonts w:ascii="Arial" w:hAnsi="Arial" w:cs="Arial"/>
        </w:rPr>
      </w:pPr>
      <w:r w:rsidRPr="00E3148A">
        <w:rPr>
          <w:rFonts w:ascii="Arial" w:hAnsi="Arial" w:cs="Arial"/>
        </w:rPr>
        <w:t xml:space="preserve">Además de la hipoteca naval constituida a favor de una o varias personas determinadas, el art. 129 LNM también admite la hipoteca naval a favor de quien resulte titular del crédito en las constituidas en garantía de títulos emitidos en forma nominativa, a la orden o al portador, </w:t>
      </w:r>
      <w:r w:rsidRPr="00E3148A">
        <w:rPr>
          <w:rFonts w:ascii="Arial" w:hAnsi="Arial" w:cs="Arial"/>
          <w:color w:val="000000"/>
          <w:shd w:val="clear" w:color="auto" w:fill="FFFFFF"/>
        </w:rPr>
        <w:t>conforme a lo establecido en la legislación hipotecaria.</w:t>
      </w:r>
    </w:p>
    <w:p w14:paraId="39029289" w14:textId="77777777" w:rsidR="00051741" w:rsidRPr="00E3148A" w:rsidRDefault="00051741" w:rsidP="00051741">
      <w:pPr>
        <w:widowControl w:val="0"/>
        <w:autoSpaceDE w:val="0"/>
        <w:autoSpaceDN w:val="0"/>
        <w:jc w:val="both"/>
        <w:rPr>
          <w:rFonts w:ascii="Arial" w:hAnsi="Arial" w:cs="Arial"/>
        </w:rPr>
      </w:pPr>
      <w:r w:rsidRPr="00E3148A">
        <w:rPr>
          <w:rFonts w:ascii="Arial" w:hAnsi="Arial" w:cs="Arial"/>
        </w:rPr>
        <w:t xml:space="preserve">El derecho del acreedor hipotecario es en principio transmisible, siempre y cuando se realice conforme a las formalidades exigidas legalmente. Varían según la constitución de la hipoteca naval en documentos ordinarios o en títulos cambiarios. </w:t>
      </w:r>
    </w:p>
    <w:p w14:paraId="32BC75F3" w14:textId="77777777" w:rsidR="00051741" w:rsidRPr="00E3148A" w:rsidRDefault="00051741" w:rsidP="00051741">
      <w:pPr>
        <w:pStyle w:val="Prrafodelista"/>
        <w:widowControl w:val="0"/>
        <w:autoSpaceDE w:val="0"/>
        <w:autoSpaceDN w:val="0"/>
        <w:jc w:val="both"/>
        <w:rPr>
          <w:rFonts w:ascii="Arial" w:eastAsia="Arial" w:hAnsi="Arial" w:cs="Arial"/>
          <w:b/>
        </w:rPr>
      </w:pPr>
    </w:p>
    <w:p w14:paraId="0305BF80" w14:textId="1861690C" w:rsidR="00051741" w:rsidRPr="00E3148A" w:rsidRDefault="00E3148A" w:rsidP="00E3148A">
      <w:pPr>
        <w:widowControl w:val="0"/>
        <w:autoSpaceDE w:val="0"/>
        <w:autoSpaceDN w:val="0"/>
        <w:jc w:val="both"/>
        <w:rPr>
          <w:rFonts w:ascii="Arial" w:eastAsia="Arial" w:hAnsi="Arial" w:cs="Arial"/>
          <w:b/>
        </w:rPr>
      </w:pPr>
      <w:r w:rsidRPr="00E3148A">
        <w:rPr>
          <w:rFonts w:ascii="Arial" w:eastAsia="Arial" w:hAnsi="Arial" w:cs="Arial"/>
          <w:b/>
        </w:rPr>
        <w:t>1</w:t>
      </w:r>
      <w:r w:rsidR="00051741" w:rsidRPr="00E3148A">
        <w:rPr>
          <w:rFonts w:ascii="Arial" w:eastAsia="Arial" w:hAnsi="Arial" w:cs="Arial"/>
          <w:b/>
        </w:rPr>
        <w:t xml:space="preserve">.6. </w:t>
      </w:r>
      <w:r w:rsidR="005950A4" w:rsidRPr="00E3148A">
        <w:rPr>
          <w:rFonts w:ascii="Arial" w:eastAsia="Arial" w:hAnsi="Arial" w:cs="Arial"/>
          <w:b/>
        </w:rPr>
        <w:t>Constitución de la hipoteca naval e inscripción en el Registro</w:t>
      </w:r>
    </w:p>
    <w:p w14:paraId="447083A6" w14:textId="77777777" w:rsidR="00541760" w:rsidRPr="00E3148A" w:rsidRDefault="00541760" w:rsidP="00541760">
      <w:pPr>
        <w:widowControl w:val="0"/>
        <w:autoSpaceDE w:val="0"/>
        <w:autoSpaceDN w:val="0"/>
        <w:jc w:val="both"/>
        <w:rPr>
          <w:rFonts w:ascii="Arial" w:eastAsia="Arial" w:hAnsi="Arial" w:cs="Arial"/>
        </w:rPr>
      </w:pPr>
      <w:r w:rsidRPr="00E3148A">
        <w:rPr>
          <w:rFonts w:ascii="Arial" w:eastAsia="Arial" w:hAnsi="Arial" w:cs="Arial"/>
        </w:rPr>
        <w:t xml:space="preserve">El art. 128 LNM dispone que para que la hipoteca naval quede válidamente constituida podrá ser otorgada en escritura pública, en póliza intervenida por notario o en documento privado y deberá inscribirse en el Registro de Bienes Muebles. </w:t>
      </w:r>
    </w:p>
    <w:p w14:paraId="2B77441C" w14:textId="5B0BFD8F" w:rsidR="00541760" w:rsidRPr="00E3148A" w:rsidRDefault="00541760" w:rsidP="00541760">
      <w:pPr>
        <w:jc w:val="both"/>
        <w:rPr>
          <w:rFonts w:ascii="Arial" w:hAnsi="Arial" w:cs="Arial"/>
        </w:rPr>
      </w:pPr>
      <w:r w:rsidRPr="00E3148A">
        <w:rPr>
          <w:rFonts w:ascii="Arial" w:hAnsi="Arial" w:cs="Arial"/>
        </w:rPr>
        <w:t xml:space="preserve">La hipoteca naval se constituye tradicionalmente mediante dos documentos de naturaleza pública, esto es, intervenidos por notario. Junto a la tradicional escritura pública, se admite la </w:t>
      </w:r>
      <w:r w:rsidRPr="00E3148A">
        <w:rPr>
          <w:rFonts w:ascii="Arial" w:hAnsi="Arial" w:cs="Arial"/>
          <w:i/>
        </w:rPr>
        <w:t>póliza</w:t>
      </w:r>
      <w:r w:rsidRPr="00E3148A">
        <w:rPr>
          <w:rFonts w:ascii="Arial" w:hAnsi="Arial" w:cs="Arial"/>
        </w:rPr>
        <w:t xml:space="preserve">. Éste es el documento característico del anterior cuerpo de corredores de comercio colegiados, pero con su integración en un único cuerpo de Notarios, mediante disp. adic. 24ª Ley 55/1999, de 29 de diciembre, los notarios y los corredores de comercio colegiados han venido ejerciendo las competencias y usando las formas documentales de uno y otro colectivo. Por ello, aunque ya no existe el cuerpo de corredores de comercio, sí se mantiene la póliza por ellos usada. Para clarificar su validez como instrumento para constituir hipoteca naval, el art. 128 LNM, en su tenor original de 2014, fue modificado por la disposición final 6.4 de la Ley 9/2015, de 25 de mayo, de medidas urgentes en materia concursal, para admitir la constitución de hipoteca mediante </w:t>
      </w:r>
      <w:r w:rsidRPr="00E3148A">
        <w:rPr>
          <w:rFonts w:ascii="Arial" w:hAnsi="Arial" w:cs="Arial"/>
          <w:i/>
        </w:rPr>
        <w:t>póliza intervenida por notario</w:t>
      </w:r>
      <w:r w:rsidRPr="00E3148A">
        <w:rPr>
          <w:rFonts w:ascii="Arial" w:hAnsi="Arial" w:cs="Arial"/>
        </w:rPr>
        <w:t>.</w:t>
      </w:r>
      <w:r w:rsidR="004D1F0D">
        <w:rPr>
          <w:rFonts w:ascii="Arial" w:hAnsi="Arial" w:cs="Arial"/>
        </w:rPr>
        <w:t xml:space="preserve"> </w:t>
      </w:r>
    </w:p>
    <w:p w14:paraId="197CA09E" w14:textId="77777777" w:rsidR="00541760" w:rsidRPr="00E3148A" w:rsidRDefault="00541760" w:rsidP="00541760">
      <w:pPr>
        <w:jc w:val="both"/>
        <w:rPr>
          <w:rFonts w:ascii="Arial" w:hAnsi="Arial" w:cs="Arial"/>
        </w:rPr>
      </w:pPr>
      <w:r w:rsidRPr="00E3148A">
        <w:rPr>
          <w:rFonts w:ascii="Arial" w:hAnsi="Arial" w:cs="Arial"/>
        </w:rPr>
        <w:t xml:space="preserve">Aunque menos habitual, la hipoteca naval también se puede otorgar mediante documento privado, esto es, aquel pactado sin intervención de notario o funcionario público en ejercicio de sus funciones públicas. Subsiste cierta inseguridad jurídica, que aconseja el uso de documento público, en supuestos donde otras normas imponen la escritura pública para la hipoteca naval. Es el caso del art. 154 LH, aplicable supletoriamente a la LNM (art. 144 LNM), según el cual la constitución de hipotecas para garantizar títulos transmisibles por endoso o al portador deberá hacerse por medio de escritura pública. También del art. 163 RRM 1956, de rango reglamentario, según el cual es preceptiva la escritura pública para las hipotecas navales que sirvan de garantía a cuentas corrientes de crédito o a emisiones de títulos al portador. </w:t>
      </w:r>
    </w:p>
    <w:p w14:paraId="5D2A9AF3" w14:textId="77777777" w:rsidR="00541760" w:rsidRPr="00E3148A" w:rsidRDefault="00541760" w:rsidP="00541760">
      <w:pPr>
        <w:jc w:val="both"/>
        <w:rPr>
          <w:rFonts w:ascii="Arial" w:hAnsi="Arial" w:cs="Arial"/>
        </w:rPr>
      </w:pPr>
      <w:r w:rsidRPr="00E3148A">
        <w:rPr>
          <w:rFonts w:ascii="Arial" w:hAnsi="Arial" w:cs="Arial"/>
        </w:rPr>
        <w:t xml:space="preserve">Esta formalidad documental (pública o privada) se redacta como condición de validez, de modo que la hipoteca pactada oralmente no es válida ni produce efecto </w:t>
      </w:r>
      <w:r w:rsidRPr="00E3148A">
        <w:rPr>
          <w:rFonts w:ascii="Arial" w:hAnsi="Arial" w:cs="Arial"/>
          <w:i/>
        </w:rPr>
        <w:t>inter partes</w:t>
      </w:r>
      <w:r w:rsidRPr="00E3148A">
        <w:rPr>
          <w:rFonts w:ascii="Arial" w:hAnsi="Arial" w:cs="Arial"/>
        </w:rPr>
        <w:t xml:space="preserve">. </w:t>
      </w:r>
    </w:p>
    <w:p w14:paraId="4687360B" w14:textId="77777777" w:rsidR="00541760" w:rsidRPr="00E3148A" w:rsidRDefault="00541760" w:rsidP="00541760">
      <w:pPr>
        <w:jc w:val="both"/>
        <w:rPr>
          <w:rFonts w:ascii="Arial" w:hAnsi="Arial" w:cs="Arial"/>
        </w:rPr>
      </w:pPr>
      <w:r w:rsidRPr="00E3148A">
        <w:rPr>
          <w:rFonts w:ascii="Arial" w:hAnsi="Arial" w:cs="Arial"/>
        </w:rPr>
        <w:t xml:space="preserve">El art. 132 LNM establece las exigencias legales de contenido del documento público o privado de constitución de hipoteca naval. Se trata de un contenido mínimo, que puede ampliarse mediante cláusulas facultativas. </w:t>
      </w:r>
    </w:p>
    <w:p w14:paraId="4C310EB3" w14:textId="77777777" w:rsidR="00541760" w:rsidRPr="00E3148A" w:rsidRDefault="00541760" w:rsidP="00541760">
      <w:pPr>
        <w:jc w:val="both"/>
        <w:rPr>
          <w:rFonts w:ascii="Arial" w:hAnsi="Arial" w:cs="Arial"/>
        </w:rPr>
      </w:pPr>
      <w:r w:rsidRPr="00E3148A">
        <w:rPr>
          <w:rFonts w:ascii="Arial" w:hAnsi="Arial" w:cs="Arial"/>
          <w:color w:val="000000"/>
          <w:shd w:val="clear" w:color="auto" w:fill="FFFFFF"/>
        </w:rPr>
        <w:t>a) Acreedor, deudor y, en su caso, hipotecante no deudor, especificando todas las circunstancias personales que exige la legislación hipotecaria.</w:t>
      </w:r>
      <w:r w:rsidRPr="00E3148A">
        <w:rPr>
          <w:rFonts w:ascii="Arial" w:hAnsi="Arial" w:cs="Arial"/>
        </w:rPr>
        <w:t xml:space="preserve"> En concreto, las de los arts. 9.e LH y 51.9ª Reglamento hipotecario, aprobado por el Decreto de 14 de febrero de 1947 (en adelante, RH). El art. 129.1 LNM admite que l</w:t>
      </w:r>
      <w:r w:rsidRPr="00E3148A">
        <w:rPr>
          <w:rFonts w:ascii="Arial" w:hAnsi="Arial" w:cs="Arial"/>
          <w:color w:val="000000"/>
          <w:shd w:val="clear" w:color="auto" w:fill="FFFFFF"/>
        </w:rPr>
        <w:t>a hipoteca naval podrá constituirse a favor de una o varias personas determinadas, o a favor de quien resulte titular del crédito en las constituidas en garantía de títulos emitidos en forma nominativa, a la orden o al portador.</w:t>
      </w:r>
    </w:p>
    <w:p w14:paraId="110DC68B" w14:textId="77777777" w:rsidR="00541760" w:rsidRPr="00E3148A" w:rsidRDefault="00541760" w:rsidP="00541760">
      <w:pPr>
        <w:jc w:val="both"/>
        <w:rPr>
          <w:rFonts w:ascii="Arial" w:hAnsi="Arial" w:cs="Arial"/>
          <w:color w:val="000000"/>
          <w:shd w:val="clear" w:color="auto" w:fill="FFFFFF"/>
        </w:rPr>
      </w:pPr>
      <w:r w:rsidRPr="00E3148A">
        <w:rPr>
          <w:rFonts w:ascii="Arial" w:hAnsi="Arial" w:cs="Arial"/>
          <w:color w:val="000000"/>
          <w:shd w:val="clear" w:color="auto" w:fill="FFFFFF"/>
        </w:rPr>
        <w:t xml:space="preserve">b) El importe del crédito garantizado con hipoteca y de las sumas a que, en su caso, se haga extensivo el gravamen por costas y gastos de ejecución y por los intereses remuneratorios y de demora y otros gastos. </w:t>
      </w:r>
    </w:p>
    <w:p w14:paraId="588669FB" w14:textId="30630438" w:rsidR="00541760" w:rsidRPr="00E3148A" w:rsidRDefault="00541760" w:rsidP="00541760">
      <w:pPr>
        <w:jc w:val="both"/>
        <w:rPr>
          <w:rFonts w:ascii="Arial" w:hAnsi="Arial" w:cs="Arial"/>
        </w:rPr>
      </w:pPr>
      <w:r w:rsidRPr="00E3148A">
        <w:rPr>
          <w:rFonts w:ascii="Arial" w:hAnsi="Arial" w:cs="Arial"/>
        </w:rPr>
        <w:t>La hipoteca naval es así una denominada «</w:t>
      </w:r>
      <w:r w:rsidRPr="00E3148A">
        <w:rPr>
          <w:rFonts w:ascii="Arial" w:hAnsi="Arial" w:cs="Arial"/>
          <w:i/>
        </w:rPr>
        <w:t>hipoteca de garantía</w:t>
      </w:r>
      <w:r w:rsidRPr="00E3148A">
        <w:rPr>
          <w:rFonts w:ascii="Arial" w:hAnsi="Arial" w:cs="Arial"/>
        </w:rPr>
        <w:t>» o «</w:t>
      </w:r>
      <w:r w:rsidRPr="00E3148A">
        <w:rPr>
          <w:rFonts w:ascii="Arial" w:hAnsi="Arial" w:cs="Arial"/>
          <w:i/>
        </w:rPr>
        <w:t>hipoteca de tráfico</w:t>
      </w:r>
      <w:r w:rsidRPr="00E3148A">
        <w:rPr>
          <w:rFonts w:ascii="Arial" w:hAnsi="Arial" w:cs="Arial"/>
        </w:rPr>
        <w:t xml:space="preserve">», pues el crédito garantizado tiene existencia cierta y cuantía reconocida. </w:t>
      </w:r>
      <w:r w:rsidR="004D1F0D" w:rsidRPr="00E3148A">
        <w:rPr>
          <w:rFonts w:ascii="Arial" w:hAnsi="Arial" w:cs="Arial"/>
        </w:rPr>
        <w:t>Con relación a</w:t>
      </w:r>
      <w:r w:rsidRPr="00E3148A">
        <w:rPr>
          <w:rFonts w:ascii="Arial" w:hAnsi="Arial" w:cs="Arial"/>
        </w:rPr>
        <w:t xml:space="preserve"> los intereses, salvo pacto en contrario, la hipoteca constituida a favor de un crédito que devengue interés no asegurará en perjuicio de tercero, además del capital, sino los intereses de los dos últimos años transcurridos y la parte vencida de la anualidad corriente (art. 132.2 LNM, que sigue la norma de intereses del art. 114 LH). Sin embargo, cabe un pacto distinto a la norma fijada en la ley, con la restricción que no son asegurables a cargo de la hipoteca los intereses que sean superiores a los devengados en cinco años (art. 132.2 </w:t>
      </w:r>
      <w:r w:rsidRPr="00E3148A">
        <w:rPr>
          <w:rFonts w:ascii="Arial" w:hAnsi="Arial" w:cs="Arial"/>
          <w:i/>
        </w:rPr>
        <w:t>in fine</w:t>
      </w:r>
      <w:r w:rsidRPr="00E3148A">
        <w:rPr>
          <w:rFonts w:ascii="Arial" w:hAnsi="Arial" w:cs="Arial"/>
        </w:rPr>
        <w:t xml:space="preserve"> LNM). </w:t>
      </w:r>
    </w:p>
    <w:p w14:paraId="379CB7D2" w14:textId="77777777" w:rsidR="00541760" w:rsidRPr="00E3148A" w:rsidRDefault="00541760" w:rsidP="00541760">
      <w:pPr>
        <w:jc w:val="both"/>
        <w:rPr>
          <w:rFonts w:ascii="Arial" w:hAnsi="Arial" w:cs="Arial"/>
        </w:rPr>
      </w:pPr>
      <w:r w:rsidRPr="00E3148A">
        <w:rPr>
          <w:rFonts w:ascii="Arial" w:hAnsi="Arial" w:cs="Arial"/>
          <w:color w:val="000000"/>
          <w:shd w:val="clear" w:color="auto" w:fill="FFFFFF"/>
        </w:rPr>
        <w:t>c) Fecha de vencimiento del capital y del pago de los intereses</w:t>
      </w:r>
      <w:r w:rsidRPr="00E3148A">
        <w:rPr>
          <w:rFonts w:ascii="Arial" w:hAnsi="Arial" w:cs="Arial"/>
        </w:rPr>
        <w:t xml:space="preserve">. </w:t>
      </w:r>
    </w:p>
    <w:p w14:paraId="1244D3E0" w14:textId="77777777" w:rsidR="00541760" w:rsidRPr="00E3148A" w:rsidRDefault="00541760" w:rsidP="00541760">
      <w:pPr>
        <w:jc w:val="both"/>
        <w:rPr>
          <w:rFonts w:ascii="Arial" w:hAnsi="Arial" w:cs="Arial"/>
        </w:rPr>
      </w:pPr>
      <w:r w:rsidRPr="00E3148A">
        <w:rPr>
          <w:rFonts w:ascii="Arial" w:hAnsi="Arial" w:cs="Arial"/>
          <w:color w:val="000000"/>
          <w:shd w:val="clear" w:color="auto" w:fill="FFFFFF"/>
        </w:rPr>
        <w:t xml:space="preserve">d) Descripción del buque y todos los datos de identificación previstos en el art. 60.5 LNM que constaren, con indicación, en su caso, de que el buque está en construcción. Se trata </w:t>
      </w:r>
      <w:r w:rsidRPr="00E3148A">
        <w:rPr>
          <w:rFonts w:ascii="Arial" w:hAnsi="Arial" w:cs="Arial"/>
        </w:rPr>
        <w:t xml:space="preserve">del nombre del buque, su matrícula, numeración de la Organización Marítima Internacional (número OMI), pabellón, arqueo y cualesquiera otros datos que reglamentariamente se determinen. </w:t>
      </w:r>
    </w:p>
    <w:p w14:paraId="7580F105" w14:textId="77777777" w:rsidR="00541760" w:rsidRPr="00E3148A" w:rsidRDefault="00541760" w:rsidP="00541760">
      <w:pPr>
        <w:jc w:val="both"/>
        <w:rPr>
          <w:rFonts w:ascii="Arial" w:hAnsi="Arial" w:cs="Arial"/>
        </w:rPr>
      </w:pPr>
      <w:r w:rsidRPr="00E3148A">
        <w:rPr>
          <w:rFonts w:ascii="Arial" w:hAnsi="Arial" w:cs="Arial"/>
          <w:color w:val="000000"/>
          <w:shd w:val="clear" w:color="auto" w:fill="FFFFFF"/>
        </w:rPr>
        <w:t xml:space="preserve">e) El valor o aprecio que se hace del buque y que, en su caso, pueda servir como tipo para la subasta; y los domicilios que el deudor y, eventualmente, el hipotecante no deudor designen para requerimientos y notificaciones. </w:t>
      </w:r>
    </w:p>
    <w:p w14:paraId="6EAB32F1" w14:textId="77777777" w:rsidR="00541760" w:rsidRPr="00E3148A" w:rsidRDefault="00541760" w:rsidP="00541760">
      <w:pPr>
        <w:jc w:val="both"/>
        <w:rPr>
          <w:rFonts w:ascii="Arial" w:hAnsi="Arial" w:cs="Arial"/>
        </w:rPr>
      </w:pPr>
      <w:r w:rsidRPr="00E3148A">
        <w:rPr>
          <w:rFonts w:ascii="Arial" w:hAnsi="Arial" w:cs="Arial"/>
        </w:rPr>
        <w:t xml:space="preserve">f) Cantidades de que responde cada buque, en el caso de que se hipotequen dos o más en garantía de un solo crédito. Es el caso citado de hipoteca de flota. </w:t>
      </w:r>
    </w:p>
    <w:p w14:paraId="38CE3792" w14:textId="77777777" w:rsidR="00541760" w:rsidRPr="00E3148A" w:rsidRDefault="00541760" w:rsidP="00541760">
      <w:pPr>
        <w:jc w:val="both"/>
        <w:rPr>
          <w:rFonts w:ascii="Arial" w:hAnsi="Arial" w:cs="Arial"/>
          <w:color w:val="000000"/>
          <w:shd w:val="clear" w:color="auto" w:fill="FFFFFF"/>
        </w:rPr>
      </w:pPr>
      <w:r w:rsidRPr="00E3148A">
        <w:rPr>
          <w:rFonts w:ascii="Arial" w:hAnsi="Arial" w:cs="Arial"/>
          <w:color w:val="000000"/>
          <w:shd w:val="clear" w:color="auto" w:fill="FFFFFF"/>
        </w:rPr>
        <w:t xml:space="preserve">g) Las circunstancias que reglamentariamente se determinen en caso de hipoteca en garantía de títulos cualquiera que sea su denominación. </w:t>
      </w:r>
    </w:p>
    <w:p w14:paraId="5A36A4CB" w14:textId="291607A1" w:rsidR="00541760" w:rsidRPr="00E3148A" w:rsidRDefault="00541760" w:rsidP="00541760">
      <w:pPr>
        <w:jc w:val="both"/>
        <w:rPr>
          <w:rFonts w:ascii="Arial" w:hAnsi="Arial" w:cs="Arial"/>
        </w:rPr>
      </w:pPr>
      <w:r w:rsidRPr="00E3148A">
        <w:rPr>
          <w:rFonts w:ascii="Arial" w:hAnsi="Arial" w:cs="Arial"/>
        </w:rPr>
        <w:t>h) Las demás estipulaciones que establezcan los contratantes sobre intereses, seguros, vencimiento anticipado y extensión y cualesquiera otras que tengan por conveniente. Se trata de las denominadas “cláusulas facultativas” del contrato de hipoteca, por contraste con las cláusulas obligatorios arriba enumeradas.</w:t>
      </w:r>
      <w:r w:rsidR="004D1F0D">
        <w:rPr>
          <w:rFonts w:ascii="Arial" w:hAnsi="Arial" w:cs="Arial"/>
        </w:rPr>
        <w:t xml:space="preserve"> </w:t>
      </w:r>
    </w:p>
    <w:p w14:paraId="0DA36282" w14:textId="2AC70216" w:rsidR="0098349B" w:rsidRPr="00E3148A" w:rsidRDefault="0098349B" w:rsidP="00E43882">
      <w:pPr>
        <w:widowControl w:val="0"/>
        <w:autoSpaceDE w:val="0"/>
        <w:autoSpaceDN w:val="0"/>
        <w:jc w:val="both"/>
        <w:rPr>
          <w:rFonts w:ascii="Arial" w:eastAsia="Arial" w:hAnsi="Arial" w:cs="Arial"/>
        </w:rPr>
      </w:pPr>
      <w:r w:rsidRPr="00E3148A">
        <w:rPr>
          <w:rFonts w:ascii="Arial" w:eastAsia="Arial" w:hAnsi="Arial" w:cs="Arial"/>
        </w:rPr>
        <w:t>Una vez otorgado la hipoteca mediante documento público o privado con el contenido legalmente exigible, es preceptiva para su válida constitución la inscripción de la hipoteca naval en la Sección de Buques del Registro de Bienes Muebles, en la hoja registral abierta para el buque hipotecado, pues</w:t>
      </w:r>
      <w:r w:rsidRPr="00E3148A">
        <w:rPr>
          <w:rFonts w:ascii="Arial" w:hAnsi="Arial" w:cs="Arial"/>
        </w:rPr>
        <w:t xml:space="preserve"> la primera inscripción del buque es de dominio (arts. 71.1 LNM y 149 RRM 1956)</w:t>
      </w:r>
      <w:r w:rsidRPr="00E3148A">
        <w:rPr>
          <w:rFonts w:ascii="Arial" w:eastAsia="Arial" w:hAnsi="Arial" w:cs="Arial"/>
        </w:rPr>
        <w:t xml:space="preserve">. </w:t>
      </w:r>
      <w:r w:rsidR="00E43882" w:rsidRPr="00E3148A">
        <w:rPr>
          <w:rFonts w:ascii="Arial" w:eastAsia="Arial" w:hAnsi="Arial" w:cs="Arial"/>
        </w:rPr>
        <w:t>La inscripción de la hipoteca naval tiene carácter constitutivo de la inscripción, no meramente declarativo</w:t>
      </w:r>
      <w:r w:rsidR="00E43882" w:rsidRPr="00E3148A">
        <w:rPr>
          <w:rStyle w:val="Refdenotaalpie"/>
          <w:rFonts w:ascii="Arial" w:eastAsia="Arial" w:hAnsi="Arial" w:cs="Arial"/>
          <w:sz w:val="24"/>
          <w:szCs w:val="24"/>
        </w:rPr>
        <w:footnoteReference w:id="15"/>
      </w:r>
      <w:r w:rsidR="00E43882" w:rsidRPr="00E3148A">
        <w:rPr>
          <w:rFonts w:ascii="Arial" w:hAnsi="Arial" w:cs="Arial"/>
        </w:rPr>
        <w:t>.</w:t>
      </w:r>
    </w:p>
    <w:p w14:paraId="5006D37E" w14:textId="77777777" w:rsidR="0098349B" w:rsidRPr="00E3148A" w:rsidRDefault="0098349B" w:rsidP="0098349B">
      <w:pPr>
        <w:jc w:val="both"/>
        <w:rPr>
          <w:rFonts w:ascii="Arial" w:hAnsi="Arial" w:cs="Arial"/>
        </w:rPr>
      </w:pPr>
      <w:r w:rsidRPr="00E3148A">
        <w:rPr>
          <w:rFonts w:ascii="Arial" w:eastAsia="Arial" w:hAnsi="Arial" w:cs="Arial"/>
        </w:rPr>
        <w:t xml:space="preserve">En virtud del principio de titulación pública del art. 73 LNM, </w:t>
      </w:r>
      <w:r w:rsidRPr="00E3148A">
        <w:rPr>
          <w:rFonts w:ascii="Arial" w:hAnsi="Arial" w:cs="Arial"/>
        </w:rPr>
        <w:t>la inscripción en el Registro se practicará en virtud de escritura pública, póliza intervenida por notario, resolución judicial firme o documento administrativo expedido por funcionario con facultades suficientes por razón de su cargo (art. 73.1 LNM). Tanto el notario español como el cónsul de España en el extranjero que autorice una escritura o intervenga una póliza de hipoteca naval, antes del otorgamiento, debe informarse sobre el dominio y cargas en el Registro de Bienes Muebles para su presentación, directa o por testimonio, en la forma y los medios que reglamentariamente se determinen (arts. 73.2 LNM y 160 RRM 1956).</w:t>
      </w:r>
    </w:p>
    <w:p w14:paraId="773C9674" w14:textId="33B6CE26" w:rsidR="0098349B" w:rsidRPr="00E3148A" w:rsidRDefault="0098349B" w:rsidP="0081701E">
      <w:pPr>
        <w:jc w:val="both"/>
        <w:rPr>
          <w:rFonts w:ascii="Arial" w:eastAsia="Arial" w:hAnsi="Arial" w:cs="Arial"/>
        </w:rPr>
      </w:pPr>
      <w:r w:rsidRPr="00E3148A">
        <w:rPr>
          <w:rFonts w:ascii="Arial" w:hAnsi="Arial" w:cs="Arial"/>
        </w:rPr>
        <w:t xml:space="preserve">Sin embargo, la redacción del art. 128 LNM parece prever una excepción al principio de titulación pública, si se entiende que admite que la hipoteca constituida en documento privado sea inscrita en el Registro de Bienes Muebles. No es en absoluto la forma habitual, pero sí sería posible legalmente. A favor de esta interpretación se añade el art. 685.3 </w:t>
      </w:r>
      <w:r w:rsidR="00511327" w:rsidRPr="00E3148A">
        <w:rPr>
          <w:rFonts w:ascii="Arial" w:hAnsi="Arial" w:cs="Arial"/>
        </w:rPr>
        <w:t xml:space="preserve">Ley 1/2000, de 7 de enero, de Enjuiciamiento Civil (en adelante, </w:t>
      </w:r>
      <w:r w:rsidRPr="00E3148A">
        <w:rPr>
          <w:rFonts w:ascii="Arial" w:hAnsi="Arial" w:cs="Arial"/>
        </w:rPr>
        <w:t>LEC</w:t>
      </w:r>
      <w:r w:rsidR="00511327" w:rsidRPr="00E3148A">
        <w:rPr>
          <w:rFonts w:ascii="Arial" w:hAnsi="Arial" w:cs="Arial"/>
        </w:rPr>
        <w:t>)</w:t>
      </w:r>
      <w:r w:rsidRPr="00E3148A">
        <w:rPr>
          <w:rFonts w:ascii="Arial" w:hAnsi="Arial" w:cs="Arial"/>
        </w:rPr>
        <w:t>, que fue modificado por la propia LNM, en su disp. final 2 2ª), precisamente para señalar que “</w:t>
      </w:r>
      <w:r w:rsidRPr="00E3148A">
        <w:rPr>
          <w:rFonts w:ascii="Arial" w:hAnsi="Arial" w:cs="Arial"/>
          <w:i/>
          <w:color w:val="000000"/>
          <w:shd w:val="clear" w:color="auto" w:fill="FFFFFF"/>
        </w:rPr>
        <w:t>se considerará título suficiente para despachar ejecución el documento privado de constitución de la hipoteca naval inscrito en el Registro de Bienes Muebles conforme a lo dispuesto en el artículo 128 de la Ley de Navegación Marítima</w:t>
      </w:r>
      <w:r w:rsidRPr="00E3148A">
        <w:rPr>
          <w:rFonts w:ascii="Arial" w:hAnsi="Arial" w:cs="Arial"/>
          <w:color w:val="000000"/>
          <w:shd w:val="clear" w:color="auto" w:fill="FFFFFF"/>
        </w:rPr>
        <w:t>”.</w:t>
      </w:r>
      <w:r w:rsidRPr="00E3148A">
        <w:rPr>
          <w:rFonts w:ascii="Arial" w:hAnsi="Arial" w:cs="Arial"/>
        </w:rPr>
        <w:t xml:space="preserve"> </w:t>
      </w:r>
      <w:r w:rsidR="0081701E" w:rsidRPr="00E3148A">
        <w:rPr>
          <w:rFonts w:ascii="Arial" w:hAnsi="Arial" w:cs="Arial"/>
          <w:color w:val="000000"/>
          <w:shd w:val="clear" w:color="auto" w:fill="FFFFFF"/>
        </w:rPr>
        <w:t>E</w:t>
      </w:r>
      <w:r w:rsidRPr="00E3148A">
        <w:rPr>
          <w:rFonts w:ascii="Arial" w:hAnsi="Arial" w:cs="Arial"/>
          <w:color w:val="000000"/>
          <w:shd w:val="clear" w:color="auto" w:fill="FFFFFF"/>
        </w:rPr>
        <w:t>l legislador sigue la práctica registral que admite la inscripción directa de determinados documentos con tal de que los otorgantes comparezcan ante el registrador, quien deberá calificar el documento privado bajo su responsabilidad.</w:t>
      </w:r>
    </w:p>
    <w:p w14:paraId="6A64E450" w14:textId="77777777" w:rsidR="0098349B" w:rsidRPr="00E3148A" w:rsidRDefault="0098349B" w:rsidP="0098349B">
      <w:pPr>
        <w:jc w:val="both"/>
        <w:rPr>
          <w:rFonts w:ascii="Arial" w:hAnsi="Arial" w:cs="Arial"/>
          <w:color w:val="000000"/>
        </w:rPr>
      </w:pPr>
      <w:r w:rsidRPr="00E3148A">
        <w:rPr>
          <w:rFonts w:ascii="Arial" w:hAnsi="Arial" w:cs="Arial"/>
          <w:color w:val="000000"/>
        </w:rPr>
        <w:t>El contenido exacto de la inscripción registral no coincide necesariamente con el contenido del documento de constitución de hipoteca naval otorgado en documento público o privado, pues en el Registro de Bienes Muebles, en la hoja registral del buque hipotecado, sólo se hacen constar las circunstancias del art. 132 LNM «</w:t>
      </w:r>
      <w:r w:rsidRPr="00E3148A">
        <w:rPr>
          <w:rFonts w:ascii="Arial" w:hAnsi="Arial" w:cs="Arial"/>
          <w:i/>
          <w:color w:val="000000"/>
        </w:rPr>
        <w:t>que tengan trascendencia real, así como las demás exigidas por la legislación hipotecaria</w:t>
      </w:r>
      <w:r w:rsidRPr="00E3148A">
        <w:rPr>
          <w:rFonts w:ascii="Arial" w:hAnsi="Arial" w:cs="Arial"/>
          <w:i/>
        </w:rPr>
        <w:t xml:space="preserve">» </w:t>
      </w:r>
      <w:r w:rsidRPr="00E3148A">
        <w:rPr>
          <w:rFonts w:ascii="Arial" w:hAnsi="Arial" w:cs="Arial"/>
        </w:rPr>
        <w:t>(art. 133 LNM)</w:t>
      </w:r>
      <w:r w:rsidRPr="00E3148A">
        <w:rPr>
          <w:rFonts w:ascii="Arial" w:hAnsi="Arial" w:cs="Arial"/>
          <w:color w:val="000000"/>
        </w:rPr>
        <w:t xml:space="preserve">. </w:t>
      </w:r>
    </w:p>
    <w:p w14:paraId="3B97BAC9" w14:textId="77777777" w:rsidR="0098349B" w:rsidRPr="00E3148A" w:rsidRDefault="0098349B" w:rsidP="0098349B">
      <w:pPr>
        <w:jc w:val="both"/>
        <w:rPr>
          <w:rFonts w:ascii="Arial" w:hAnsi="Arial" w:cs="Arial"/>
          <w:color w:val="000000"/>
        </w:rPr>
      </w:pPr>
      <w:r w:rsidRPr="00E3148A">
        <w:rPr>
          <w:rFonts w:ascii="Arial" w:hAnsi="Arial" w:cs="Arial"/>
          <w:color w:val="000000"/>
        </w:rPr>
        <w:t xml:space="preserve">Ante el silencio de la LNM sobre qué se inscribe en el Registro de Bienes Muebles, es de aplicación supletoria de la legislación hipotecaria (art. 144 LNM). En concreto, el art. 12 LH exige que en la inscripción del derecho real de hipoteca conste: </w:t>
      </w:r>
    </w:p>
    <w:p w14:paraId="46E5962C" w14:textId="4ACF453C" w:rsidR="0098349B" w:rsidRPr="00E3148A" w:rsidRDefault="0098349B" w:rsidP="008409E6">
      <w:pPr>
        <w:ind w:left="705"/>
        <w:jc w:val="both"/>
        <w:rPr>
          <w:rFonts w:ascii="Arial" w:hAnsi="Arial" w:cs="Arial"/>
          <w:color w:val="000000"/>
        </w:rPr>
      </w:pPr>
      <w:r w:rsidRPr="00E3148A">
        <w:rPr>
          <w:rFonts w:ascii="Arial" w:hAnsi="Arial" w:cs="Arial"/>
          <w:color w:val="000000"/>
        </w:rPr>
        <w:t xml:space="preserve">1) El importe principal de la deuda, en su caso, el importe de los intereses pactados, o el importe máximo de la responsabilidad hipotecaria; </w:t>
      </w:r>
    </w:p>
    <w:p w14:paraId="70BEF810" w14:textId="77777777" w:rsidR="0098349B" w:rsidRPr="00E3148A" w:rsidRDefault="0098349B" w:rsidP="008409E6">
      <w:pPr>
        <w:ind w:firstLine="705"/>
        <w:jc w:val="both"/>
        <w:rPr>
          <w:rFonts w:ascii="Arial" w:hAnsi="Arial" w:cs="Arial"/>
          <w:color w:val="000000"/>
        </w:rPr>
      </w:pPr>
      <w:r w:rsidRPr="00E3148A">
        <w:rPr>
          <w:rFonts w:ascii="Arial" w:hAnsi="Arial" w:cs="Arial"/>
          <w:color w:val="000000"/>
        </w:rPr>
        <w:t xml:space="preserve">2) la identificación de las obligaciones garantizadas y su duración; </w:t>
      </w:r>
    </w:p>
    <w:p w14:paraId="427C2084" w14:textId="7F11033D" w:rsidR="0098349B" w:rsidRPr="00E3148A" w:rsidRDefault="0098349B" w:rsidP="00323C5E">
      <w:pPr>
        <w:ind w:left="705"/>
        <w:jc w:val="both"/>
        <w:rPr>
          <w:rFonts w:ascii="Arial" w:hAnsi="Arial" w:cs="Arial"/>
          <w:color w:val="000000"/>
        </w:rPr>
      </w:pPr>
      <w:r w:rsidRPr="00E3148A">
        <w:rPr>
          <w:rFonts w:ascii="Arial" w:hAnsi="Arial" w:cs="Arial"/>
          <w:color w:val="000000"/>
        </w:rPr>
        <w:t xml:space="preserve">3) Las cláusulas de vencimiento anticipado y demás cláusulas financieras de las obligaciones garantizadas por la hipoteca, cualquiera que sea la entidad acreedora, en caso de calificación registral favorable de las mismas y de las demás cláusulas de trascendencia real, se harán constar en el asiento en los términos que resulten de la escritura de formalización. Los pactos que tienen trascendencia real son aquellos que pueden afectar a terceros, no los que únicamente rigen entre las partes del contrato de hipoteca, por ser de naturaleza personal y efectos </w:t>
      </w:r>
      <w:r w:rsidRPr="00E3148A">
        <w:rPr>
          <w:rFonts w:ascii="Arial" w:hAnsi="Arial" w:cs="Arial"/>
          <w:i/>
          <w:color w:val="000000"/>
        </w:rPr>
        <w:t>inter partes</w:t>
      </w:r>
      <w:r w:rsidRPr="00E3148A">
        <w:rPr>
          <w:rFonts w:ascii="Arial" w:hAnsi="Arial" w:cs="Arial"/>
          <w:color w:val="000000"/>
        </w:rPr>
        <w:t xml:space="preserve">. </w:t>
      </w:r>
    </w:p>
    <w:p w14:paraId="76E235DA" w14:textId="5AAFDD44" w:rsidR="007D4DCB" w:rsidRPr="00E3148A" w:rsidRDefault="007D4DCB" w:rsidP="007D4DCB">
      <w:pPr>
        <w:jc w:val="both"/>
        <w:rPr>
          <w:rFonts w:ascii="Arial" w:hAnsi="Arial" w:cs="Arial"/>
          <w:color w:val="000000"/>
        </w:rPr>
      </w:pPr>
      <w:r w:rsidRPr="00E3148A">
        <w:rPr>
          <w:rFonts w:ascii="Arial" w:hAnsi="Arial" w:cs="Arial"/>
          <w:color w:val="000000"/>
        </w:rPr>
        <w:t>En cambio, los pactos de naturaleza personal del contrato de hipoteca no acceden al Registro de Bienes Muebles</w:t>
      </w:r>
      <w:r w:rsidRPr="00E3148A">
        <w:rPr>
          <w:rStyle w:val="Refdenotaalpie"/>
          <w:rFonts w:ascii="Arial" w:hAnsi="Arial" w:cs="Arial"/>
          <w:color w:val="000000"/>
          <w:sz w:val="24"/>
          <w:szCs w:val="24"/>
        </w:rPr>
        <w:footnoteReference w:id="16"/>
      </w:r>
      <w:r w:rsidRPr="00E3148A">
        <w:rPr>
          <w:rFonts w:ascii="Arial" w:hAnsi="Arial" w:cs="Arial"/>
          <w:color w:val="000000"/>
        </w:rPr>
        <w:t>.</w:t>
      </w:r>
    </w:p>
    <w:p w14:paraId="306A1581" w14:textId="77777777" w:rsidR="00C56610" w:rsidRPr="00E3148A" w:rsidRDefault="00C56610" w:rsidP="00C56610">
      <w:pPr>
        <w:widowControl w:val="0"/>
        <w:autoSpaceDE w:val="0"/>
        <w:autoSpaceDN w:val="0"/>
        <w:jc w:val="both"/>
        <w:rPr>
          <w:rFonts w:ascii="Arial" w:hAnsi="Arial" w:cs="Arial"/>
        </w:rPr>
      </w:pPr>
      <w:r w:rsidRPr="00E3148A">
        <w:rPr>
          <w:rFonts w:ascii="Arial" w:hAnsi="Arial" w:cs="Arial"/>
        </w:rPr>
        <w:t xml:space="preserve">La inscripción de la hipoteca naval en el Registro de Bienes Muebles produce los efectos jurídicos propios de la publicidad material de titularidades y gravámenes. Por un lado, conforme al </w:t>
      </w:r>
      <w:r w:rsidRPr="00E3148A">
        <w:rPr>
          <w:rFonts w:ascii="Arial" w:hAnsi="Arial" w:cs="Arial"/>
          <w:i/>
        </w:rPr>
        <w:t>principio de inoponibilidad</w:t>
      </w:r>
      <w:r w:rsidRPr="00E3148A">
        <w:rPr>
          <w:rFonts w:ascii="Arial" w:hAnsi="Arial" w:cs="Arial"/>
        </w:rPr>
        <w:t xml:space="preserve"> (art. 77 LNM), los actos sujetos a inscripción que no estén debidamente inscritos o anotados no perjudican a terceros de buena fe</w:t>
      </w:r>
      <w:r w:rsidRPr="00E3148A">
        <w:rPr>
          <w:rFonts w:ascii="Arial" w:hAnsi="Arial" w:cs="Arial"/>
          <w:color w:val="000000"/>
          <w:shd w:val="clear" w:color="auto" w:fill="FFFFFF"/>
        </w:rPr>
        <w:t xml:space="preserve">. </w:t>
      </w:r>
      <w:r w:rsidRPr="00E3148A">
        <w:rPr>
          <w:rFonts w:ascii="Arial" w:hAnsi="Arial" w:cs="Arial"/>
        </w:rPr>
        <w:t xml:space="preserve">Conforme al principio de legitimación, que los actos inscritos se presumen exactos y válidos y el contenido de los asientos queda bajo la protección de los tribunales (art. 75). En consecuencia, cualquier nuevo adquirente del buque pueda conocer, y asumir, las consecuencias del gravamen sobre el buque. En caso de incumplimiento o cumplimiento defectuoso de la obligación principal del deudor, el nuevo adquirente contra quien se dirija la demanda ejecutiva por hipoteca naval no podrá alegar desconocimiento al estar previamente publicitada la hipoteca en el Registro de Bienes Muebles. La inscripción es especialmente necesaria en la hipoteca, donde no hay desplazamiento de la posesión del bien a favor del acreedor hipotecario. </w:t>
      </w:r>
    </w:p>
    <w:p w14:paraId="0B71D1EF" w14:textId="633B8D07" w:rsidR="00D06699" w:rsidRPr="00E3148A" w:rsidRDefault="00C56610" w:rsidP="00C56610">
      <w:pPr>
        <w:jc w:val="both"/>
        <w:rPr>
          <w:rFonts w:ascii="Arial" w:hAnsi="Arial" w:cs="Arial"/>
        </w:rPr>
      </w:pPr>
      <w:r w:rsidRPr="00E3148A">
        <w:rPr>
          <w:rFonts w:ascii="Arial" w:hAnsi="Arial" w:cs="Arial"/>
        </w:rPr>
        <w:t xml:space="preserve">Por otro lado, en virtud del </w:t>
      </w:r>
      <w:r w:rsidRPr="00E3148A">
        <w:rPr>
          <w:rFonts w:ascii="Arial" w:hAnsi="Arial" w:cs="Arial"/>
          <w:i/>
        </w:rPr>
        <w:t>principio de tracto sucesivo</w:t>
      </w:r>
      <w:r w:rsidRPr="00E3148A">
        <w:rPr>
          <w:rFonts w:ascii="Arial" w:hAnsi="Arial" w:cs="Arial"/>
        </w:rPr>
        <w:t>, para inscribir o anotar en el Registro cualquier otro acto, negocio jurídico o resolución judicial o administrativa relativa al buque, la persona que lo otorgue o aquella contra quien se dirija debe tener previamente inscrito su derecho (art. 71.2 LNM). El propietario del buque que lo hipoteca, por una deuda personal o ajena, ha de tener previamente inscrito su derecho de propiedad sobre el buque en el Registro de Bienes Muebles. No es posible que la hipoteca se inscriba antes de la inscripción de la propiedad del buque. A continuación, se hará constar la constitución, modificación y cancelación de gravámenes de cualquier género que pesen sobre el buque (art. 145.4º RRM 1956)</w:t>
      </w:r>
      <w:r w:rsidRPr="00E3148A">
        <w:rPr>
          <w:rStyle w:val="Refdenotaalpie"/>
          <w:rFonts w:ascii="Arial" w:hAnsi="Arial" w:cs="Arial"/>
          <w:sz w:val="24"/>
          <w:szCs w:val="24"/>
        </w:rPr>
        <w:footnoteReference w:id="17"/>
      </w:r>
      <w:r w:rsidRPr="00E3148A">
        <w:rPr>
          <w:rFonts w:ascii="Arial" w:hAnsi="Arial" w:cs="Arial"/>
        </w:rPr>
        <w:t>.</w:t>
      </w:r>
    </w:p>
    <w:p w14:paraId="71D3900E" w14:textId="77777777" w:rsidR="00F90B73" w:rsidRPr="00E3148A" w:rsidRDefault="00F90B73" w:rsidP="00C56610">
      <w:pPr>
        <w:jc w:val="both"/>
        <w:rPr>
          <w:rFonts w:ascii="Arial" w:hAnsi="Arial" w:cs="Arial"/>
        </w:rPr>
      </w:pPr>
    </w:p>
    <w:p w14:paraId="7A964E7D" w14:textId="377B86A1" w:rsidR="00491199" w:rsidRPr="00E3148A" w:rsidRDefault="00E3148A" w:rsidP="00E3148A">
      <w:pPr>
        <w:jc w:val="both"/>
        <w:rPr>
          <w:rFonts w:ascii="Arial" w:hAnsi="Arial" w:cs="Arial"/>
          <w:b/>
        </w:rPr>
      </w:pPr>
      <w:r w:rsidRPr="00E3148A">
        <w:rPr>
          <w:rFonts w:ascii="Arial" w:hAnsi="Arial" w:cs="Arial"/>
          <w:b/>
        </w:rPr>
        <w:t>1</w:t>
      </w:r>
      <w:r w:rsidR="00491199" w:rsidRPr="00E3148A">
        <w:rPr>
          <w:rFonts w:ascii="Arial" w:hAnsi="Arial" w:cs="Arial"/>
          <w:b/>
        </w:rPr>
        <w:t>.7. Ejercicio de la acción hipotecaria naval</w:t>
      </w:r>
    </w:p>
    <w:p w14:paraId="734DF822" w14:textId="77777777" w:rsidR="00491199" w:rsidRPr="00E3148A" w:rsidRDefault="00491199" w:rsidP="00491199">
      <w:pPr>
        <w:jc w:val="both"/>
        <w:rPr>
          <w:rFonts w:ascii="Arial" w:hAnsi="Arial" w:cs="Arial"/>
        </w:rPr>
      </w:pPr>
      <w:r w:rsidRPr="00E3148A">
        <w:rPr>
          <w:rFonts w:ascii="Arial" w:hAnsi="Arial" w:cs="Arial"/>
        </w:rPr>
        <w:t>Conforme al art. 2 Convenio de 1993, las cuestiones relativas al procedimiento de ejecución se regirán por la legislación del Estado donde ésta tenga lugar</w:t>
      </w:r>
    </w:p>
    <w:p w14:paraId="113531C2" w14:textId="77777777" w:rsidR="00491199" w:rsidRPr="00E3148A" w:rsidRDefault="00491199" w:rsidP="00491199">
      <w:pPr>
        <w:jc w:val="both"/>
        <w:rPr>
          <w:rFonts w:ascii="Arial" w:hAnsi="Arial" w:cs="Arial"/>
        </w:rPr>
      </w:pPr>
      <w:r w:rsidRPr="00E3148A">
        <w:rPr>
          <w:rFonts w:ascii="Arial" w:hAnsi="Arial" w:cs="Arial"/>
        </w:rPr>
        <w:t xml:space="preserve">En España, la acción para exigir el pago de las deudas garantizadas por hipoteca naval, así como todo lo relativo al procedimiento a seguir y a la competencia para conocer del mismo, se sujetará a lo dispuesto en el capítulo V del título IV del libro tercero de la LEC, salvo las especialidades establecidas en la presente ley (art. 141 LNM). </w:t>
      </w:r>
    </w:p>
    <w:p w14:paraId="6436F593" w14:textId="0A51AC48" w:rsidR="001C485F" w:rsidRPr="00E3148A" w:rsidRDefault="00491199" w:rsidP="001C485F">
      <w:pPr>
        <w:jc w:val="both"/>
        <w:rPr>
          <w:rFonts w:ascii="Arial" w:hAnsi="Arial" w:cs="Arial"/>
        </w:rPr>
      </w:pPr>
      <w:r w:rsidRPr="00E3148A">
        <w:rPr>
          <w:rFonts w:ascii="Arial" w:hAnsi="Arial" w:cs="Arial"/>
        </w:rPr>
        <w:t>De acuerdo con la LEC, la acción hipotecaria naval o demanda supone que, en garantía del cumplimiento de la obligación, el acreedor hipotecario naval dispone de un derecho de persecución del buque (reipersecutoriedad), aunque cambie de dueño o de poseedor</w:t>
      </w:r>
      <w:r w:rsidRPr="00E3148A">
        <w:rPr>
          <w:rStyle w:val="Refdenotaalpie"/>
          <w:rFonts w:ascii="Arial" w:hAnsi="Arial" w:cs="Arial"/>
          <w:sz w:val="24"/>
          <w:szCs w:val="24"/>
        </w:rPr>
        <w:footnoteReference w:id="18"/>
      </w:r>
      <w:r w:rsidR="001C485F" w:rsidRPr="00E3148A">
        <w:rPr>
          <w:rFonts w:ascii="Arial" w:hAnsi="Arial" w:cs="Arial"/>
        </w:rPr>
        <w:t>, a solicitar su venta forzosa para satisfacer en lo posible su crédito impagado (</w:t>
      </w:r>
      <w:r w:rsidR="001C485F" w:rsidRPr="00E3148A">
        <w:rPr>
          <w:rFonts w:ascii="Arial" w:hAnsi="Arial" w:cs="Arial"/>
          <w:i/>
        </w:rPr>
        <w:t>ius distrahendi</w:t>
      </w:r>
      <w:r w:rsidR="001C485F" w:rsidRPr="00E3148A">
        <w:rPr>
          <w:rFonts w:ascii="Arial" w:hAnsi="Arial" w:cs="Arial"/>
        </w:rPr>
        <w:t xml:space="preserve">); y, con importantes excepciones para los créditos marítimos privilegiados del Convenio de 1993, a cobrar con preferencia a otros acreedores sobre el precio de remate obtenido. </w:t>
      </w:r>
    </w:p>
    <w:p w14:paraId="2B77EF5B" w14:textId="77777777" w:rsidR="001C485F" w:rsidRPr="00E3148A" w:rsidRDefault="001C485F" w:rsidP="001C485F">
      <w:pPr>
        <w:jc w:val="both"/>
        <w:rPr>
          <w:rFonts w:ascii="Arial" w:hAnsi="Arial" w:cs="Arial"/>
        </w:rPr>
      </w:pPr>
      <w:r w:rsidRPr="00E3148A">
        <w:rPr>
          <w:rFonts w:ascii="Arial" w:hAnsi="Arial" w:cs="Arial"/>
        </w:rPr>
        <w:t xml:space="preserve">Como especialidad de la LNM, la acción hipotecaria naval prescribe a los tres años, contados desde que pueda ejercitarse, conforme a las prescripciones de la presente ley (art. 142.1 LNM). </w:t>
      </w:r>
    </w:p>
    <w:p w14:paraId="276923C5" w14:textId="77777777" w:rsidR="001C485F" w:rsidRPr="00E3148A" w:rsidRDefault="001C485F" w:rsidP="001C485F">
      <w:pPr>
        <w:jc w:val="both"/>
        <w:rPr>
          <w:rFonts w:ascii="Arial" w:hAnsi="Arial" w:cs="Arial"/>
        </w:rPr>
      </w:pPr>
    </w:p>
    <w:p w14:paraId="6DF088A1" w14:textId="6538CFEE" w:rsidR="001C485F" w:rsidRPr="00E3148A" w:rsidRDefault="00E3148A" w:rsidP="001C485F">
      <w:pPr>
        <w:jc w:val="both"/>
        <w:rPr>
          <w:rFonts w:ascii="Arial" w:hAnsi="Arial" w:cs="Arial"/>
          <w:b/>
          <w:bCs/>
        </w:rPr>
      </w:pPr>
      <w:r w:rsidRPr="00E3148A">
        <w:rPr>
          <w:rFonts w:ascii="Arial" w:hAnsi="Arial" w:cs="Arial"/>
          <w:b/>
          <w:bCs/>
        </w:rPr>
        <w:t>1</w:t>
      </w:r>
      <w:r w:rsidR="001C485F" w:rsidRPr="00E3148A">
        <w:rPr>
          <w:rFonts w:ascii="Arial" w:hAnsi="Arial" w:cs="Arial"/>
          <w:b/>
          <w:bCs/>
        </w:rPr>
        <w:t>.</w:t>
      </w:r>
      <w:r w:rsidRPr="00E3148A">
        <w:rPr>
          <w:rFonts w:ascii="Arial" w:hAnsi="Arial" w:cs="Arial"/>
          <w:b/>
          <w:bCs/>
        </w:rPr>
        <w:t>8</w:t>
      </w:r>
      <w:r w:rsidR="001C485F" w:rsidRPr="00E3148A">
        <w:rPr>
          <w:rFonts w:ascii="Arial" w:hAnsi="Arial" w:cs="Arial"/>
          <w:b/>
          <w:bCs/>
        </w:rPr>
        <w:t>. Procedimiento</w:t>
      </w:r>
    </w:p>
    <w:p w14:paraId="4C805163" w14:textId="577498EA" w:rsidR="00C94C9D" w:rsidRPr="00E3148A" w:rsidRDefault="005F7EC6" w:rsidP="00C94C9D">
      <w:pPr>
        <w:widowControl w:val="0"/>
        <w:autoSpaceDE w:val="0"/>
        <w:autoSpaceDN w:val="0"/>
        <w:jc w:val="both"/>
        <w:rPr>
          <w:rFonts w:ascii="Arial" w:hAnsi="Arial" w:cs="Arial"/>
        </w:rPr>
      </w:pPr>
      <w:r w:rsidRPr="00E3148A">
        <w:rPr>
          <w:rFonts w:ascii="Arial" w:hAnsi="Arial" w:cs="Arial"/>
        </w:rPr>
        <w:t>L</w:t>
      </w:r>
      <w:r w:rsidR="00C94C9D" w:rsidRPr="00E3148A">
        <w:rPr>
          <w:rFonts w:ascii="Arial" w:hAnsi="Arial" w:cs="Arial"/>
        </w:rPr>
        <w:t>a demanda de ejecución por hipoteca naval requiere un documento al que legalmente se otorgue de forma expresa fuerza ejecutiva</w:t>
      </w:r>
      <w:r w:rsidRPr="00E3148A">
        <w:rPr>
          <w:rFonts w:ascii="Arial" w:hAnsi="Arial" w:cs="Arial"/>
        </w:rPr>
        <w:t xml:space="preserve">, pues </w:t>
      </w:r>
      <w:r w:rsidR="00C94C9D" w:rsidRPr="00E3148A">
        <w:rPr>
          <w:rFonts w:ascii="Arial" w:hAnsi="Arial" w:cs="Arial"/>
          <w:i/>
        </w:rPr>
        <w:t>nulla executio sine titulo</w:t>
      </w:r>
      <w:r w:rsidR="00C94C9D" w:rsidRPr="00E3148A">
        <w:rPr>
          <w:rFonts w:ascii="Arial" w:hAnsi="Arial" w:cs="Arial"/>
        </w:rPr>
        <w:t xml:space="preserve"> (art. 517.1 LEC). Así ocurre con la hipoteca naval constituida en escritura pública, es decir, en documento autorizado por notario que satisfaga los requisitos del art. 517.2.4º, como con la póliza intervenida por fedatario público conforme a las exigencias del art. 517.2.5º. </w:t>
      </w:r>
    </w:p>
    <w:p w14:paraId="4FE44322" w14:textId="056DA72E" w:rsidR="00491199" w:rsidRPr="00E3148A" w:rsidRDefault="00023704" w:rsidP="00C94C9D">
      <w:pPr>
        <w:jc w:val="both"/>
        <w:rPr>
          <w:rFonts w:ascii="Arial" w:hAnsi="Arial" w:cs="Arial"/>
        </w:rPr>
      </w:pPr>
      <w:r w:rsidRPr="00E3148A">
        <w:rPr>
          <w:rFonts w:ascii="Arial" w:hAnsi="Arial" w:cs="Arial"/>
        </w:rPr>
        <w:t>Sin embargo, c</w:t>
      </w:r>
      <w:r w:rsidR="00C94C9D" w:rsidRPr="00E3148A">
        <w:rPr>
          <w:rFonts w:ascii="Arial" w:hAnsi="Arial" w:cs="Arial"/>
        </w:rPr>
        <w:t>omo excepción</w:t>
      </w:r>
      <w:r w:rsidRPr="00E3148A">
        <w:rPr>
          <w:rFonts w:ascii="Arial" w:hAnsi="Arial" w:cs="Arial"/>
        </w:rPr>
        <w:t xml:space="preserve">, </w:t>
      </w:r>
      <w:r w:rsidR="00C94C9D" w:rsidRPr="00E3148A">
        <w:rPr>
          <w:rFonts w:ascii="Arial" w:hAnsi="Arial" w:cs="Arial"/>
        </w:rPr>
        <w:t>el art. 685.3 LEC incluye una norma específica sobre la hipoteca naval, según la cual es título suficiente para despachar ejecución el documento privado de constitución de la hipoteca naval inscrito en el Registro de Bienes Muebles de acuerdo con el art. 128 LNM. La jurisprudencia menor ha interpretado que se trata de un fenómeno de relajación o degradación de las exigencias generales del art. 517.2.4º LEC. Así, en un caso, se ha admitido despachar ejecución hipotecaria naval bastando una nota simple informativa en el Registro</w:t>
      </w:r>
      <w:r w:rsidR="00C94C9D" w:rsidRPr="00E3148A">
        <w:rPr>
          <w:rStyle w:val="Refdenotaalpie"/>
          <w:rFonts w:ascii="Arial" w:hAnsi="Arial" w:cs="Arial"/>
          <w:sz w:val="24"/>
          <w:szCs w:val="24"/>
        </w:rPr>
        <w:footnoteReference w:id="19"/>
      </w:r>
      <w:r w:rsidR="00C94C9D" w:rsidRPr="00E3148A">
        <w:rPr>
          <w:rFonts w:ascii="Arial" w:hAnsi="Arial" w:cs="Arial"/>
        </w:rPr>
        <w:t>.</w:t>
      </w:r>
    </w:p>
    <w:p w14:paraId="6925E19F" w14:textId="1C6060AE" w:rsidR="00A900EC" w:rsidRPr="00E3148A" w:rsidRDefault="00980443" w:rsidP="00491199">
      <w:pPr>
        <w:jc w:val="both"/>
        <w:rPr>
          <w:rFonts w:ascii="Arial" w:hAnsi="Arial" w:cs="Arial"/>
        </w:rPr>
      </w:pPr>
      <w:r w:rsidRPr="00E3148A">
        <w:rPr>
          <w:rFonts w:ascii="Arial" w:hAnsi="Arial" w:cs="Arial"/>
          <w:bCs/>
        </w:rPr>
        <w:t>La</w:t>
      </w:r>
      <w:r w:rsidRPr="00E3148A">
        <w:rPr>
          <w:rFonts w:ascii="Arial" w:hAnsi="Arial" w:cs="Arial"/>
        </w:rPr>
        <w:t xml:space="preserve"> </w:t>
      </w:r>
      <w:r w:rsidRPr="00E3148A">
        <w:rPr>
          <w:rFonts w:ascii="Arial" w:hAnsi="Arial" w:cs="Arial"/>
          <w:iCs/>
        </w:rPr>
        <w:t>competencia judicial para conocer de la ejecución de la hipoteca naval,</w:t>
      </w:r>
      <w:r w:rsidRPr="00E3148A">
        <w:rPr>
          <w:rFonts w:ascii="Arial" w:hAnsi="Arial" w:cs="Arial"/>
        </w:rPr>
        <w:t xml:space="preserve"> con arreglo al art. 684.1 LEC, es del Juzgado de Primera Instancia</w:t>
      </w:r>
      <w:r w:rsidRPr="00E3148A">
        <w:rPr>
          <w:rFonts w:ascii="Arial" w:hAnsi="Arial" w:cs="Arial"/>
          <w:i/>
        </w:rPr>
        <w:t xml:space="preserve"> </w:t>
      </w:r>
      <w:r w:rsidRPr="00E3148A">
        <w:rPr>
          <w:rFonts w:ascii="Arial" w:hAnsi="Arial" w:cs="Arial"/>
        </w:rPr>
        <w:t>al que las partes se hayan sometido en el título constitutivo de la hipoteca y, en su defecto, el del lugar donde se haya constituido la hipoteca, el del puerto en que se encuentre el buque hipotecado, el del domicilio del demandado o el del lugar en que radique el Registro en que fue inscrita la hipoteca, a elección del actor.</w:t>
      </w:r>
      <w:r w:rsidR="00511327" w:rsidRPr="00E3148A">
        <w:rPr>
          <w:rFonts w:ascii="Arial" w:hAnsi="Arial" w:cs="Arial"/>
        </w:rPr>
        <w:t xml:space="preserve"> Sin embargo, desde la constitución de los Juzgados de lo Mercantil, que asumen competencia en Derecho marítimo, ha de entenderse que </w:t>
      </w:r>
      <w:r w:rsidR="0041015B" w:rsidRPr="00E3148A">
        <w:rPr>
          <w:rFonts w:ascii="Arial" w:hAnsi="Arial" w:cs="Arial"/>
        </w:rPr>
        <w:t>la ejecución de la hipoteca naval es de estos, incluso, según la Audiencia Provincial de Barcelona, cuando se refuerce la obligación garantizada por hipoteca naval con una hipoteca sobre bienes inmuebles</w:t>
      </w:r>
      <w:r w:rsidR="0041015B" w:rsidRPr="00E3148A">
        <w:rPr>
          <w:rStyle w:val="Refdenotaalpie"/>
          <w:rFonts w:ascii="Arial" w:hAnsi="Arial" w:cs="Arial"/>
          <w:sz w:val="24"/>
          <w:szCs w:val="24"/>
        </w:rPr>
        <w:footnoteReference w:id="20"/>
      </w:r>
      <w:r w:rsidR="0041015B" w:rsidRPr="00E3148A">
        <w:rPr>
          <w:rFonts w:ascii="Arial" w:hAnsi="Arial" w:cs="Arial"/>
        </w:rPr>
        <w:t>.</w:t>
      </w:r>
    </w:p>
    <w:p w14:paraId="5DE0EA78" w14:textId="77777777" w:rsidR="0075219B" w:rsidRPr="00E3148A" w:rsidRDefault="00644B31" w:rsidP="00491199">
      <w:pPr>
        <w:jc w:val="both"/>
        <w:rPr>
          <w:rFonts w:ascii="Arial" w:hAnsi="Arial" w:cs="Arial"/>
        </w:rPr>
      </w:pPr>
      <w:r w:rsidRPr="00E3148A">
        <w:rPr>
          <w:rFonts w:ascii="Arial" w:hAnsi="Arial" w:cs="Arial"/>
          <w:i/>
        </w:rPr>
        <w:t xml:space="preserve">La legitimación activa </w:t>
      </w:r>
      <w:r w:rsidRPr="00E3148A">
        <w:rPr>
          <w:rFonts w:ascii="Arial" w:hAnsi="Arial" w:cs="Arial"/>
        </w:rPr>
        <w:t>de la demanda ejecutiva por hipoteca naval se deriva, con las excepciones que prevé la LEC, del título ejecutivo (art. 538.2 LEC). La ejecución se despacha a favor de quien aparezca como acreedor en el título.</w:t>
      </w:r>
    </w:p>
    <w:p w14:paraId="233F4D22" w14:textId="48B5DBE8" w:rsidR="00CB19B7" w:rsidRPr="00E3148A" w:rsidRDefault="00644B31" w:rsidP="00CB19B7">
      <w:pPr>
        <w:pStyle w:val="Textonotapie"/>
        <w:jc w:val="both"/>
        <w:rPr>
          <w:rFonts w:ascii="Arial" w:hAnsi="Arial" w:cs="Arial"/>
          <w:sz w:val="24"/>
          <w:szCs w:val="24"/>
        </w:rPr>
      </w:pPr>
      <w:r w:rsidRPr="00E3148A">
        <w:rPr>
          <w:rFonts w:ascii="Arial" w:hAnsi="Arial" w:cs="Arial"/>
          <w:sz w:val="24"/>
          <w:szCs w:val="24"/>
        </w:rPr>
        <w:t>Asimismo, la ejecución se despacha contra quien aparezca como deudor en el mismo título</w:t>
      </w:r>
      <w:r w:rsidRPr="00E3148A">
        <w:rPr>
          <w:rStyle w:val="Refdenotaalpie"/>
          <w:rFonts w:ascii="Arial" w:hAnsi="Arial" w:cs="Arial"/>
          <w:sz w:val="24"/>
          <w:szCs w:val="24"/>
        </w:rPr>
        <w:footnoteReference w:id="21"/>
      </w:r>
      <w:r w:rsidRPr="00E3148A">
        <w:rPr>
          <w:rFonts w:ascii="Arial" w:hAnsi="Arial" w:cs="Arial"/>
          <w:sz w:val="24"/>
          <w:szCs w:val="24"/>
        </w:rPr>
        <w:t>.</w:t>
      </w:r>
      <w:r w:rsidR="0075219B" w:rsidRPr="00E3148A">
        <w:rPr>
          <w:rFonts w:ascii="Arial" w:hAnsi="Arial" w:cs="Arial"/>
          <w:sz w:val="24"/>
          <w:szCs w:val="24"/>
        </w:rPr>
        <w:t xml:space="preserve"> </w:t>
      </w:r>
      <w:r w:rsidR="00FA63C5" w:rsidRPr="00E3148A">
        <w:rPr>
          <w:rFonts w:ascii="Arial" w:hAnsi="Arial" w:cs="Arial"/>
          <w:sz w:val="24"/>
          <w:szCs w:val="24"/>
        </w:rPr>
        <w:t xml:space="preserve">La hipoteca también puede despacharse contra </w:t>
      </w:r>
      <w:r w:rsidR="00E3148A" w:rsidRPr="00E3148A">
        <w:rPr>
          <w:rFonts w:ascii="Arial" w:hAnsi="Arial" w:cs="Arial"/>
          <w:sz w:val="24"/>
          <w:szCs w:val="24"/>
        </w:rPr>
        <w:t>quien,</w:t>
      </w:r>
      <w:r w:rsidR="00FA63C5" w:rsidRPr="00E3148A">
        <w:rPr>
          <w:rFonts w:ascii="Arial" w:hAnsi="Arial" w:cs="Arial"/>
          <w:sz w:val="24"/>
          <w:szCs w:val="24"/>
        </w:rPr>
        <w:t xml:space="preserve"> sin aparecer en el título ejecutivo, responda personalmente de la deuda por disposición legal o por afianzamiento en documento público (art. 538.2.2º LEC) o quien resulte ser propietario de los bienes afectos al pago de la deuda (art. 538.2.3º). </w:t>
      </w:r>
      <w:r w:rsidR="00CB19B7" w:rsidRPr="00E3148A">
        <w:rPr>
          <w:rFonts w:ascii="Arial" w:hAnsi="Arial" w:cs="Arial"/>
          <w:sz w:val="24"/>
          <w:szCs w:val="24"/>
        </w:rPr>
        <w:t xml:space="preserve">Por consiguiente, la constitución de una garantía real sobre el buque refuerza la posición del acreedor hipotecario naval, pues puede ejercer su derecho contra el buque o buque afecto al cumplimiento de la obligación garantizada (art. 140 LNM). Sin embargo, la LEC no la regula procesalmente como un </w:t>
      </w:r>
      <w:r w:rsidR="00CB19B7" w:rsidRPr="00E3148A">
        <w:rPr>
          <w:rFonts w:ascii="Arial" w:hAnsi="Arial" w:cs="Arial"/>
          <w:i/>
          <w:sz w:val="24"/>
          <w:szCs w:val="24"/>
        </w:rPr>
        <w:t>actio in rem</w:t>
      </w:r>
      <w:r w:rsidR="00CB19B7" w:rsidRPr="00E3148A">
        <w:rPr>
          <w:rFonts w:ascii="Arial" w:hAnsi="Arial" w:cs="Arial"/>
          <w:sz w:val="24"/>
          <w:szCs w:val="24"/>
        </w:rPr>
        <w:t>, acción real o sobre una cosa, pues la ejecución se despacha contra el deudor o contra el propietario del buque, sea o no el deudor hipotecario.</w:t>
      </w:r>
    </w:p>
    <w:p w14:paraId="571E7E8B" w14:textId="77777777" w:rsidR="000B1E09" w:rsidRPr="00E3148A" w:rsidRDefault="000B1E09" w:rsidP="000B1E09">
      <w:pPr>
        <w:pStyle w:val="Textonotapie"/>
        <w:jc w:val="both"/>
        <w:rPr>
          <w:rFonts w:ascii="Arial" w:hAnsi="Arial" w:cs="Arial"/>
          <w:sz w:val="24"/>
          <w:szCs w:val="24"/>
        </w:rPr>
      </w:pPr>
      <w:r w:rsidRPr="00E3148A">
        <w:rPr>
          <w:rFonts w:ascii="Arial" w:hAnsi="Arial" w:cs="Arial"/>
          <w:sz w:val="24"/>
          <w:szCs w:val="24"/>
        </w:rPr>
        <w:t xml:space="preserve">En cuanto a las </w:t>
      </w:r>
      <w:r w:rsidRPr="00E3148A">
        <w:rPr>
          <w:rFonts w:ascii="Arial" w:hAnsi="Arial" w:cs="Arial"/>
          <w:iCs/>
          <w:sz w:val="24"/>
          <w:szCs w:val="24"/>
        </w:rPr>
        <w:t xml:space="preserve">condiciones para la ejecución hipotecaria naval, </w:t>
      </w:r>
      <w:r w:rsidRPr="00E3148A">
        <w:rPr>
          <w:rFonts w:ascii="Arial" w:hAnsi="Arial" w:cs="Arial"/>
          <w:sz w:val="24"/>
          <w:szCs w:val="24"/>
        </w:rPr>
        <w:t>el art. 681.2 LEC añade una norma especial para la hipoteca naval al señalar que la acción para exigir el pago de deudas por hipoteca naval sólo puede ejercitarse contra el buque o buques hipotecados con las siguientes condiciones:</w:t>
      </w:r>
    </w:p>
    <w:p w14:paraId="47E97C5A" w14:textId="77777777" w:rsidR="000B1E09" w:rsidRPr="00E3148A" w:rsidRDefault="000B1E09" w:rsidP="000B1E09">
      <w:pPr>
        <w:pStyle w:val="Textonotapie"/>
        <w:ind w:left="708"/>
        <w:jc w:val="both"/>
        <w:rPr>
          <w:rFonts w:ascii="Arial" w:hAnsi="Arial" w:cs="Arial"/>
          <w:sz w:val="24"/>
          <w:szCs w:val="24"/>
        </w:rPr>
      </w:pPr>
      <w:r w:rsidRPr="00E3148A">
        <w:rPr>
          <w:rFonts w:ascii="Arial" w:hAnsi="Arial" w:cs="Arial"/>
          <w:sz w:val="24"/>
          <w:szCs w:val="24"/>
        </w:rPr>
        <w:t xml:space="preserve">1º Cuando haya vencido el plazo para devolver el capital o los intereses en la forma pactada o cuando se cumplan las condiciones puestas como resolutorias de la obligación garantizadas, así como todas las que tengan por efecto la exigibilidad del capital o de los intereses. </w:t>
      </w:r>
    </w:p>
    <w:p w14:paraId="6354768A" w14:textId="49ECA65D" w:rsidR="000B1E09" w:rsidRPr="00E3148A" w:rsidRDefault="000B1E09" w:rsidP="000B1E09">
      <w:pPr>
        <w:ind w:left="708"/>
        <w:jc w:val="both"/>
        <w:rPr>
          <w:rFonts w:ascii="Arial" w:hAnsi="Arial" w:cs="Arial"/>
        </w:rPr>
      </w:pPr>
      <w:r w:rsidRPr="00E3148A">
        <w:rPr>
          <w:rFonts w:ascii="Arial" w:hAnsi="Arial" w:cs="Arial"/>
        </w:rPr>
        <w:t xml:space="preserve">2º La acción sólo podrá ejercitarse previa constatación de la situación real del buque a través de certificación emitida por la administración competente en </w:t>
      </w:r>
      <w:r w:rsidR="00E3148A" w:rsidRPr="00E3148A">
        <w:rPr>
          <w:rFonts w:ascii="Arial" w:hAnsi="Arial" w:cs="Arial"/>
        </w:rPr>
        <w:t>el supuesto</w:t>
      </w:r>
      <w:r w:rsidRPr="00E3148A">
        <w:rPr>
          <w:rFonts w:ascii="Arial" w:hAnsi="Arial" w:cs="Arial"/>
        </w:rPr>
        <w:t xml:space="preserve"> en que el buque se haya deteriorado en forma que quede inutilizado de forma definitiva para la navegación o cuando, existiendo varios buques hipotecados para garantizar la misma obligación, se pierda o inutilice cualquiera de ellos, salvo pacto en contrario.</w:t>
      </w:r>
    </w:p>
    <w:p w14:paraId="3A5470E9" w14:textId="77777777" w:rsidR="000B1E09" w:rsidRPr="00E3148A" w:rsidRDefault="000B1E09" w:rsidP="000B1E09">
      <w:pPr>
        <w:ind w:left="708"/>
        <w:jc w:val="both"/>
        <w:rPr>
          <w:rFonts w:ascii="Arial" w:hAnsi="Arial" w:cs="Arial"/>
        </w:rPr>
      </w:pPr>
      <w:r w:rsidRPr="00E3148A">
        <w:rPr>
          <w:rFonts w:ascii="Arial" w:hAnsi="Arial" w:cs="Arial"/>
        </w:rPr>
        <w:t>3º En caso de concurso del deudor, siendo necesario que se presente testimonio de la ejecutoria en que conste la declaración de concurso.</w:t>
      </w:r>
    </w:p>
    <w:p w14:paraId="547C803F" w14:textId="77777777" w:rsidR="000B1E09" w:rsidRPr="00E3148A" w:rsidRDefault="000B1E09" w:rsidP="000B1E09">
      <w:pPr>
        <w:jc w:val="both"/>
        <w:rPr>
          <w:rFonts w:ascii="Arial" w:hAnsi="Arial" w:cs="Arial"/>
          <w:color w:val="282828"/>
          <w:shd w:val="clear" w:color="auto" w:fill="FFFFFF"/>
        </w:rPr>
      </w:pPr>
      <w:r w:rsidRPr="00E3148A">
        <w:rPr>
          <w:rFonts w:ascii="Arial" w:hAnsi="Arial" w:cs="Arial"/>
          <w:color w:val="282828"/>
          <w:shd w:val="clear" w:color="auto" w:fill="FFFFFF"/>
        </w:rPr>
        <w:t xml:space="preserve">Finalmente, planteada la demanda de ejecución de la hipoteca naval, según el art. 695 LEC sólo se admitirá la oposición del ejecutado cuando se funde en alguna de las causas tasadas que enumera. </w:t>
      </w:r>
    </w:p>
    <w:p w14:paraId="6739DAC1" w14:textId="0B08DB2F" w:rsidR="00FA63C5" w:rsidRPr="00E3148A" w:rsidRDefault="000B1E09" w:rsidP="000B1E09">
      <w:pPr>
        <w:jc w:val="both"/>
        <w:rPr>
          <w:rFonts w:ascii="Arial" w:hAnsi="Arial" w:cs="Arial"/>
          <w:color w:val="282828"/>
          <w:shd w:val="clear" w:color="auto" w:fill="FFFFFF"/>
        </w:rPr>
      </w:pPr>
      <w:r w:rsidRPr="00E3148A">
        <w:rPr>
          <w:rFonts w:ascii="Arial" w:hAnsi="Arial" w:cs="Arial"/>
          <w:color w:val="282828"/>
          <w:shd w:val="clear" w:color="auto" w:fill="FFFFFF"/>
        </w:rPr>
        <w:t>Además, el art. 695.1.1ª LEC permite oponer frente a la ejecución de la hipoteca la extinción de la garantía o de la obligación garantizada, siempre que se presente certificación del Registro expresiva de la cancelación de la hipoteca o, en su caso, de la prenda sin desplazamiento, o escritura pública de carta de pago o de cancelación de la garantía</w:t>
      </w:r>
      <w:r w:rsidRPr="00E3148A">
        <w:rPr>
          <w:rStyle w:val="Refdenotaalpie"/>
          <w:rFonts w:ascii="Arial" w:hAnsi="Arial" w:cs="Arial"/>
          <w:color w:val="282828"/>
          <w:sz w:val="24"/>
          <w:szCs w:val="24"/>
          <w:shd w:val="clear" w:color="auto" w:fill="FFFFFF"/>
        </w:rPr>
        <w:footnoteReference w:id="22"/>
      </w:r>
      <w:r w:rsidRPr="00E3148A">
        <w:rPr>
          <w:rFonts w:ascii="Arial" w:hAnsi="Arial" w:cs="Arial"/>
          <w:color w:val="282828"/>
          <w:shd w:val="clear" w:color="auto" w:fill="FFFFFF"/>
        </w:rPr>
        <w:t>.</w:t>
      </w:r>
    </w:p>
    <w:p w14:paraId="20537550" w14:textId="77777777" w:rsidR="00FC4D21" w:rsidRPr="00E3148A" w:rsidRDefault="00FC4D21" w:rsidP="000B1E09">
      <w:pPr>
        <w:jc w:val="both"/>
        <w:rPr>
          <w:rFonts w:ascii="Arial" w:hAnsi="Arial" w:cs="Arial"/>
          <w:color w:val="282828"/>
          <w:shd w:val="clear" w:color="auto" w:fill="FFFFFF"/>
        </w:rPr>
      </w:pPr>
    </w:p>
    <w:p w14:paraId="6A3AA91C" w14:textId="2D563A17" w:rsidR="00FC4D21" w:rsidRPr="00E3148A" w:rsidRDefault="00E3148A" w:rsidP="000B1E09">
      <w:pPr>
        <w:jc w:val="both"/>
        <w:rPr>
          <w:rFonts w:ascii="Arial" w:hAnsi="Arial" w:cs="Arial"/>
          <w:b/>
          <w:bCs/>
          <w:color w:val="282828"/>
          <w:shd w:val="clear" w:color="auto" w:fill="FFFFFF"/>
        </w:rPr>
      </w:pPr>
      <w:r w:rsidRPr="00E3148A">
        <w:rPr>
          <w:rFonts w:ascii="Arial" w:hAnsi="Arial" w:cs="Arial"/>
          <w:b/>
          <w:bCs/>
          <w:color w:val="282828"/>
          <w:shd w:val="clear" w:color="auto" w:fill="FFFFFF"/>
        </w:rPr>
        <w:t>1.9</w:t>
      </w:r>
      <w:r w:rsidR="00FC4D21" w:rsidRPr="00E3148A">
        <w:rPr>
          <w:rFonts w:ascii="Arial" w:hAnsi="Arial" w:cs="Arial"/>
          <w:b/>
          <w:bCs/>
          <w:color w:val="282828"/>
          <w:shd w:val="clear" w:color="auto" w:fill="FFFFFF"/>
        </w:rPr>
        <w:t>. Venta judicial de buque</w:t>
      </w:r>
    </w:p>
    <w:p w14:paraId="3F4BD203" w14:textId="1DDEB8B9" w:rsidR="00FA6D0C" w:rsidRPr="00E3148A" w:rsidRDefault="00FC4D21" w:rsidP="00FC4D21">
      <w:pPr>
        <w:jc w:val="both"/>
        <w:rPr>
          <w:rFonts w:ascii="Arial" w:hAnsi="Arial" w:cs="Arial"/>
        </w:rPr>
      </w:pPr>
      <w:r w:rsidRPr="00E3148A">
        <w:rPr>
          <w:rFonts w:ascii="Arial" w:hAnsi="Arial" w:cs="Arial"/>
        </w:rPr>
        <w:t xml:space="preserve">Es oportuno señalar que las ventas judiciales de buques no disponían tradicionalmente de convenios internacionales que regulasen dichos actos con normas vinculantes. Ello generaba inseguridad jurídica que finalmente se traduce en costos que deben ser soportados por diversos actores relacionados con el comercio y el transporte marítimo internacional. Para cubrir ese vacío en el plano del Derecho marítimo convencional, el Comité Marítimo Internacional (CMI) ante el pedido principalmente de la industria financiera, constituyó un grupo de trabajo compuesto por especialistas, que redactó un borrador de instrumento sobre el reconocimiento de las ventas judiciales de buques en el extranjero, que tras presentarse en la 40ª conferencia del CMI en Beijing en 2012, consiguió luego la aprobación de un texto definitivo en la conferencia de Hamburgo celebrada en junio de 2014. Ese documento conocido como el “proyecto de Beijing” ha sido la base sobre la que está trabajando la Comisión de las Naciones Unidas para el Derecho Mercantil Internacional (UNCITRAL), para cuyo efecto creó un Grupo de Trabajo VI, el que ha desplegado esfuerzos para perfeccionar el texto, conforme se expuso en sus 35º y 36º período de sesiones celebrados en 2019. Para octubre de 2021, está programado el 39° periodo de sesiones. Finalmente, se adoptó la Convención de las Naciones Unidas sobre los Efectos Internacionales de las Ventas Judiciales de Buques, también conocida como Convención de Beijing sobre la Venta Judicial de Buques, </w:t>
      </w:r>
      <w:r w:rsidR="00E3148A" w:rsidRPr="00E3148A">
        <w:rPr>
          <w:rFonts w:ascii="Arial" w:hAnsi="Arial" w:cs="Arial"/>
        </w:rPr>
        <w:t xml:space="preserve">cuyo objeto </w:t>
      </w:r>
      <w:r w:rsidRPr="00E3148A">
        <w:rPr>
          <w:rFonts w:ascii="Arial" w:hAnsi="Arial" w:cs="Arial"/>
        </w:rPr>
        <w:t>es dotar de seguridad jurídica y protección a las ventas judiciales de buques, para que éstas sean reconocidas internacionalmente. Pretende que los compradores –adquirentes- estén protegidos frente a embargos posteriores surgidos por créditos marítimos, y busca también uniformizar las ventas por pública subasta</w:t>
      </w:r>
      <w:r w:rsidR="00E642B9" w:rsidRPr="00E3148A">
        <w:rPr>
          <w:rFonts w:ascii="Arial" w:hAnsi="Arial" w:cs="Arial"/>
        </w:rPr>
        <w:t>.</w:t>
      </w:r>
      <w:r w:rsidR="00E3148A" w:rsidRPr="00E3148A">
        <w:rPr>
          <w:rFonts w:ascii="Arial" w:hAnsi="Arial" w:cs="Arial"/>
        </w:rPr>
        <w:t xml:space="preserve"> España la ha firmado el 16 de junio de 2024. Entrará en vigor cuando la ratifiquen tres Estados, de momento sólo El Salvador lo ha hecho, de acuerdo con los datos suministrados por Naciones Unidas</w:t>
      </w:r>
      <w:r w:rsidR="00E3148A" w:rsidRPr="00E3148A">
        <w:rPr>
          <w:rStyle w:val="Refdenotaalpie"/>
          <w:rFonts w:ascii="Arial" w:hAnsi="Arial" w:cs="Arial"/>
          <w:sz w:val="24"/>
          <w:szCs w:val="24"/>
        </w:rPr>
        <w:footnoteReference w:id="23"/>
      </w:r>
      <w:r w:rsidR="00E3148A" w:rsidRPr="00E3148A">
        <w:rPr>
          <w:rFonts w:ascii="Arial" w:hAnsi="Arial" w:cs="Arial"/>
        </w:rPr>
        <w:t xml:space="preserve">. </w:t>
      </w:r>
    </w:p>
    <w:p w14:paraId="027F3A24" w14:textId="38A8CADB" w:rsidR="00E642B9" w:rsidRPr="00E3148A" w:rsidRDefault="00E642B9" w:rsidP="00E642B9">
      <w:pPr>
        <w:jc w:val="both"/>
        <w:rPr>
          <w:rFonts w:ascii="Arial" w:hAnsi="Arial" w:cs="Arial"/>
        </w:rPr>
      </w:pPr>
      <w:r w:rsidRPr="00E3148A">
        <w:rPr>
          <w:rFonts w:ascii="Arial" w:hAnsi="Arial" w:cs="Arial"/>
        </w:rPr>
        <w:t xml:space="preserve">Mientras tanto se aprueban o no dichas normas internacionales, en España, siguen </w:t>
      </w:r>
      <w:r w:rsidR="004D1F0D">
        <w:rPr>
          <w:rFonts w:ascii="Arial" w:hAnsi="Arial" w:cs="Arial"/>
        </w:rPr>
        <w:t>aplicando</w:t>
      </w:r>
      <w:r w:rsidRPr="00E3148A">
        <w:rPr>
          <w:rFonts w:ascii="Arial" w:hAnsi="Arial" w:cs="Arial"/>
        </w:rPr>
        <w:t xml:space="preserve"> a la ejecución, de acuerdo con la remisión de los arts. 141 y 480 LNM a la LEC y a la normativa administrativa que resulte de aplicación para la subasta de bienes muebles sujetos a publicidad registral en todo lo no previsto en el Convenio de 1993 y en la propia LNM.</w:t>
      </w:r>
    </w:p>
    <w:p w14:paraId="71635A32" w14:textId="56466027" w:rsidR="00E642B9" w:rsidRPr="00E3148A" w:rsidRDefault="00E642B9" w:rsidP="00E642B9">
      <w:pPr>
        <w:jc w:val="both"/>
        <w:rPr>
          <w:rFonts w:ascii="Arial" w:hAnsi="Arial" w:cs="Arial"/>
        </w:rPr>
      </w:pPr>
      <w:r w:rsidRPr="00E3148A">
        <w:rPr>
          <w:rFonts w:ascii="Arial" w:hAnsi="Arial" w:cs="Arial"/>
        </w:rPr>
        <w:t>En primer lugar, el acreedor hipotecario dispone de un derecho a la venta forzosa del mismo para satisfacer la obligación principal incumplida (</w:t>
      </w:r>
      <w:r w:rsidRPr="00E3148A">
        <w:rPr>
          <w:rFonts w:ascii="Arial" w:hAnsi="Arial" w:cs="Arial"/>
          <w:i/>
        </w:rPr>
        <w:t>ius distrahendi</w:t>
      </w:r>
      <w:r w:rsidRPr="00E3148A">
        <w:rPr>
          <w:rFonts w:ascii="Arial" w:hAnsi="Arial" w:cs="Arial"/>
        </w:rPr>
        <w:t>). En cambio, no cabe pacto comisorio, prohibido en el art. 1859 Código Civil, por el cual el acreedor hipotecario asuma directamente la propiedad del buque. La Dirección General de los Registros y del Notariado (hoy Dirección General de Fe Pública y Seguridad Jurídica), del Ministerio de Justicia español, ha negado así expresamente validez al denominado pacto marciano en una hipoteca naval, por el cual el acreedor hace suya la cosa hipotecada o la cede a un tercero en función del valor que se le atribuye</w:t>
      </w:r>
      <w:r w:rsidRPr="00E3148A">
        <w:rPr>
          <w:rStyle w:val="Refdenotaalpie"/>
          <w:rFonts w:ascii="Arial" w:hAnsi="Arial" w:cs="Arial"/>
          <w:sz w:val="24"/>
          <w:szCs w:val="24"/>
        </w:rPr>
        <w:footnoteReference w:id="24"/>
      </w:r>
      <w:r w:rsidRPr="00E3148A">
        <w:rPr>
          <w:rFonts w:ascii="Arial" w:hAnsi="Arial" w:cs="Arial"/>
        </w:rPr>
        <w:t>.</w:t>
      </w:r>
    </w:p>
    <w:p w14:paraId="377B2D4B" w14:textId="77777777" w:rsidR="00E642B9" w:rsidRPr="00E3148A" w:rsidRDefault="00E642B9" w:rsidP="00E642B9">
      <w:pPr>
        <w:jc w:val="both"/>
        <w:rPr>
          <w:rFonts w:ascii="Arial" w:hAnsi="Arial" w:cs="Arial"/>
        </w:rPr>
      </w:pPr>
      <w:r w:rsidRPr="00E3148A">
        <w:rPr>
          <w:rFonts w:ascii="Arial" w:hAnsi="Arial" w:cs="Arial"/>
        </w:rPr>
        <w:t>En segundo lugar, de acuerdo con el art. 691 LEC, el bien hipotecado, en este caso, el buque, se realizará mediante subasta, conforme a las normas de la LEC para la subasta de bienes inmuebles (art. 691.4). El ejecutante sí puede adjudicarse el buque si se dan las condiciones de la subasta de la LEC</w:t>
      </w:r>
      <w:r w:rsidRPr="00E3148A">
        <w:rPr>
          <w:rStyle w:val="Refdenotaalpie"/>
          <w:rFonts w:ascii="Arial" w:hAnsi="Arial" w:cs="Arial"/>
          <w:sz w:val="24"/>
          <w:szCs w:val="24"/>
        </w:rPr>
        <w:footnoteReference w:id="25"/>
      </w:r>
      <w:r w:rsidRPr="00E3148A">
        <w:rPr>
          <w:rFonts w:ascii="Arial" w:hAnsi="Arial" w:cs="Arial"/>
        </w:rPr>
        <w:t xml:space="preserve">. </w:t>
      </w:r>
    </w:p>
    <w:p w14:paraId="4459211A" w14:textId="1E016B39" w:rsidR="00E642B9" w:rsidRPr="00E3148A" w:rsidRDefault="00E642B9" w:rsidP="00E642B9">
      <w:pPr>
        <w:jc w:val="both"/>
        <w:rPr>
          <w:rFonts w:ascii="Arial" w:hAnsi="Arial" w:cs="Arial"/>
        </w:rPr>
      </w:pPr>
      <w:r w:rsidRPr="00E3148A">
        <w:rPr>
          <w:rFonts w:ascii="Arial" w:hAnsi="Arial" w:cs="Arial"/>
        </w:rPr>
        <w:t>El art. 485 LNM, titulado Realización por persona o entidad especializada, indica que «</w:t>
      </w:r>
      <w:r w:rsidRPr="00E3148A">
        <w:rPr>
          <w:rFonts w:ascii="Arial" w:hAnsi="Arial" w:cs="Arial"/>
          <w:i/>
          <w:color w:val="000000"/>
          <w:shd w:val="clear" w:color="auto" w:fill="FFFFFF"/>
        </w:rPr>
        <w:t>Será de aplicación en la venta judicial de buques lo dispuesto en el artículo 641 de la Ley de Enjuiciamiento Civil</w:t>
      </w:r>
      <w:r w:rsidRPr="00E3148A">
        <w:rPr>
          <w:rFonts w:ascii="Arial" w:hAnsi="Arial" w:cs="Arial"/>
        </w:rPr>
        <w:t>». Se trata de una opción legislativa que contrasta con la venta en subasta de la LEC. La Exposición de motivos LNM indica que «</w:t>
      </w:r>
      <w:r w:rsidRPr="00E3148A">
        <w:rPr>
          <w:rFonts w:ascii="Arial" w:hAnsi="Arial" w:cs="Arial"/>
          <w:i/>
        </w:rPr>
        <w:t>De acuerdo con la Ley de Enjuiciamiento Civil la venta se puede gestionar directamente por persona especializada y conocedor del mercado, prescindiendo de la subasta</w:t>
      </w:r>
      <w:r w:rsidRPr="00E3148A">
        <w:rPr>
          <w:rFonts w:ascii="Arial" w:hAnsi="Arial" w:cs="Arial"/>
        </w:rPr>
        <w:t xml:space="preserve">». </w:t>
      </w:r>
    </w:p>
    <w:p w14:paraId="2A57B146" w14:textId="2B305814" w:rsidR="00E642B9" w:rsidRPr="00E3148A" w:rsidRDefault="00E642B9" w:rsidP="00E642B9">
      <w:pPr>
        <w:jc w:val="both"/>
        <w:rPr>
          <w:rFonts w:ascii="Arial" w:hAnsi="Arial" w:cs="Arial"/>
        </w:rPr>
      </w:pPr>
      <w:r w:rsidRPr="00E3148A">
        <w:rPr>
          <w:rFonts w:ascii="Arial" w:hAnsi="Arial" w:cs="Arial"/>
        </w:rPr>
        <w:t xml:space="preserve">En caso de realización forzosa es de aplicación el régimen de notificaciones obligatorias del art. 11 Convenio de 1993 y del art. 481 LNM, así como a los titulares de privilegios marítimos del art. 4 Convenio de 1993 si el juez u órgano administrativo ha recibido notificación de </w:t>
      </w:r>
      <w:r w:rsidR="004D1F0D" w:rsidRPr="00E3148A">
        <w:rPr>
          <w:rFonts w:ascii="Arial" w:hAnsi="Arial" w:cs="Arial"/>
        </w:rPr>
        <w:t>estos</w:t>
      </w:r>
      <w:r w:rsidRPr="00E3148A">
        <w:rPr>
          <w:rFonts w:ascii="Arial" w:hAnsi="Arial" w:cs="Arial"/>
        </w:rPr>
        <w:t xml:space="preserve">, que podrán presentar tercería de mejor derecho (art. 483 LNM). </w:t>
      </w:r>
    </w:p>
    <w:p w14:paraId="01389836" w14:textId="77777777" w:rsidR="00E642B9" w:rsidRPr="00E3148A" w:rsidRDefault="00E642B9" w:rsidP="00E642B9">
      <w:pPr>
        <w:jc w:val="both"/>
        <w:rPr>
          <w:rFonts w:ascii="Arial" w:hAnsi="Arial" w:cs="Arial"/>
        </w:rPr>
      </w:pPr>
    </w:p>
    <w:p w14:paraId="7333F18F" w14:textId="74F06BCD" w:rsidR="00E642B9" w:rsidRPr="00E3148A" w:rsidRDefault="004D1F0D" w:rsidP="00E642B9">
      <w:pPr>
        <w:jc w:val="both"/>
        <w:rPr>
          <w:rFonts w:ascii="Arial" w:hAnsi="Arial" w:cs="Arial"/>
          <w:b/>
        </w:rPr>
      </w:pPr>
      <w:r>
        <w:rPr>
          <w:rFonts w:ascii="Arial" w:hAnsi="Arial" w:cs="Arial"/>
          <w:b/>
        </w:rPr>
        <w:t>1.10</w:t>
      </w:r>
      <w:r w:rsidR="00E642B9" w:rsidRPr="00E3148A">
        <w:rPr>
          <w:rFonts w:ascii="Arial" w:hAnsi="Arial" w:cs="Arial"/>
          <w:b/>
        </w:rPr>
        <w:t>. Venta extrajudicial del buque ante notario</w:t>
      </w:r>
    </w:p>
    <w:p w14:paraId="1C0F4FB0" w14:textId="0F1078CC" w:rsidR="00E642B9" w:rsidRPr="00E3148A" w:rsidRDefault="00E642B9" w:rsidP="00E642B9">
      <w:pPr>
        <w:jc w:val="both"/>
        <w:rPr>
          <w:rFonts w:ascii="Arial" w:hAnsi="Arial" w:cs="Arial"/>
        </w:rPr>
      </w:pPr>
      <w:r w:rsidRPr="00E3148A">
        <w:rPr>
          <w:rFonts w:ascii="Arial" w:hAnsi="Arial" w:cs="Arial"/>
        </w:rPr>
        <w:t>La Dirección General de los Registros y del Notariado ha admitido reiteradamente</w:t>
      </w:r>
      <w:r w:rsidRPr="00E3148A">
        <w:rPr>
          <w:rStyle w:val="Refdenotaalpie"/>
          <w:rFonts w:ascii="Arial" w:hAnsi="Arial" w:cs="Arial"/>
          <w:sz w:val="24"/>
          <w:szCs w:val="24"/>
        </w:rPr>
        <w:footnoteReference w:id="26"/>
      </w:r>
      <w:r w:rsidRPr="00E3148A">
        <w:rPr>
          <w:rFonts w:ascii="Arial" w:hAnsi="Arial" w:cs="Arial"/>
        </w:rPr>
        <w:t xml:space="preserve"> que, si hay acuerdo entre las partes del contrato de hipoteca, es posible la venta extrajudicial del buque hipotecado bajo el control y dirección de un notario, cuya actuación está fuertemente regulada. Ha declarado también que se trata de una estipulación usual en el tráfico, de honda tradición y que se aplicaba incluso cuando durante la derogada Ley de Hipoteca Naval no la contemplaba legalmente. </w:t>
      </w:r>
    </w:p>
    <w:p w14:paraId="04656754" w14:textId="011199E6" w:rsidR="005B5868" w:rsidRPr="00E3148A" w:rsidRDefault="00E642B9" w:rsidP="00E642B9">
      <w:pPr>
        <w:jc w:val="both"/>
        <w:rPr>
          <w:rFonts w:ascii="Arial" w:hAnsi="Arial" w:cs="Arial"/>
        </w:rPr>
      </w:pPr>
      <w:r w:rsidRPr="00E3148A">
        <w:rPr>
          <w:rFonts w:ascii="Arial" w:hAnsi="Arial" w:cs="Arial"/>
        </w:rPr>
        <w:t>La venta extrajudicial ha de constar, añade la Dirección General de Registros y del Notariado, tanto en el contrato de hipoteca naval, entre las cláusulas facultativas (art. 132.1 LNM), como en el Registro de Bienes Muebles, pues su inscripción tiene trascendencia real (art. 133 LNM)</w:t>
      </w:r>
      <w:r w:rsidRPr="00E3148A">
        <w:rPr>
          <w:rStyle w:val="Refdenotaalpie"/>
          <w:rFonts w:ascii="Arial" w:hAnsi="Arial" w:cs="Arial"/>
          <w:sz w:val="24"/>
          <w:szCs w:val="24"/>
        </w:rPr>
        <w:footnoteReference w:id="27"/>
      </w:r>
      <w:r w:rsidRPr="00E3148A">
        <w:rPr>
          <w:rFonts w:ascii="Arial" w:hAnsi="Arial" w:cs="Arial"/>
        </w:rPr>
        <w:t>.</w:t>
      </w:r>
    </w:p>
    <w:p w14:paraId="05B0619A" w14:textId="77777777" w:rsidR="00E642B9" w:rsidRPr="00E3148A" w:rsidRDefault="00E642B9" w:rsidP="00E642B9">
      <w:pPr>
        <w:jc w:val="both"/>
        <w:rPr>
          <w:rFonts w:ascii="Arial" w:hAnsi="Arial" w:cs="Arial"/>
        </w:rPr>
      </w:pPr>
    </w:p>
    <w:p w14:paraId="1865FE7E" w14:textId="21271E19" w:rsidR="00E642B9" w:rsidRPr="00E3148A" w:rsidRDefault="004D1F0D" w:rsidP="00E642B9">
      <w:pPr>
        <w:jc w:val="both"/>
        <w:rPr>
          <w:rFonts w:ascii="Arial" w:hAnsi="Arial" w:cs="Arial"/>
          <w:b/>
          <w:bCs/>
        </w:rPr>
      </w:pPr>
      <w:r>
        <w:rPr>
          <w:rFonts w:ascii="Arial" w:hAnsi="Arial" w:cs="Arial"/>
          <w:b/>
          <w:bCs/>
        </w:rPr>
        <w:t>1.11</w:t>
      </w:r>
      <w:r w:rsidR="00E642B9" w:rsidRPr="00E3148A">
        <w:rPr>
          <w:rFonts w:ascii="Arial" w:hAnsi="Arial" w:cs="Arial"/>
          <w:b/>
          <w:bCs/>
        </w:rPr>
        <w:t>. Purga de gravámenes</w:t>
      </w:r>
    </w:p>
    <w:p w14:paraId="11470561" w14:textId="7E8D93A4" w:rsidR="00E642B9" w:rsidRPr="00E3148A" w:rsidRDefault="00E642B9" w:rsidP="00E642B9">
      <w:pPr>
        <w:jc w:val="both"/>
        <w:rPr>
          <w:rFonts w:ascii="Arial" w:hAnsi="Arial" w:cs="Arial"/>
        </w:rPr>
      </w:pPr>
      <w:r w:rsidRPr="00E3148A">
        <w:rPr>
          <w:rFonts w:ascii="Arial" w:hAnsi="Arial" w:cs="Arial"/>
        </w:rPr>
        <w:t>Como resultado de la realización forzosa del buque hipotecado, se articula «</w:t>
      </w:r>
      <w:r w:rsidRPr="00E3148A">
        <w:rPr>
          <w:rFonts w:ascii="Arial" w:hAnsi="Arial" w:cs="Arial"/>
          <w:i/>
        </w:rPr>
        <w:t xml:space="preserve">una especie de “purga” respecto de todos los gravámenes que sobre el mismo pudieran pesar» </w:t>
      </w:r>
      <w:r w:rsidRPr="00E3148A">
        <w:rPr>
          <w:rFonts w:ascii="Arial" w:hAnsi="Arial" w:cs="Arial"/>
        </w:rPr>
        <w:t xml:space="preserve">(ap. XI Exposición de motivos y art. 484.1 LNM). </w:t>
      </w:r>
    </w:p>
    <w:p w14:paraId="6CA6277D" w14:textId="77777777" w:rsidR="00E642B9" w:rsidRPr="00E3148A" w:rsidRDefault="00E642B9" w:rsidP="00E642B9">
      <w:pPr>
        <w:jc w:val="both"/>
        <w:rPr>
          <w:rFonts w:ascii="Arial" w:hAnsi="Arial" w:cs="Arial"/>
        </w:rPr>
      </w:pPr>
      <w:r w:rsidRPr="00E3148A">
        <w:rPr>
          <w:rFonts w:ascii="Arial" w:hAnsi="Arial" w:cs="Arial"/>
        </w:rPr>
        <w:t xml:space="preserve">Se incorpora así lo dispuesto en el art. 12 Convenio 1993, según el cual En caso de venta forzosa del buque en un Estado Parte, todas las hipotecas, </w:t>
      </w:r>
      <w:r w:rsidRPr="00E3148A">
        <w:rPr>
          <w:rFonts w:ascii="Arial" w:hAnsi="Arial" w:cs="Arial"/>
          <w:i/>
        </w:rPr>
        <w:t>mortgages</w:t>
      </w:r>
      <w:r w:rsidRPr="00E3148A">
        <w:rPr>
          <w:rFonts w:ascii="Arial" w:hAnsi="Arial" w:cs="Arial"/>
        </w:rPr>
        <w:t xml:space="preserve"> o gravámenes inscritos, salvo los que el comprador haya tomado a su cargo con el consentimiento de los beneficiarios, y todos los privilegios y otras cargas de cualquier género dejarán de gravar el buque a condición de que: a) en el momento de la venta el buque se encuentre dentro del ámbito de la jurisdicción de ese Estado; y b) la venta se haya efectuado de conformidad con la legislación de ese Estado y con lo dispuesto en el artículo 11 y en el presente artículo.</w:t>
      </w:r>
    </w:p>
    <w:p w14:paraId="52D6CAE4" w14:textId="3D45CAAA" w:rsidR="00E642B9" w:rsidRPr="00E3148A" w:rsidRDefault="00E642B9" w:rsidP="00E642B9">
      <w:pPr>
        <w:jc w:val="both"/>
        <w:rPr>
          <w:rFonts w:ascii="Arial" w:hAnsi="Arial" w:cs="Arial"/>
        </w:rPr>
      </w:pPr>
    </w:p>
    <w:p w14:paraId="134BD926" w14:textId="62232198" w:rsidR="00E642B9" w:rsidRPr="00E3148A" w:rsidRDefault="004D1F0D" w:rsidP="00E642B9">
      <w:pPr>
        <w:jc w:val="both"/>
        <w:rPr>
          <w:rFonts w:ascii="Arial" w:hAnsi="Arial" w:cs="Arial"/>
          <w:b/>
        </w:rPr>
      </w:pPr>
      <w:r>
        <w:rPr>
          <w:rFonts w:ascii="Arial" w:hAnsi="Arial" w:cs="Arial"/>
          <w:b/>
          <w:bCs/>
        </w:rPr>
        <w:t>1.12</w:t>
      </w:r>
      <w:r w:rsidR="00E642B9" w:rsidRPr="00E3148A">
        <w:rPr>
          <w:rFonts w:ascii="Arial" w:hAnsi="Arial" w:cs="Arial"/>
          <w:b/>
          <w:bCs/>
        </w:rPr>
        <w:t>.</w:t>
      </w:r>
      <w:r w:rsidR="00E642B9" w:rsidRPr="00E3148A">
        <w:rPr>
          <w:rFonts w:ascii="Arial" w:hAnsi="Arial" w:cs="Arial"/>
        </w:rPr>
        <w:t xml:space="preserve"> </w:t>
      </w:r>
      <w:r w:rsidR="00E642B9" w:rsidRPr="00E3148A">
        <w:rPr>
          <w:rFonts w:ascii="Arial" w:hAnsi="Arial" w:cs="Arial"/>
          <w:b/>
        </w:rPr>
        <w:t>Preferencia sobre el precio de remate a favor del acreedor hipotecario naval</w:t>
      </w:r>
    </w:p>
    <w:p w14:paraId="5FD63D5A" w14:textId="77777777" w:rsidR="00E642B9" w:rsidRPr="00E3148A" w:rsidRDefault="00E642B9" w:rsidP="00E642B9">
      <w:pPr>
        <w:jc w:val="both"/>
        <w:rPr>
          <w:rFonts w:ascii="Arial" w:hAnsi="Arial" w:cs="Arial"/>
        </w:rPr>
      </w:pPr>
      <w:r w:rsidRPr="00E3148A">
        <w:rPr>
          <w:rFonts w:ascii="Arial" w:hAnsi="Arial" w:cs="Arial"/>
        </w:rPr>
        <w:t>La hipoteca naval goza de preferencia desde el momento de la inscripción en el Registro de Bienes Muebles. Se considerará como fecha de la inscripción para todos los efectos que ésta deba producir, la del asiento de presentación, que deberá constar en la inscripción misma (art. 137.1 LNM). Por aplicación de la regla general del art. 692.1 LEC, el precio del remate se destinará, sin dilación, a pagar al actor el principal de su crédito, los intereses devengados y las costas causadas, sin que lo entregado al acreedor por cada uno de estos conceptos exceda del límite de la respectiva cobertura hipotecaria; el exceso, si lo hubiere, se depositará a disposición de los titulares de derechos posteriores inscritos o anotados sobre el bien hipotecado. Satisfechos, en su caso, los acreedores posteriores, se entregará el remanente al propietario del bien hipotecado.</w:t>
      </w:r>
    </w:p>
    <w:p w14:paraId="38FC8887" w14:textId="77777777" w:rsidR="00E642B9" w:rsidRPr="00E3148A" w:rsidRDefault="00E642B9" w:rsidP="00E642B9">
      <w:pPr>
        <w:jc w:val="both"/>
        <w:rPr>
          <w:rFonts w:ascii="Arial" w:hAnsi="Arial" w:cs="Arial"/>
        </w:rPr>
      </w:pPr>
      <w:r w:rsidRPr="00E3148A">
        <w:rPr>
          <w:rFonts w:ascii="Arial" w:hAnsi="Arial" w:cs="Arial"/>
        </w:rPr>
        <w:t xml:space="preserve">Si existen dos o más inscripciones de hipoteca naval, el art. 137.2 LNM sigue la regla general hipotecaria, de la prioridad temporal en la inscripción de las hipotecas, lo que se sintetiza con la expresión </w:t>
      </w:r>
      <w:r w:rsidRPr="00E3148A">
        <w:rPr>
          <w:rFonts w:ascii="Arial" w:hAnsi="Arial" w:cs="Arial"/>
          <w:i/>
        </w:rPr>
        <w:t xml:space="preserve">prior </w:t>
      </w:r>
      <w:r w:rsidRPr="00E3148A">
        <w:rPr>
          <w:rFonts w:ascii="Arial" w:hAnsi="Arial" w:cs="Arial"/>
        </w:rPr>
        <w:t>(</w:t>
      </w:r>
      <w:r w:rsidRPr="00E3148A">
        <w:rPr>
          <w:rFonts w:ascii="Arial" w:hAnsi="Arial" w:cs="Arial"/>
          <w:i/>
        </w:rPr>
        <w:t>in</w:t>
      </w:r>
      <w:r w:rsidRPr="00E3148A">
        <w:rPr>
          <w:rFonts w:ascii="Arial" w:hAnsi="Arial" w:cs="Arial"/>
        </w:rPr>
        <w:t>)</w:t>
      </w:r>
      <w:r w:rsidRPr="00E3148A">
        <w:rPr>
          <w:rFonts w:ascii="Arial" w:hAnsi="Arial" w:cs="Arial"/>
          <w:i/>
        </w:rPr>
        <w:t xml:space="preserve"> tempore, potior </w:t>
      </w:r>
      <w:r w:rsidRPr="00E3148A">
        <w:rPr>
          <w:rFonts w:ascii="Arial" w:hAnsi="Arial" w:cs="Arial"/>
        </w:rPr>
        <w:t>(</w:t>
      </w:r>
      <w:r w:rsidRPr="00E3148A">
        <w:rPr>
          <w:rFonts w:ascii="Arial" w:hAnsi="Arial" w:cs="Arial"/>
          <w:i/>
        </w:rPr>
        <w:t>in</w:t>
      </w:r>
      <w:r w:rsidRPr="00E3148A">
        <w:rPr>
          <w:rFonts w:ascii="Arial" w:hAnsi="Arial" w:cs="Arial"/>
        </w:rPr>
        <w:t>)</w:t>
      </w:r>
      <w:r w:rsidRPr="00E3148A">
        <w:rPr>
          <w:rFonts w:ascii="Arial" w:hAnsi="Arial" w:cs="Arial"/>
          <w:i/>
        </w:rPr>
        <w:t xml:space="preserve"> iuris</w:t>
      </w:r>
      <w:r w:rsidRPr="00E3148A">
        <w:rPr>
          <w:rFonts w:ascii="Arial" w:hAnsi="Arial" w:cs="Arial"/>
        </w:rPr>
        <w:t>.</w:t>
      </w:r>
    </w:p>
    <w:p w14:paraId="4B0E6CEC" w14:textId="77777777" w:rsidR="00E642B9" w:rsidRPr="00E3148A" w:rsidRDefault="00E642B9" w:rsidP="00E642B9">
      <w:pPr>
        <w:pStyle w:val="Textonotapie"/>
        <w:jc w:val="both"/>
        <w:rPr>
          <w:rFonts w:ascii="Arial" w:hAnsi="Arial" w:cs="Arial"/>
          <w:bCs/>
          <w:sz w:val="24"/>
          <w:szCs w:val="24"/>
        </w:rPr>
      </w:pPr>
      <w:r w:rsidRPr="00E3148A">
        <w:rPr>
          <w:rFonts w:ascii="Arial" w:hAnsi="Arial" w:cs="Arial"/>
          <w:sz w:val="24"/>
          <w:szCs w:val="24"/>
        </w:rPr>
        <w:t xml:space="preserve">Si sobre el mismo buque concurre un acreedor hipotecario y un acreedor refaccionario, ambos con privilegio sobre el mismo buque, la solución legal, por aplicación supletoria del art. 64 LH es reconocer que el acreedor hipotecario conserva </w:t>
      </w:r>
      <w:r w:rsidRPr="00E3148A">
        <w:rPr>
          <w:rFonts w:ascii="Arial" w:hAnsi="Arial" w:cs="Arial"/>
          <w:bCs/>
          <w:sz w:val="24"/>
          <w:szCs w:val="24"/>
        </w:rPr>
        <w:t>su derecho de preferencia respecto al acreedor refaccionario, pero solamente por un valor igual al que se hubiere declarado el buque. El acreedor refaccionario será considerado como hipotecario respecto a lo que exceda el valor del buque al de la carga o derechos reales.</w:t>
      </w:r>
    </w:p>
    <w:p w14:paraId="08D30C96" w14:textId="5EADEAB6" w:rsidR="00E642B9" w:rsidRPr="00E3148A" w:rsidRDefault="00E642B9" w:rsidP="00E642B9">
      <w:pPr>
        <w:tabs>
          <w:tab w:val="left" w:pos="8080"/>
        </w:tabs>
        <w:jc w:val="both"/>
        <w:rPr>
          <w:rFonts w:ascii="Arial" w:hAnsi="Arial" w:cs="Arial"/>
        </w:rPr>
      </w:pPr>
      <w:r w:rsidRPr="00E3148A">
        <w:rPr>
          <w:rFonts w:ascii="Arial" w:hAnsi="Arial" w:cs="Arial"/>
          <w:bCs/>
        </w:rPr>
        <w:t>El a</w:t>
      </w:r>
      <w:r w:rsidRPr="00E3148A">
        <w:rPr>
          <w:rFonts w:ascii="Arial" w:hAnsi="Arial" w:cs="Arial"/>
        </w:rPr>
        <w:t>rt. 138.1 LNM, titulado</w:t>
      </w:r>
      <w:r w:rsidRPr="00E3148A">
        <w:rPr>
          <w:rFonts w:ascii="Arial" w:hAnsi="Arial" w:cs="Arial"/>
          <w:i/>
        </w:rPr>
        <w:t xml:space="preserve"> Créditos refaccionarios</w:t>
      </w:r>
      <w:r w:rsidRPr="00E3148A">
        <w:rPr>
          <w:rFonts w:ascii="Arial" w:hAnsi="Arial" w:cs="Arial"/>
        </w:rPr>
        <w:t>, dispone que para que se hagan valer frente a terceros (como el acreedor hipotecario), es necesaria su inscripción o anotación en el Registro de Bienes Muebles, a efectos de publicidad</w:t>
      </w:r>
      <w:r w:rsidRPr="00E3148A">
        <w:rPr>
          <w:rStyle w:val="Refdenotaalpie"/>
          <w:rFonts w:ascii="Arial" w:hAnsi="Arial" w:cs="Arial"/>
          <w:sz w:val="24"/>
          <w:szCs w:val="24"/>
        </w:rPr>
        <w:footnoteReference w:id="28"/>
      </w:r>
      <w:r w:rsidRPr="00E3148A">
        <w:rPr>
          <w:rFonts w:ascii="Arial" w:hAnsi="Arial" w:cs="Arial"/>
        </w:rPr>
        <w:t>. En la hoja registral abierta al propio buque, cuya inscripción previa de dominio, es obligatoria</w:t>
      </w:r>
      <w:r w:rsidRPr="00E3148A">
        <w:rPr>
          <w:rStyle w:val="Refdenotaalpie"/>
          <w:rFonts w:ascii="Arial" w:hAnsi="Arial" w:cs="Arial"/>
          <w:sz w:val="24"/>
          <w:szCs w:val="24"/>
        </w:rPr>
        <w:footnoteReference w:id="29"/>
      </w:r>
      <w:r w:rsidRPr="00E3148A">
        <w:rPr>
          <w:rFonts w:ascii="Arial" w:hAnsi="Arial" w:cs="Arial"/>
        </w:rPr>
        <w:t xml:space="preserve"> debe inscribirse o anotarse a efectos </w:t>
      </w:r>
      <w:r w:rsidRPr="00E3148A">
        <w:rPr>
          <w:rFonts w:ascii="Arial" w:hAnsi="Arial" w:cs="Arial"/>
          <w:i/>
        </w:rPr>
        <w:t>erga omnes</w:t>
      </w:r>
      <w:r w:rsidRPr="00E3148A">
        <w:rPr>
          <w:rFonts w:ascii="Arial" w:hAnsi="Arial" w:cs="Arial"/>
        </w:rPr>
        <w:t xml:space="preserve">, el crédito refaccionario. </w:t>
      </w:r>
    </w:p>
    <w:p w14:paraId="23968687" w14:textId="77777777" w:rsidR="00E642B9" w:rsidRPr="00E3148A" w:rsidRDefault="00E642B9" w:rsidP="00E642B9">
      <w:pPr>
        <w:pStyle w:val="Textonotapie"/>
        <w:jc w:val="both"/>
        <w:rPr>
          <w:rFonts w:ascii="Arial" w:hAnsi="Arial" w:cs="Arial"/>
          <w:sz w:val="24"/>
          <w:szCs w:val="24"/>
        </w:rPr>
      </w:pPr>
      <w:r w:rsidRPr="00E3148A">
        <w:rPr>
          <w:rFonts w:ascii="Arial" w:hAnsi="Arial" w:cs="Arial"/>
          <w:sz w:val="24"/>
          <w:szCs w:val="24"/>
        </w:rPr>
        <w:t xml:space="preserve">Asimismo, la anotación surtirá todos los efectos de la hipoteca sin necesidad de convertirse en inscripción y tendrá la duración de cuatro años y las prórrogas establecidas con carácter general para las anotaciones preventivas (arts. 138.3 LNM). </w:t>
      </w:r>
    </w:p>
    <w:p w14:paraId="0B7D7910" w14:textId="77777777" w:rsidR="00E642B9" w:rsidRPr="00E3148A" w:rsidRDefault="00E642B9" w:rsidP="00E642B9">
      <w:pPr>
        <w:autoSpaceDE w:val="0"/>
        <w:autoSpaceDN w:val="0"/>
        <w:adjustRightInd w:val="0"/>
        <w:jc w:val="both"/>
        <w:rPr>
          <w:rFonts w:ascii="Arial" w:hAnsi="Arial" w:cs="Arial"/>
        </w:rPr>
      </w:pPr>
      <w:r w:rsidRPr="00E3148A">
        <w:rPr>
          <w:rFonts w:ascii="Arial" w:hAnsi="Arial" w:cs="Arial"/>
        </w:rPr>
        <w:t>De acuerdo con la jurisprudencia del Tribunal Supremo</w:t>
      </w:r>
      <w:r w:rsidRPr="00E3148A">
        <w:rPr>
          <w:rStyle w:val="Refdenotaalpie"/>
          <w:rFonts w:ascii="Arial" w:hAnsi="Arial" w:cs="Arial"/>
          <w:sz w:val="24"/>
          <w:szCs w:val="24"/>
        </w:rPr>
        <w:footnoteReference w:id="30"/>
      </w:r>
      <w:r w:rsidRPr="00E3148A">
        <w:rPr>
          <w:rFonts w:ascii="Arial" w:hAnsi="Arial" w:cs="Arial"/>
        </w:rPr>
        <w:t>, el fundamento del privilegio del acreedor refaccionario reside en la idea de que el incremento de valor de la cosa financiada permite, gracias a esta inversión, un aumento de valor a costa del financiador; si se distribuye igualmente entre todos los acreedores, estos se habrían enriquecido a costa del acreedor refaccionario.</w:t>
      </w:r>
    </w:p>
    <w:p w14:paraId="679A2477" w14:textId="77777777" w:rsidR="00E642B9" w:rsidRPr="00E3148A" w:rsidRDefault="00E642B9" w:rsidP="00E642B9">
      <w:pPr>
        <w:jc w:val="both"/>
        <w:rPr>
          <w:rFonts w:ascii="Arial" w:hAnsi="Arial" w:cs="Arial"/>
          <w:b/>
        </w:rPr>
      </w:pPr>
    </w:p>
    <w:p w14:paraId="1F75D847" w14:textId="70C142E1" w:rsidR="00E642B9" w:rsidRPr="00E3148A" w:rsidRDefault="004D1F0D" w:rsidP="00E642B9">
      <w:pPr>
        <w:jc w:val="both"/>
        <w:rPr>
          <w:rFonts w:ascii="Arial" w:hAnsi="Arial" w:cs="Arial"/>
          <w:b/>
        </w:rPr>
      </w:pPr>
      <w:r>
        <w:rPr>
          <w:rFonts w:ascii="Arial" w:hAnsi="Arial" w:cs="Arial"/>
          <w:b/>
        </w:rPr>
        <w:t>1.13</w:t>
      </w:r>
      <w:r w:rsidR="00E642B9" w:rsidRPr="00E3148A">
        <w:rPr>
          <w:rFonts w:ascii="Arial" w:hAnsi="Arial" w:cs="Arial"/>
          <w:b/>
        </w:rPr>
        <w:t>. Preferencia de cobro de otros acreedores sobre el acreedor hipotecario</w:t>
      </w:r>
    </w:p>
    <w:p w14:paraId="06F6D69E" w14:textId="77777777" w:rsidR="00E642B9" w:rsidRPr="00E3148A" w:rsidRDefault="00E642B9" w:rsidP="00E642B9">
      <w:pPr>
        <w:jc w:val="both"/>
        <w:rPr>
          <w:rFonts w:ascii="Arial" w:hAnsi="Arial" w:cs="Arial"/>
        </w:rPr>
      </w:pPr>
      <w:r w:rsidRPr="00E3148A">
        <w:rPr>
          <w:rFonts w:ascii="Arial" w:hAnsi="Arial" w:cs="Arial"/>
        </w:rPr>
        <w:t xml:space="preserve">Es conveniente reforzar la seguridad de la obligación con otras garantías, como la fianza personal, pues la hipoteca naval puede ser insuficiente visto la prioridad de pago legalmente reconocida a otros créditos, analizados a continuación. </w:t>
      </w:r>
    </w:p>
    <w:p w14:paraId="46940F10" w14:textId="77777777" w:rsidR="00E642B9" w:rsidRPr="00E3148A" w:rsidRDefault="00E642B9" w:rsidP="00E642B9">
      <w:pPr>
        <w:ind w:left="708"/>
        <w:jc w:val="both"/>
        <w:rPr>
          <w:rFonts w:ascii="Arial" w:hAnsi="Arial" w:cs="Arial"/>
        </w:rPr>
      </w:pPr>
      <w:r w:rsidRPr="00E3148A">
        <w:rPr>
          <w:rFonts w:ascii="Arial" w:hAnsi="Arial" w:cs="Arial"/>
        </w:rPr>
        <w:t>1º Las costas y gastos causados en el embargo preventivo o la ejecución y subsiguiente venta del buque (art. 12.2 Convenio de 1993 y arts. 122.2 y 486.1 LNM). Tales costas y gastos incluyen, entre otros, el costo de la conservación del buque y la manutención de la tripulación, así como los sueldos y otras cantidades y los gastos a que se refiere el art. 4.1.a) Convenio de 1993, realizados desde el momento del embargo preventivo o de la ejecución.</w:t>
      </w:r>
    </w:p>
    <w:p w14:paraId="3912C456" w14:textId="77777777" w:rsidR="00E642B9" w:rsidRPr="00E3148A" w:rsidRDefault="00E642B9" w:rsidP="00E642B9">
      <w:pPr>
        <w:ind w:left="708"/>
        <w:jc w:val="both"/>
        <w:rPr>
          <w:rFonts w:ascii="Arial" w:hAnsi="Arial" w:cs="Arial"/>
          <w:color w:val="000000"/>
          <w:shd w:val="clear" w:color="auto" w:fill="FFFFFF"/>
        </w:rPr>
      </w:pPr>
      <w:r w:rsidRPr="00E3148A">
        <w:rPr>
          <w:rFonts w:ascii="Arial" w:hAnsi="Arial" w:cs="Arial"/>
        </w:rPr>
        <w:t>2º L</w:t>
      </w:r>
      <w:r w:rsidRPr="00E3148A">
        <w:rPr>
          <w:rFonts w:ascii="Arial" w:hAnsi="Arial" w:cs="Arial"/>
          <w:color w:val="000000"/>
          <w:shd w:val="clear" w:color="auto" w:fill="FFFFFF"/>
        </w:rPr>
        <w:t xml:space="preserve">os gastos que hayan de abonarse a la Administración Marítima por la remoción de buques naufragados o hundidos (arts. 12.3 Convenio de 1993 y 122.2 LNM). </w:t>
      </w:r>
    </w:p>
    <w:p w14:paraId="1F3289DC" w14:textId="6841FA3C" w:rsidR="00E642B9" w:rsidRPr="00E3148A" w:rsidRDefault="00E642B9" w:rsidP="00E642B9">
      <w:pPr>
        <w:autoSpaceDE w:val="0"/>
        <w:autoSpaceDN w:val="0"/>
        <w:adjustRightInd w:val="0"/>
        <w:jc w:val="both"/>
        <w:rPr>
          <w:rFonts w:ascii="Arial" w:hAnsi="Arial" w:cs="Arial"/>
          <w:color w:val="000000"/>
          <w:shd w:val="clear" w:color="auto" w:fill="FFFFFF"/>
        </w:rPr>
      </w:pPr>
      <w:r w:rsidRPr="00E3148A">
        <w:rPr>
          <w:rFonts w:ascii="Arial" w:hAnsi="Arial" w:cs="Arial"/>
          <w:color w:val="000000"/>
          <w:shd w:val="clear" w:color="auto" w:fill="FFFFFF"/>
        </w:rPr>
        <w:t>Ambos créditos, por costas y gastos de embargo preventivo y de ejecución y por remoción de buques, la doctrina los trata como créditos prededucibles y distintos de los privilegios marítimos</w:t>
      </w:r>
      <w:r w:rsidRPr="00E3148A">
        <w:rPr>
          <w:rStyle w:val="Refdenotaalpie"/>
          <w:rFonts w:ascii="Arial" w:hAnsi="Arial" w:cs="Arial"/>
          <w:color w:val="000000"/>
          <w:sz w:val="24"/>
          <w:szCs w:val="24"/>
          <w:shd w:val="clear" w:color="auto" w:fill="FFFFFF"/>
        </w:rPr>
        <w:footnoteReference w:id="31"/>
      </w:r>
      <w:r w:rsidRPr="00E3148A">
        <w:rPr>
          <w:rFonts w:ascii="Arial" w:hAnsi="Arial" w:cs="Arial"/>
          <w:color w:val="000000"/>
          <w:shd w:val="clear" w:color="auto" w:fill="FFFFFF"/>
        </w:rPr>
        <w:t xml:space="preserve">. Sin embargo, como ocurre con los sueldos de la tripulación, pueden ser de la misma naturaleza. Se trata así de una categoría especial de privilegios por la propia norma que genera una expectativa de cobro mayor al anticiparse a los demás privilegios marítimos del art. 4 Convenio de 1993. </w:t>
      </w:r>
    </w:p>
    <w:p w14:paraId="23412050" w14:textId="77777777" w:rsidR="00CE0D10" w:rsidRPr="00E3148A" w:rsidRDefault="00E642B9" w:rsidP="00CE0D10">
      <w:pPr>
        <w:autoSpaceDE w:val="0"/>
        <w:autoSpaceDN w:val="0"/>
        <w:adjustRightInd w:val="0"/>
        <w:jc w:val="both"/>
        <w:rPr>
          <w:rFonts w:ascii="Arial" w:hAnsi="Arial" w:cs="Arial"/>
        </w:rPr>
      </w:pPr>
      <w:r w:rsidRPr="00E3148A">
        <w:rPr>
          <w:rFonts w:ascii="Arial" w:hAnsi="Arial" w:cs="Arial"/>
        </w:rPr>
        <w:t>3º Los créditos con privilegio marítimo del art. 4 Convenio de 1993. Estos privilegios gozan de preferencia de cobro en caso de venta forzosa del buque hipotecado. El art. 5 Convenio de 1993 y el art. 122.2 LNM disponen que los privilegios marítimos tienen preferencia sobre las hipotecas y demás cargas y gravámenes inscritos</w:t>
      </w:r>
      <w:r w:rsidRPr="00E3148A">
        <w:rPr>
          <w:rStyle w:val="Refdenotaalpie"/>
          <w:rFonts w:ascii="Arial" w:hAnsi="Arial" w:cs="Arial"/>
          <w:sz w:val="24"/>
          <w:szCs w:val="24"/>
        </w:rPr>
        <w:footnoteReference w:id="32"/>
      </w:r>
      <w:r w:rsidRPr="00E3148A">
        <w:rPr>
          <w:rFonts w:ascii="Arial" w:hAnsi="Arial" w:cs="Arial"/>
        </w:rPr>
        <w:t>.</w:t>
      </w:r>
    </w:p>
    <w:p w14:paraId="25CC44F7" w14:textId="0A31601E" w:rsidR="00CE0D10" w:rsidRPr="00E3148A" w:rsidRDefault="00CE0D10" w:rsidP="00CE0D10">
      <w:pPr>
        <w:autoSpaceDE w:val="0"/>
        <w:autoSpaceDN w:val="0"/>
        <w:adjustRightInd w:val="0"/>
        <w:jc w:val="both"/>
        <w:rPr>
          <w:rFonts w:ascii="Arial" w:hAnsi="Arial" w:cs="Arial"/>
        </w:rPr>
      </w:pPr>
      <w:r w:rsidRPr="00E3148A">
        <w:rPr>
          <w:rFonts w:ascii="Arial" w:hAnsi="Arial" w:cs="Arial"/>
        </w:rPr>
        <w:t>La doctrina de forma uniforme ha interpretado que, bajo el régimen anterior de la LHN y ahora de la LNM, los créditos marítimos privilegiados tienen una preferencia de cobro respecto de los créditos hipotecarios navales, que quedan así postergados en el pago. Esto significa que, en caso de ejecución forzosa del buque, el acreedor con privilegio marítimo legalmente reconocido ostenta un mejor derecho del que tiene el acreedor hipotecario. Ello en virtud de privilegios creados por la ley y sin necesidad de consentimiento del deudor, ni de publicidad registral, señalando al efecto que tales privilegios de cobro preferente permanecen «</w:t>
      </w:r>
      <w:r w:rsidRPr="00E3148A">
        <w:rPr>
          <w:rFonts w:ascii="Arial" w:hAnsi="Arial" w:cs="Arial"/>
          <w:i/>
        </w:rPr>
        <w:t>ocultos</w:t>
      </w:r>
      <w:r w:rsidRPr="00E3148A">
        <w:rPr>
          <w:rFonts w:ascii="Arial" w:hAnsi="Arial" w:cs="Arial"/>
        </w:rPr>
        <w:t xml:space="preserve">». </w:t>
      </w:r>
    </w:p>
    <w:p w14:paraId="10AD6C6B" w14:textId="38574959" w:rsidR="00E642B9" w:rsidRPr="00E3148A" w:rsidRDefault="00CE0D10" w:rsidP="00CE0D10">
      <w:pPr>
        <w:jc w:val="both"/>
        <w:rPr>
          <w:rFonts w:ascii="Arial" w:hAnsi="Arial" w:cs="Arial"/>
        </w:rPr>
      </w:pPr>
      <w:r w:rsidRPr="00E3148A">
        <w:rPr>
          <w:rFonts w:ascii="Arial" w:hAnsi="Arial" w:cs="Arial"/>
        </w:rPr>
        <w:t>No obstante, los privilegios marítimos no son perpetuos, sino que se extinguen por el transcurso de un año a menos que, antes del vencimiento de ese plazo, el buque haya sido objeto de embargo preventivo o ejecución conducentes a una venta forzosa (art. 9.1 Convenio de 1993)</w:t>
      </w:r>
      <w:r w:rsidRPr="00E3148A">
        <w:rPr>
          <w:rStyle w:val="Refdenotaalpie"/>
          <w:rFonts w:ascii="Arial" w:hAnsi="Arial" w:cs="Arial"/>
          <w:sz w:val="24"/>
          <w:szCs w:val="24"/>
        </w:rPr>
        <w:footnoteReference w:id="33"/>
      </w:r>
      <w:r w:rsidRPr="00E3148A">
        <w:rPr>
          <w:rFonts w:ascii="Arial" w:hAnsi="Arial" w:cs="Arial"/>
        </w:rPr>
        <w:t>.</w:t>
      </w:r>
    </w:p>
    <w:p w14:paraId="06B89181" w14:textId="1F6C78BE" w:rsidR="00CE0D10" w:rsidRPr="00E3148A" w:rsidRDefault="00CE0D10" w:rsidP="00CE0D10">
      <w:pPr>
        <w:pStyle w:val="Textoindependiente"/>
        <w:ind w:right="140"/>
        <w:rPr>
          <w:rFonts w:ascii="Arial" w:hAnsi="Arial" w:cs="Arial"/>
          <w:sz w:val="24"/>
        </w:rPr>
      </w:pPr>
      <w:r w:rsidRPr="00E3148A">
        <w:rPr>
          <w:rFonts w:ascii="Arial" w:hAnsi="Arial" w:cs="Arial"/>
          <w:sz w:val="24"/>
        </w:rPr>
        <w:t>La identificación en el art. 122.1 LNM es uniforme con la del art. 4 Convenio de 1993. Tiene carácter tasado</w:t>
      </w:r>
      <w:r w:rsidRPr="00E3148A">
        <w:rPr>
          <w:rStyle w:val="Refdenotaalpie"/>
          <w:rFonts w:ascii="Arial" w:hAnsi="Arial" w:cs="Arial"/>
          <w:sz w:val="24"/>
          <w:szCs w:val="24"/>
        </w:rPr>
        <w:footnoteReference w:id="34"/>
      </w:r>
      <w:r w:rsidRPr="00E3148A">
        <w:rPr>
          <w:rFonts w:ascii="Arial" w:hAnsi="Arial" w:cs="Arial"/>
          <w:sz w:val="24"/>
        </w:rPr>
        <w:t>. En concreto, los créditos por sueldos y otras debidas a la dotación, incluidos los gastos de repatriación y de Seguridad Social; los créditos por causa de muerte o lesiones corporales, en agua o en tierra, vinculados a la explotación del buque; los créditos por la recompensa en caso de salvamento del buque; los créditos por derechos portuarios</w:t>
      </w:r>
      <w:r w:rsidRPr="00E3148A">
        <w:rPr>
          <w:rStyle w:val="Refdenotaalpie"/>
          <w:rFonts w:ascii="Arial" w:hAnsi="Arial" w:cs="Arial"/>
          <w:sz w:val="24"/>
          <w:szCs w:val="24"/>
        </w:rPr>
        <w:footnoteReference w:id="35"/>
      </w:r>
      <w:r w:rsidRPr="00E3148A">
        <w:rPr>
          <w:rFonts w:ascii="Arial" w:hAnsi="Arial" w:cs="Arial"/>
          <w:sz w:val="24"/>
        </w:rPr>
        <w:t>, de canal y otras vías, así como por practicaje; y, los créditos por culpa extracontractual por pérdida o daños materiales ocasionados durante la explotación del buque, distinto de los daños a las mercancías, a los contenedores y a los enseres de los pasajeros transportados a bordo.</w:t>
      </w:r>
    </w:p>
    <w:p w14:paraId="71B2B796" w14:textId="7A57794C" w:rsidR="00CE0D10" w:rsidRPr="00E3148A" w:rsidRDefault="00CE0D10" w:rsidP="00CE0D10">
      <w:pPr>
        <w:pStyle w:val="Textoindependiente"/>
        <w:ind w:right="140"/>
        <w:rPr>
          <w:rFonts w:ascii="Arial" w:hAnsi="Arial" w:cs="Arial"/>
          <w:sz w:val="24"/>
        </w:rPr>
      </w:pPr>
      <w:r w:rsidRPr="00E3148A">
        <w:rPr>
          <w:rFonts w:ascii="Arial" w:hAnsi="Arial" w:cs="Arial"/>
          <w:color w:val="000000"/>
          <w:sz w:val="24"/>
          <w:shd w:val="clear" w:color="auto" w:fill="FFFFFF"/>
        </w:rPr>
        <w:t>4º Otros privilegios marítimos creados por la legislación nacional conforme al art. 6 Convenio de 1993</w:t>
      </w:r>
      <w:r w:rsidRPr="00E3148A">
        <w:rPr>
          <w:rStyle w:val="Refdenotaalpie"/>
          <w:rFonts w:ascii="Arial" w:hAnsi="Arial" w:cs="Arial"/>
          <w:color w:val="000000"/>
          <w:sz w:val="24"/>
          <w:szCs w:val="24"/>
          <w:shd w:val="clear" w:color="auto" w:fill="FFFFFF"/>
        </w:rPr>
        <w:footnoteReference w:id="36"/>
      </w:r>
      <w:r w:rsidRPr="00E3148A">
        <w:rPr>
          <w:rFonts w:ascii="Arial" w:hAnsi="Arial" w:cs="Arial"/>
          <w:color w:val="000000"/>
          <w:sz w:val="24"/>
          <w:shd w:val="clear" w:color="auto" w:fill="FFFFFF"/>
        </w:rPr>
        <w:t>.</w:t>
      </w:r>
    </w:p>
    <w:p w14:paraId="7039D865" w14:textId="77777777" w:rsidR="00CE0D10" w:rsidRPr="00E3148A" w:rsidRDefault="00CE0D10" w:rsidP="00CE0D10">
      <w:pPr>
        <w:pStyle w:val="Textoindependiente"/>
        <w:ind w:right="140"/>
        <w:rPr>
          <w:rFonts w:ascii="Arial" w:hAnsi="Arial" w:cs="Arial"/>
          <w:sz w:val="24"/>
        </w:rPr>
      </w:pPr>
      <w:r w:rsidRPr="00E3148A">
        <w:rPr>
          <w:rFonts w:ascii="Arial" w:hAnsi="Arial" w:cs="Arial"/>
          <w:sz w:val="24"/>
        </w:rPr>
        <w:t>5º Créditos del reparador o constructor del buque. El art. 12.4 Convenio de 1993 prevé que en el momento de la venta forzosa el buque se halla en posesión de un constructor o de un reparador de buques que, con arreglo a la legislación del Estado Parte en que se realiza la venta, goza de un derecho de retención (desarrollado en el art. 139 LNM), el constructor o reparador de buques deberá entregar al comprador la posesión del buque, pero podrá obtener el pago de su crédito con el producto de la venta una vez satisfechos los créditos de los titulares de los privilegios marítimos. El art. 139.4 LNM añade expresamente que se pagan «</w:t>
      </w:r>
      <w:r w:rsidRPr="00E3148A">
        <w:rPr>
          <w:rFonts w:ascii="Arial" w:hAnsi="Arial" w:cs="Arial"/>
          <w:i/>
          <w:sz w:val="24"/>
        </w:rPr>
        <w:t>antes de los créditos hipotecarios y demás gravámenes inscritos o anotados</w:t>
      </w:r>
      <w:r w:rsidRPr="00E3148A">
        <w:rPr>
          <w:rFonts w:ascii="Arial" w:hAnsi="Arial" w:cs="Arial"/>
          <w:sz w:val="24"/>
        </w:rPr>
        <w:t>». No se trata de un privilegio marítimo en el sentido estricto del art. 4 Convenio de 1993, pero sí genera un privilegio de cobro, conforme al Convenio de 1993 y la LNM, sobre el acreedor hipotecario.</w:t>
      </w:r>
    </w:p>
    <w:p w14:paraId="796FAEE5" w14:textId="4763BA29" w:rsidR="00CE0D10" w:rsidRPr="00E3148A" w:rsidRDefault="00CE0D10" w:rsidP="00CE0D10">
      <w:pPr>
        <w:jc w:val="both"/>
        <w:rPr>
          <w:rFonts w:ascii="Arial" w:hAnsi="Arial" w:cs="Arial"/>
        </w:rPr>
      </w:pPr>
      <w:r w:rsidRPr="00E3148A">
        <w:rPr>
          <w:rFonts w:ascii="Arial" w:hAnsi="Arial" w:cs="Arial"/>
        </w:rPr>
        <w:t>Como límite a los terceristas que puedan interponer válidamente su derecho frente al acreedor hipotecario ejecutante, no será procedente la entrega al tercerista hasta que no se hayan satisfecho al ejecutante las tres quintas partes de las costas causadas por la ejecución conforme al art. 620.2 LEC</w:t>
      </w:r>
      <w:r w:rsidRPr="00E3148A">
        <w:rPr>
          <w:rStyle w:val="Refdenotaalpie"/>
          <w:rFonts w:ascii="Arial" w:hAnsi="Arial" w:cs="Arial"/>
          <w:sz w:val="24"/>
          <w:szCs w:val="24"/>
        </w:rPr>
        <w:footnoteReference w:id="37"/>
      </w:r>
      <w:r w:rsidRPr="00E3148A">
        <w:rPr>
          <w:rFonts w:ascii="Arial" w:hAnsi="Arial" w:cs="Arial"/>
        </w:rPr>
        <w:t>.</w:t>
      </w:r>
    </w:p>
    <w:p w14:paraId="79F9BE53" w14:textId="77777777" w:rsidR="00CE0D10" w:rsidRPr="00E3148A" w:rsidRDefault="00CE0D10" w:rsidP="00CE0D10">
      <w:pPr>
        <w:jc w:val="both"/>
        <w:rPr>
          <w:rFonts w:ascii="Arial" w:hAnsi="Arial" w:cs="Arial"/>
        </w:rPr>
      </w:pPr>
      <w:r w:rsidRPr="00E3148A">
        <w:rPr>
          <w:rFonts w:ascii="Arial" w:hAnsi="Arial" w:cs="Arial"/>
        </w:rPr>
        <w:t xml:space="preserve">Por último, una vez satisfechos los créditos privilegiados y otros que preceden al acreedor hipotecario, se satisfará a éste. Si el precio del remate es suficiente para satisfacer al acreedor hipotecario naval y los demás acreedores del deudor común. Si tras la venta forzosa hubiese saldo, se entregará al propietario y será libremente transferible (art. 486.2 LNM). </w:t>
      </w:r>
    </w:p>
    <w:p w14:paraId="7D076797" w14:textId="77777777" w:rsidR="00CE0D10" w:rsidRPr="00E3148A" w:rsidRDefault="00CE0D10" w:rsidP="00CE0D10">
      <w:pPr>
        <w:pStyle w:val="Prrafodelista"/>
        <w:jc w:val="both"/>
        <w:rPr>
          <w:rFonts w:ascii="Arial" w:hAnsi="Arial" w:cs="Arial"/>
          <w:b/>
        </w:rPr>
      </w:pPr>
    </w:p>
    <w:p w14:paraId="201E0C5C" w14:textId="753E44FE" w:rsidR="00CE0D10" w:rsidRPr="004D1F0D" w:rsidRDefault="00CE0D10" w:rsidP="004D1F0D">
      <w:pPr>
        <w:autoSpaceDE w:val="0"/>
        <w:autoSpaceDN w:val="0"/>
        <w:adjustRightInd w:val="0"/>
        <w:jc w:val="both"/>
        <w:rPr>
          <w:rFonts w:ascii="Arial" w:hAnsi="Arial" w:cs="Arial"/>
          <w:b/>
        </w:rPr>
      </w:pPr>
      <w:r w:rsidRPr="004D1F0D">
        <w:rPr>
          <w:rFonts w:ascii="Arial" w:hAnsi="Arial" w:cs="Arial"/>
          <w:b/>
        </w:rPr>
        <w:t>1.</w:t>
      </w:r>
      <w:r w:rsidR="004D1F0D">
        <w:rPr>
          <w:rFonts w:ascii="Arial" w:hAnsi="Arial" w:cs="Arial"/>
          <w:b/>
        </w:rPr>
        <w:t>14.</w:t>
      </w:r>
      <w:r w:rsidRPr="004D1F0D">
        <w:rPr>
          <w:rFonts w:ascii="Arial" w:hAnsi="Arial" w:cs="Arial"/>
          <w:b/>
        </w:rPr>
        <w:t xml:space="preserve"> Subsistencia y extinción de la hipoteca naval</w:t>
      </w:r>
    </w:p>
    <w:p w14:paraId="3BCCECAE" w14:textId="0869735A" w:rsidR="00CE0D10" w:rsidRPr="00E3148A" w:rsidRDefault="00CE0D10" w:rsidP="00CE0D10">
      <w:pPr>
        <w:autoSpaceDE w:val="0"/>
        <w:autoSpaceDN w:val="0"/>
        <w:adjustRightInd w:val="0"/>
        <w:jc w:val="both"/>
        <w:rPr>
          <w:rFonts w:ascii="Arial" w:hAnsi="Arial" w:cs="Arial"/>
        </w:rPr>
      </w:pPr>
      <w:r w:rsidRPr="00E3148A">
        <w:rPr>
          <w:rFonts w:ascii="Arial" w:hAnsi="Arial" w:cs="Arial"/>
        </w:rPr>
        <w:t xml:space="preserve">La hipoteca naval subsiste íntegra mientras no se cancele respecto de cada buque sobre la totalidad de éste, aunque se reduzca la obligación garantizada, y sobre cualquier parte </w:t>
      </w:r>
      <w:r w:rsidR="004D1F0D" w:rsidRPr="00E3148A">
        <w:rPr>
          <w:rFonts w:ascii="Arial" w:hAnsi="Arial" w:cs="Arial"/>
        </w:rPr>
        <w:t>de este</w:t>
      </w:r>
      <w:r w:rsidRPr="00E3148A">
        <w:rPr>
          <w:rFonts w:ascii="Arial" w:hAnsi="Arial" w:cs="Arial"/>
        </w:rPr>
        <w:t xml:space="preserve"> que se conserve, aun cuando la restante haya desaparecido (art. 134.4 LNM, conforme también al art. 122 LH). Esto supone que los pagos parciales no reducen la responsabilidad hipotecaria que pesa sobre el buque o buques afectos</w:t>
      </w:r>
      <w:r w:rsidRPr="00E3148A">
        <w:rPr>
          <w:rFonts w:ascii="Arial" w:hAnsi="Arial" w:cs="Arial"/>
          <w:color w:val="000000"/>
          <w:shd w:val="clear" w:color="auto" w:fill="FFFFFF"/>
        </w:rPr>
        <w:t>, como no se haga constar en el Registro por medio de una inscripción nueva, de una cancelación total o parcial o de una nota marginal, según los casos (art. 140 LH, por remisión del art. 144 LNM).</w:t>
      </w:r>
    </w:p>
    <w:p w14:paraId="3FA09F16" w14:textId="77777777" w:rsidR="00CE0D10" w:rsidRPr="00E3148A" w:rsidRDefault="00CE0D10" w:rsidP="00CE0D10">
      <w:pPr>
        <w:jc w:val="both"/>
        <w:rPr>
          <w:rFonts w:ascii="Arial" w:hAnsi="Arial" w:cs="Arial"/>
        </w:rPr>
      </w:pPr>
      <w:r w:rsidRPr="00E3148A">
        <w:rPr>
          <w:rFonts w:ascii="Arial" w:hAnsi="Arial" w:cs="Arial"/>
        </w:rPr>
        <w:t xml:space="preserve">Las causas de cancelación de la hipoteca son las propias de la legislación hipotecaria y, en especial, el titular registral del buque puede solicitar que se cancele por caducidad la inscripción de la hipoteca, una vez hayan transcurrido 6 años desde el vencimiento, si no consta que ha sido novada, interrumpida la prescripción o ejercitada la acción hipotecaria (art. 142). </w:t>
      </w:r>
    </w:p>
    <w:p w14:paraId="1003DA99" w14:textId="77777777" w:rsidR="00CE0D10" w:rsidRPr="00E3148A" w:rsidRDefault="00CE0D10" w:rsidP="00CE0D10">
      <w:pPr>
        <w:autoSpaceDE w:val="0"/>
        <w:autoSpaceDN w:val="0"/>
        <w:adjustRightInd w:val="0"/>
        <w:jc w:val="both"/>
        <w:rPr>
          <w:rFonts w:ascii="Arial" w:hAnsi="Arial" w:cs="Arial"/>
          <w:color w:val="000000"/>
          <w:shd w:val="clear" w:color="auto" w:fill="FFFFFF"/>
        </w:rPr>
      </w:pPr>
      <w:r w:rsidRPr="00E3148A">
        <w:rPr>
          <w:rFonts w:ascii="Arial" w:hAnsi="Arial" w:cs="Arial"/>
        </w:rPr>
        <w:t xml:space="preserve">Asimismo, dado el carácter accesorio del derecho real de hipoteca a la obligación principal, la hipoteca sí se extingue por las mismas causas que se haya extinguido ésta. Conforme al art. 1156 CC, las obligaciones se extinguen por </w:t>
      </w:r>
      <w:r w:rsidRPr="00E3148A">
        <w:rPr>
          <w:rFonts w:ascii="Arial" w:hAnsi="Arial" w:cs="Arial"/>
          <w:color w:val="000000"/>
          <w:shd w:val="clear" w:color="auto" w:fill="FFFFFF"/>
        </w:rPr>
        <w:t>el pago o cumplimiento, la pérdida de la cosa debida, la condonación de la deuda, la confusión, la compensación y la novación.</w:t>
      </w:r>
    </w:p>
    <w:p w14:paraId="6A80A92B" w14:textId="77777777" w:rsidR="00CE0D10" w:rsidRPr="00E3148A" w:rsidRDefault="00CE0D10" w:rsidP="00CE0D10">
      <w:pPr>
        <w:autoSpaceDE w:val="0"/>
        <w:autoSpaceDN w:val="0"/>
        <w:adjustRightInd w:val="0"/>
        <w:jc w:val="both"/>
        <w:rPr>
          <w:rFonts w:ascii="Arial" w:hAnsi="Arial" w:cs="Arial"/>
          <w:color w:val="000000"/>
          <w:shd w:val="clear" w:color="auto" w:fill="FFFFFF"/>
        </w:rPr>
      </w:pPr>
    </w:p>
    <w:p w14:paraId="14B45B94" w14:textId="77777777" w:rsidR="004D1F0D" w:rsidRDefault="004D1F0D" w:rsidP="00CE0D10">
      <w:pPr>
        <w:tabs>
          <w:tab w:val="left" w:pos="1440"/>
          <w:tab w:val="left" w:pos="1980"/>
        </w:tabs>
        <w:jc w:val="both"/>
        <w:rPr>
          <w:rFonts w:ascii="Arial" w:hAnsi="Arial" w:cs="Arial"/>
          <w:b/>
          <w:bCs/>
          <w:caps/>
        </w:rPr>
      </w:pPr>
    </w:p>
    <w:p w14:paraId="160CC2B9" w14:textId="45CAEB5E" w:rsidR="00CE0D10" w:rsidRDefault="004D1F0D" w:rsidP="00CE0D10">
      <w:pPr>
        <w:tabs>
          <w:tab w:val="left" w:pos="1440"/>
          <w:tab w:val="left" w:pos="1980"/>
        </w:tabs>
        <w:jc w:val="both"/>
        <w:rPr>
          <w:rFonts w:ascii="Arial" w:hAnsi="Arial" w:cs="Arial"/>
          <w:b/>
          <w:bCs/>
          <w:caps/>
        </w:rPr>
      </w:pPr>
      <w:r>
        <w:rPr>
          <w:rFonts w:ascii="Arial" w:hAnsi="Arial" w:cs="Arial"/>
          <w:b/>
          <w:bCs/>
          <w:caps/>
        </w:rPr>
        <w:t>2</w:t>
      </w:r>
      <w:r w:rsidR="00CE0D10" w:rsidRPr="00E3148A">
        <w:rPr>
          <w:rFonts w:ascii="Arial" w:hAnsi="Arial" w:cs="Arial"/>
          <w:b/>
          <w:bCs/>
          <w:caps/>
        </w:rPr>
        <w:t>. LA HIPOTECA NAVAL EN DERECHO PERUANO: el convenio de 1993 y la Decisión 487 de la Comunidad Andina</w:t>
      </w:r>
    </w:p>
    <w:p w14:paraId="1CAB68E8" w14:textId="77777777" w:rsidR="004D1F0D" w:rsidRDefault="004D1F0D" w:rsidP="00CE0D10">
      <w:pPr>
        <w:tabs>
          <w:tab w:val="left" w:pos="1440"/>
          <w:tab w:val="left" w:pos="1980"/>
        </w:tabs>
        <w:jc w:val="both"/>
        <w:rPr>
          <w:rFonts w:ascii="Arial" w:hAnsi="Arial" w:cs="Arial"/>
          <w:b/>
          <w:bCs/>
          <w:caps/>
        </w:rPr>
      </w:pPr>
    </w:p>
    <w:p w14:paraId="02970329" w14:textId="625CC982" w:rsidR="00CE0D10" w:rsidRPr="00E3148A" w:rsidRDefault="004D1F0D" w:rsidP="00CE0D10">
      <w:pPr>
        <w:tabs>
          <w:tab w:val="left" w:pos="1440"/>
          <w:tab w:val="left" w:pos="1980"/>
        </w:tabs>
        <w:jc w:val="both"/>
        <w:rPr>
          <w:rFonts w:ascii="Arial" w:hAnsi="Arial" w:cs="Arial"/>
          <w:b/>
          <w:bCs/>
        </w:rPr>
      </w:pPr>
      <w:r>
        <w:rPr>
          <w:rFonts w:ascii="Arial" w:hAnsi="Arial" w:cs="Arial"/>
          <w:b/>
          <w:bCs/>
          <w:caps/>
        </w:rPr>
        <w:t>2</w:t>
      </w:r>
      <w:r w:rsidR="00CE0D10" w:rsidRPr="00E3148A">
        <w:rPr>
          <w:rFonts w:ascii="Arial" w:hAnsi="Arial" w:cs="Arial"/>
          <w:b/>
          <w:bCs/>
        </w:rPr>
        <w:t>.1. Algunas consideraciones sobre la hipoteca naval y los privilegios marítimos en el Perú</w:t>
      </w:r>
    </w:p>
    <w:p w14:paraId="7660E819" w14:textId="77777777" w:rsidR="00CE0D10" w:rsidRPr="00E3148A" w:rsidRDefault="00CE0D10" w:rsidP="00CE0D10">
      <w:pPr>
        <w:tabs>
          <w:tab w:val="left" w:pos="1440"/>
          <w:tab w:val="left" w:pos="1980"/>
        </w:tabs>
        <w:jc w:val="both"/>
        <w:rPr>
          <w:rFonts w:ascii="Arial" w:hAnsi="Arial" w:cs="Arial"/>
        </w:rPr>
      </w:pPr>
      <w:r w:rsidRPr="00E3148A">
        <w:rPr>
          <w:rFonts w:ascii="Arial" w:hAnsi="Arial" w:cs="Arial"/>
        </w:rPr>
        <w:t>Antes de abordar lo concerniente al Convenio internacional sobre los privilegios marítimos y la hipoteca naval (Ginebra, 1993) -en lo sucesivo el Convenio de 1993- y a la Decisión sobre g</w:t>
      </w:r>
      <w:r w:rsidRPr="00E3148A">
        <w:rPr>
          <w:rFonts w:ascii="Arial" w:hAnsi="Arial" w:cs="Arial"/>
          <w:shd w:val="clear" w:color="auto" w:fill="FFFFFF"/>
        </w:rPr>
        <w:t>arantías marítimas (hipoteca naval y privilegios marítimos) y embargo preventivo de buques, Decisión 487 de 2000,</w:t>
      </w:r>
      <w:r w:rsidRPr="00E3148A">
        <w:rPr>
          <w:rFonts w:ascii="Arial" w:hAnsi="Arial" w:cs="Arial"/>
        </w:rPr>
        <w:t xml:space="preserve"> es oportuno señalar que la primera vez que se reguló la hipoteca naval y los privilegios marítimos en el Perú, fue cuando se aprobó la Ley de hipoteca naval, Ley N° 2411 de 1916, cuerpo normativo calcado de la Ley de hipoteca naval española sancionada en 1893.</w:t>
      </w:r>
    </w:p>
    <w:p w14:paraId="01A2D61F" w14:textId="25B64BB9" w:rsidR="00CE0D10" w:rsidRPr="00E3148A" w:rsidRDefault="00CE0D10" w:rsidP="00CE0D10">
      <w:pPr>
        <w:autoSpaceDE w:val="0"/>
        <w:autoSpaceDN w:val="0"/>
        <w:adjustRightInd w:val="0"/>
        <w:jc w:val="both"/>
        <w:rPr>
          <w:rFonts w:ascii="Arial" w:hAnsi="Arial" w:cs="Arial"/>
        </w:rPr>
      </w:pPr>
      <w:r w:rsidRPr="00E3148A">
        <w:rPr>
          <w:rFonts w:ascii="Arial" w:hAnsi="Arial" w:cs="Arial"/>
        </w:rPr>
        <w:t>La referida Ley de hipoteca naval peruana estuvo vigente en su integridad hasta la dación de la Ley general del sistema financiero y del sistema de seguros y orgánica de la superintendencia de banca y seguros -Ley Nº 26702- de 1996, que derogó parte de su contenido, siendo el resto derogado por la Ley de la garantía mobiliaria -Ley Nº 28677 – de 2006</w:t>
      </w:r>
      <w:r w:rsidRPr="00E3148A">
        <w:rPr>
          <w:rStyle w:val="Refdenotaalpie"/>
          <w:rFonts w:ascii="Arial" w:hAnsi="Arial" w:cs="Arial"/>
          <w:sz w:val="24"/>
          <w:szCs w:val="24"/>
        </w:rPr>
        <w:footnoteReference w:id="38"/>
      </w:r>
      <w:r w:rsidRPr="00E3148A">
        <w:rPr>
          <w:rFonts w:ascii="Arial" w:hAnsi="Arial" w:cs="Arial"/>
        </w:rPr>
        <w:t>.</w:t>
      </w:r>
    </w:p>
    <w:p w14:paraId="35590032" w14:textId="57A1DF0C" w:rsidR="00CE0D10" w:rsidRPr="00E3148A" w:rsidRDefault="00CE0D10" w:rsidP="00CE0D10">
      <w:pPr>
        <w:autoSpaceDE w:val="0"/>
        <w:autoSpaceDN w:val="0"/>
        <w:adjustRightInd w:val="0"/>
        <w:jc w:val="both"/>
        <w:rPr>
          <w:rFonts w:ascii="Arial" w:hAnsi="Arial" w:cs="Arial"/>
        </w:rPr>
      </w:pPr>
      <w:r w:rsidRPr="00E3148A">
        <w:rPr>
          <w:rFonts w:ascii="Arial" w:hAnsi="Arial" w:cs="Arial"/>
        </w:rPr>
        <w:t>Como se sabe la importancia de la hipoteca naval en buena parte radica en que constituye un mecanismo de fomento para la construcción y para la adquisición de buques, los cuales concentran una alta densidad de capital. Sin la hipoteca naval es complejo cerrar una operación financiera para la adquisición de buques.</w:t>
      </w:r>
    </w:p>
    <w:p w14:paraId="7E6D02B2" w14:textId="77777777" w:rsidR="00CE0D10" w:rsidRPr="00E3148A" w:rsidRDefault="00CE0D10" w:rsidP="00CE0D10">
      <w:pPr>
        <w:autoSpaceDE w:val="0"/>
        <w:autoSpaceDN w:val="0"/>
        <w:adjustRightInd w:val="0"/>
        <w:jc w:val="both"/>
        <w:rPr>
          <w:rFonts w:ascii="Arial" w:hAnsi="Arial" w:cs="Arial"/>
          <w:color w:val="000000"/>
          <w:shd w:val="clear" w:color="auto" w:fill="FFFFFF"/>
        </w:rPr>
      </w:pPr>
    </w:p>
    <w:p w14:paraId="4849E792" w14:textId="175D4AAB" w:rsidR="00CE0D10" w:rsidRPr="00E3148A" w:rsidRDefault="004D1F0D" w:rsidP="00CE0D10">
      <w:pPr>
        <w:tabs>
          <w:tab w:val="left" w:pos="0"/>
        </w:tabs>
        <w:jc w:val="both"/>
        <w:rPr>
          <w:rFonts w:ascii="Arial" w:hAnsi="Arial" w:cs="Arial"/>
          <w:b/>
          <w:bCs/>
        </w:rPr>
      </w:pPr>
      <w:r>
        <w:rPr>
          <w:rFonts w:ascii="Arial" w:hAnsi="Arial" w:cs="Arial"/>
          <w:b/>
          <w:bCs/>
        </w:rPr>
        <w:t>2</w:t>
      </w:r>
      <w:r w:rsidR="00CE0D10" w:rsidRPr="00E3148A">
        <w:rPr>
          <w:rFonts w:ascii="Arial" w:hAnsi="Arial" w:cs="Arial"/>
          <w:b/>
          <w:bCs/>
        </w:rPr>
        <w:t>.2 Las garantías marítimas en el proyecto de la Ley de navegación y comercio marítimo</w:t>
      </w:r>
    </w:p>
    <w:p w14:paraId="09003274" w14:textId="79E0313F" w:rsidR="00CE0D10" w:rsidRPr="00E3148A" w:rsidRDefault="00CE0D10" w:rsidP="00CE0D10">
      <w:pPr>
        <w:tabs>
          <w:tab w:val="left" w:pos="0"/>
        </w:tabs>
        <w:jc w:val="both"/>
        <w:rPr>
          <w:rFonts w:ascii="Arial" w:hAnsi="Arial" w:cs="Arial"/>
        </w:rPr>
      </w:pPr>
      <w:r w:rsidRPr="00E3148A">
        <w:rPr>
          <w:rFonts w:ascii="Arial" w:hAnsi="Arial" w:cs="Arial"/>
        </w:rPr>
        <w:t>En el proyecto de la Ley de navegación y comercio marítimo</w:t>
      </w:r>
      <w:r w:rsidRPr="00E3148A">
        <w:rPr>
          <w:rStyle w:val="Refdenotaalpie"/>
          <w:rFonts w:ascii="Arial" w:hAnsi="Arial" w:cs="Arial"/>
          <w:sz w:val="24"/>
          <w:szCs w:val="24"/>
        </w:rPr>
        <w:footnoteReference w:id="39"/>
      </w:r>
      <w:r w:rsidRPr="00E3148A">
        <w:rPr>
          <w:rFonts w:ascii="Arial" w:hAnsi="Arial" w:cs="Arial"/>
        </w:rPr>
        <w:t xml:space="preserve"> que elaboró en 1999 un grupo de trabajo de la Comisión de Reforma del Código de Comercio creada por la Ley N° 26595, se contempló un capítulo relativo a la hipoteca naval y los privilegios marítimos. </w:t>
      </w:r>
    </w:p>
    <w:p w14:paraId="3999471D" w14:textId="72CDD3F7" w:rsidR="00CE0D10" w:rsidRPr="00E3148A" w:rsidRDefault="00CE0D10" w:rsidP="00CE0D10">
      <w:pPr>
        <w:autoSpaceDE w:val="0"/>
        <w:autoSpaceDN w:val="0"/>
        <w:adjustRightInd w:val="0"/>
        <w:jc w:val="both"/>
        <w:rPr>
          <w:rFonts w:ascii="Arial" w:hAnsi="Arial" w:cs="Arial"/>
          <w:shd w:val="clear" w:color="auto" w:fill="FFFFFF"/>
        </w:rPr>
      </w:pPr>
      <w:r w:rsidRPr="00E3148A">
        <w:rPr>
          <w:rFonts w:ascii="Arial" w:hAnsi="Arial" w:cs="Arial"/>
        </w:rPr>
        <w:t xml:space="preserve">El referido proyecto de 1999 recogió desde la perspectiva de su trasladado al plano de la legislación nacional, la regulación de los privilegios marítimos y la hipoteca naval, conforme se desarrollan estas instituciones del Derecho marítimo en el Convenio de 1993. Cuando se redactó el proyecto, el Perú todavía no había adherido al Convenio de 1993 ni tampoco aún se había aprobado la </w:t>
      </w:r>
      <w:r w:rsidRPr="00E3148A">
        <w:rPr>
          <w:rFonts w:ascii="Arial" w:hAnsi="Arial" w:cs="Arial"/>
          <w:shd w:val="clear" w:color="auto" w:fill="FFFFFF"/>
        </w:rPr>
        <w:t>Decisión 487 de 2000, cuerpo normativo supranacional integrante del bloque de normas comunitarias de la Comunidad Andina (CAN)</w:t>
      </w:r>
      <w:r w:rsidRPr="00E3148A">
        <w:rPr>
          <w:rStyle w:val="Refdenotaalpie"/>
          <w:rFonts w:ascii="Arial" w:hAnsi="Arial" w:cs="Arial"/>
          <w:sz w:val="24"/>
          <w:szCs w:val="24"/>
          <w:shd w:val="clear" w:color="auto" w:fill="FFFFFF"/>
        </w:rPr>
        <w:footnoteReference w:id="40"/>
      </w:r>
      <w:r w:rsidRPr="00E3148A">
        <w:rPr>
          <w:rFonts w:ascii="Arial" w:hAnsi="Arial" w:cs="Arial"/>
          <w:shd w:val="clear" w:color="auto" w:fill="FFFFFF"/>
        </w:rPr>
        <w:t>.</w:t>
      </w:r>
    </w:p>
    <w:p w14:paraId="4840F155" w14:textId="77777777" w:rsidR="0080507D" w:rsidRPr="00E3148A" w:rsidRDefault="0080507D" w:rsidP="00CE0D10">
      <w:pPr>
        <w:autoSpaceDE w:val="0"/>
        <w:autoSpaceDN w:val="0"/>
        <w:adjustRightInd w:val="0"/>
        <w:jc w:val="both"/>
        <w:rPr>
          <w:rFonts w:ascii="Arial" w:hAnsi="Arial" w:cs="Arial"/>
          <w:color w:val="000000"/>
          <w:shd w:val="clear" w:color="auto" w:fill="FFFFFF"/>
        </w:rPr>
      </w:pPr>
    </w:p>
    <w:p w14:paraId="488106C6" w14:textId="13D91F40" w:rsidR="0080507D" w:rsidRPr="00E3148A" w:rsidRDefault="004D1F0D" w:rsidP="0080507D">
      <w:pPr>
        <w:tabs>
          <w:tab w:val="left" w:pos="1440"/>
          <w:tab w:val="left" w:pos="1980"/>
        </w:tabs>
        <w:jc w:val="both"/>
        <w:rPr>
          <w:rFonts w:ascii="Arial" w:hAnsi="Arial" w:cs="Arial"/>
          <w:b/>
          <w:bCs/>
        </w:rPr>
      </w:pPr>
      <w:r>
        <w:rPr>
          <w:rFonts w:ascii="Arial" w:hAnsi="Arial" w:cs="Arial"/>
          <w:b/>
          <w:bCs/>
        </w:rPr>
        <w:t>2</w:t>
      </w:r>
      <w:r w:rsidR="0080507D" w:rsidRPr="00E3148A">
        <w:rPr>
          <w:rFonts w:ascii="Arial" w:hAnsi="Arial" w:cs="Arial"/>
          <w:b/>
          <w:bCs/>
        </w:rPr>
        <w:t>.3 El Convenio de 1993 y la Decisión 487: su recepción y aplicación en el Perú</w:t>
      </w:r>
    </w:p>
    <w:p w14:paraId="18EDA8C2"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En cuanto ambos cuerpos normativos, se encuentran estrechamente vinculados al regular aspectos relativos a las mismas instituciones, resulta oportuno abordar la recepción del Convenio de 1993 y de la Decisión 487 en el Perú, especialmente por el hecho que esta norma comunitaria tiene la impronta del Convenio de 1993.</w:t>
      </w:r>
    </w:p>
    <w:p w14:paraId="706FD13F" w14:textId="77777777" w:rsidR="0080507D" w:rsidRPr="00E3148A" w:rsidRDefault="0080507D" w:rsidP="0080507D">
      <w:pPr>
        <w:tabs>
          <w:tab w:val="left" w:pos="1440"/>
          <w:tab w:val="left" w:pos="1980"/>
        </w:tabs>
        <w:jc w:val="both"/>
        <w:rPr>
          <w:rFonts w:ascii="Arial" w:hAnsi="Arial" w:cs="Arial"/>
          <w:b/>
          <w:bCs/>
        </w:rPr>
      </w:pPr>
    </w:p>
    <w:p w14:paraId="0CBB55A0" w14:textId="558E9D31" w:rsidR="0080507D" w:rsidRPr="00E3148A" w:rsidRDefault="004D1F0D" w:rsidP="0080507D">
      <w:pPr>
        <w:tabs>
          <w:tab w:val="left" w:pos="1440"/>
          <w:tab w:val="left" w:pos="1980"/>
        </w:tabs>
        <w:jc w:val="both"/>
        <w:rPr>
          <w:rFonts w:ascii="Arial" w:hAnsi="Arial" w:cs="Arial"/>
          <w:b/>
          <w:bCs/>
        </w:rPr>
      </w:pPr>
      <w:r>
        <w:rPr>
          <w:rFonts w:ascii="Arial" w:hAnsi="Arial" w:cs="Arial"/>
          <w:b/>
          <w:bCs/>
        </w:rPr>
        <w:t>2</w:t>
      </w:r>
      <w:r w:rsidR="0080507D" w:rsidRPr="00E3148A">
        <w:rPr>
          <w:rFonts w:ascii="Arial" w:hAnsi="Arial" w:cs="Arial"/>
          <w:b/>
          <w:bCs/>
        </w:rPr>
        <w:t>.3.1. Sobre el Convenio de 1993</w:t>
      </w:r>
    </w:p>
    <w:p w14:paraId="09D098CB"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Todo lo que se haya podido analizar en este artículo con relación a los institutos de la hipoteca naval y los privilegios marítimos y su tratamiento en el Convenio de 1993, naturalmente se refleja en la aplicación de este instrumento internacional en las relaciones jurídicas en las que esta garantía marítima ha sido utilizada en el Perú.</w:t>
      </w:r>
    </w:p>
    <w:p w14:paraId="6FDC156C"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El Convenio de 1993 y el Convenio internacional sobre el embargo preventivo de buques de 1999</w:t>
      </w:r>
      <w:r w:rsidRPr="00E3148A">
        <w:rPr>
          <w:rStyle w:val="Refdenotaalpie"/>
          <w:rFonts w:ascii="Arial" w:hAnsi="Arial" w:cs="Arial"/>
          <w:sz w:val="24"/>
          <w:szCs w:val="24"/>
        </w:rPr>
        <w:footnoteReference w:id="41"/>
      </w:r>
      <w:r w:rsidRPr="00E3148A">
        <w:rPr>
          <w:rFonts w:ascii="Arial" w:hAnsi="Arial" w:cs="Arial"/>
        </w:rPr>
        <w:t>, constituyeron la culminación de un esfuerzo de las Naciones Unidas, a través de la Conferencia de las Naciones Unidas sobre Comercio y Desarrollo (UNCTAD) y de la Organización Marítima Internacional (OMI), que tuvo por objeto modernizar y profundizar la uniformización del Derecho marítimo en el contexto transnacional, en lo que concierne a la regulación y aplicación de tres institutos de singular trascendencia en el tráfico marítimo internacional, como son: los privilegios marítimos, la hipoteca naval y el embargo preventivo de buques.</w:t>
      </w:r>
    </w:p>
    <w:p w14:paraId="2EC2BDCF" w14:textId="7CF954E5" w:rsidR="00CE0D10" w:rsidRPr="00E3148A" w:rsidRDefault="0080507D" w:rsidP="0080507D">
      <w:pPr>
        <w:autoSpaceDE w:val="0"/>
        <w:autoSpaceDN w:val="0"/>
        <w:adjustRightInd w:val="0"/>
        <w:jc w:val="both"/>
        <w:rPr>
          <w:rFonts w:ascii="Arial" w:hAnsi="Arial" w:cs="Arial"/>
        </w:rPr>
      </w:pPr>
      <w:r w:rsidRPr="00E3148A">
        <w:rPr>
          <w:rFonts w:ascii="Arial" w:hAnsi="Arial" w:cs="Arial"/>
        </w:rPr>
        <w:t>Los referidos instrumentos internacionales, buscan reemplazar respectivamente a los convenios de 1926 y 1967 sobre los privilegios marítimos y la hipoteca naval, y al Convenio de 1952 sobre el embargo preventivo de buques</w:t>
      </w:r>
      <w:r w:rsidRPr="00E3148A">
        <w:rPr>
          <w:rStyle w:val="Refdenotaalpie"/>
          <w:rFonts w:ascii="Arial" w:hAnsi="Arial" w:cs="Arial"/>
          <w:sz w:val="24"/>
          <w:szCs w:val="24"/>
        </w:rPr>
        <w:footnoteReference w:id="42"/>
      </w:r>
      <w:r w:rsidRPr="00E3148A">
        <w:rPr>
          <w:rFonts w:ascii="Arial" w:hAnsi="Arial" w:cs="Arial"/>
        </w:rPr>
        <w:t>.</w:t>
      </w:r>
    </w:p>
    <w:p w14:paraId="0F89E7EE"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 xml:space="preserve">Como se ha sostenido en este ensayo, el Convenio de 1993 persigue una revalorización de la hipoteca naval, garantía marítima de especial relevancia para dinamizar la adquisición de buques y la modernización de las flotas mercantes de los países en desarrollo. </w:t>
      </w:r>
    </w:p>
    <w:p w14:paraId="0DE3B047" w14:textId="538A4FB0" w:rsidR="0080507D" w:rsidRPr="00E3148A" w:rsidRDefault="0080507D" w:rsidP="0080507D">
      <w:pPr>
        <w:tabs>
          <w:tab w:val="left" w:pos="1440"/>
          <w:tab w:val="left" w:pos="1980"/>
        </w:tabs>
        <w:jc w:val="both"/>
        <w:rPr>
          <w:rFonts w:ascii="Arial" w:hAnsi="Arial" w:cs="Arial"/>
        </w:rPr>
      </w:pPr>
      <w:r w:rsidRPr="00E3148A">
        <w:rPr>
          <w:rFonts w:ascii="Arial" w:hAnsi="Arial" w:cs="Arial"/>
        </w:rPr>
        <w:t>La hipoteca naval, como se sabe, es el mecanismo más idóneo para garantizar la compraventa de buques</w:t>
      </w:r>
      <w:r w:rsidRPr="00E3148A">
        <w:rPr>
          <w:rStyle w:val="Refdenotaalpie"/>
          <w:rFonts w:ascii="Arial" w:hAnsi="Arial" w:cs="Arial"/>
          <w:sz w:val="24"/>
          <w:szCs w:val="24"/>
        </w:rPr>
        <w:footnoteReference w:id="43"/>
      </w:r>
      <w:r w:rsidRPr="00E3148A">
        <w:rPr>
          <w:rFonts w:ascii="Arial" w:hAnsi="Arial" w:cs="Arial"/>
        </w:rPr>
        <w:t xml:space="preserve"> y su validez y aceptación en este tipo de transacciones mercantiles, se había visto opacada por la presencia de diversos privilegios marítimos</w:t>
      </w:r>
      <w:r w:rsidRPr="00E3148A">
        <w:rPr>
          <w:rFonts w:ascii="Arial" w:hAnsi="Arial" w:cs="Arial"/>
          <w:position w:val="7"/>
        </w:rPr>
        <w:t xml:space="preserve"> reconocidos en convenios internacionales y en leyes nacionales, que le restaron eficacia</w:t>
      </w:r>
      <w:r w:rsidRPr="00E3148A">
        <w:rPr>
          <w:rFonts w:ascii="Arial" w:hAnsi="Arial" w:cs="Arial"/>
        </w:rPr>
        <w:t>.</w:t>
      </w:r>
    </w:p>
    <w:p w14:paraId="72EE5E58" w14:textId="327400B1" w:rsidR="0080507D" w:rsidRPr="00E3148A" w:rsidRDefault="0080507D" w:rsidP="0080507D">
      <w:pPr>
        <w:tabs>
          <w:tab w:val="left" w:pos="1440"/>
          <w:tab w:val="left" w:pos="1980"/>
        </w:tabs>
        <w:jc w:val="both"/>
        <w:rPr>
          <w:rFonts w:ascii="Arial" w:hAnsi="Arial" w:cs="Arial"/>
        </w:rPr>
      </w:pPr>
      <w:r w:rsidRPr="00E3148A">
        <w:rPr>
          <w:rFonts w:ascii="Arial" w:hAnsi="Arial" w:cs="Arial"/>
        </w:rPr>
        <w:t>En efecto, el Convenio de 1926 y en menor medida el de 1967, sobre los privilegios marítimos y la hipoteca naval, consignan un número elevado de privilegios marítimos con preferencia sobre la hipoteca naval, lo que produjo cierta desvalorización de esta garantía marítima. En este orden de ideas, el Convenio de 1993 reordena el reconocimiento legal de los privilegios marítimos, reduce la lista, y esto vuelve atractivo para las instituciones financieras el ofrecimiento de créditos marítimos mediante respaldados con la constitución de hipotecas navales.</w:t>
      </w:r>
      <w:r w:rsidR="004D1F0D">
        <w:rPr>
          <w:rFonts w:ascii="Arial" w:hAnsi="Arial" w:cs="Arial"/>
        </w:rPr>
        <w:t xml:space="preserve"> </w:t>
      </w:r>
    </w:p>
    <w:p w14:paraId="3DA64BE8" w14:textId="77777777" w:rsidR="0080507D" w:rsidRPr="00E3148A" w:rsidRDefault="0080507D" w:rsidP="0080507D">
      <w:pPr>
        <w:jc w:val="both"/>
        <w:rPr>
          <w:rFonts w:ascii="Arial" w:hAnsi="Arial" w:cs="Arial"/>
        </w:rPr>
      </w:pPr>
      <w:r w:rsidRPr="00E3148A">
        <w:rPr>
          <w:rFonts w:ascii="Arial" w:hAnsi="Arial" w:cs="Arial"/>
        </w:rPr>
        <w:t>Mediante la Resolución Legislativa Nº 28956 se aprobó el Convenio de 1993 y mediante por Decreto Supremo Nº 010-2007-RE fue ratificado, con lo cual este convenio internacional entró en vigor en el Perú el 23 de julio de 2007.</w:t>
      </w:r>
    </w:p>
    <w:p w14:paraId="2FBAD986" w14:textId="77777777" w:rsidR="0080507D" w:rsidRPr="00E3148A" w:rsidRDefault="0080507D" w:rsidP="0080507D">
      <w:pPr>
        <w:tabs>
          <w:tab w:val="left" w:pos="1440"/>
          <w:tab w:val="left" w:pos="1980"/>
        </w:tabs>
        <w:jc w:val="both"/>
        <w:rPr>
          <w:rFonts w:ascii="Arial" w:hAnsi="Arial" w:cs="Arial"/>
          <w:b/>
          <w:bCs/>
        </w:rPr>
      </w:pPr>
    </w:p>
    <w:p w14:paraId="2E37C625" w14:textId="6382BD17" w:rsidR="0080507D" w:rsidRPr="00E3148A" w:rsidRDefault="004D1F0D" w:rsidP="0080507D">
      <w:pPr>
        <w:tabs>
          <w:tab w:val="left" w:pos="1440"/>
          <w:tab w:val="left" w:pos="1980"/>
        </w:tabs>
        <w:jc w:val="both"/>
        <w:rPr>
          <w:rFonts w:ascii="Arial" w:hAnsi="Arial" w:cs="Arial"/>
          <w:b/>
          <w:bCs/>
        </w:rPr>
      </w:pPr>
      <w:r>
        <w:rPr>
          <w:rFonts w:ascii="Arial" w:hAnsi="Arial" w:cs="Arial"/>
          <w:b/>
          <w:bCs/>
        </w:rPr>
        <w:t>2</w:t>
      </w:r>
      <w:r w:rsidR="0080507D" w:rsidRPr="00E3148A">
        <w:rPr>
          <w:rFonts w:ascii="Arial" w:hAnsi="Arial" w:cs="Arial"/>
          <w:b/>
          <w:bCs/>
        </w:rPr>
        <w:t xml:space="preserve">.3.2 Sobre la Decisión 487 </w:t>
      </w:r>
    </w:p>
    <w:p w14:paraId="2CB93277"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El Convenio de 1993 y el citado Convenio internacional sobre el embargo preventivo de buques de 1999, son fuentes inmediatas de la Decisión 487 de la Comisión de la CAN, sobre garantías marítimas y embargo preventivo de buques. La Decisión 487, conforme se discutió alguna vez cuando se realizaron las primeras conferencias que condujeron a la adopción de los mencionados instrumentos internacionales, refundió en un solo texto el contenido de los referidos instrumentos suscritos en Bruselas.</w:t>
      </w:r>
    </w:p>
    <w:p w14:paraId="7EE581B3"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La aprobación de la Decisión 487 en el año 2000 -y su posterior modificación a través de la Decisión 532</w:t>
      </w:r>
      <w:r w:rsidRPr="00E3148A">
        <w:rPr>
          <w:rStyle w:val="Refdenotaalpie"/>
          <w:rFonts w:ascii="Arial" w:hAnsi="Arial" w:cs="Arial"/>
          <w:sz w:val="24"/>
          <w:szCs w:val="24"/>
        </w:rPr>
        <w:footnoteReference w:id="44"/>
      </w:r>
      <w:r w:rsidRPr="00E3148A">
        <w:rPr>
          <w:rFonts w:ascii="Arial" w:hAnsi="Arial" w:cs="Arial"/>
        </w:rPr>
        <w:t xml:space="preserve">- de alguna forma sentó la base para que el Perú ratifique los mencionados convenios de 1993 y de 1999. </w:t>
      </w:r>
    </w:p>
    <w:p w14:paraId="45AD9D6C"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Es conveniente recordar, que las normas comunitarias como son las contenidas en la Decisión 487 tienen preeminencia sobre las normas nacionales y se aplican directamente en los países miembros de la CAN, sin necesidad de ser internalizadas a través de alguna norma doméstica.</w:t>
      </w:r>
    </w:p>
    <w:p w14:paraId="307D1991"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 xml:space="preserve">La aplicabilidad directa de las normas comunitarias se encuentra establecida en el artículo 3° del Tratado de Creación del Tribunal de Justicia de la CAN y ha sido reiteradamente pronunciada en sentencias dictadas por esta corporación en consonancia con lo dictado por el Tribunal de Justicia de la Unión Europea, que aplica un Derecho comunitario del cual el Derecho comunitario andino se ha inspirado. </w:t>
      </w:r>
    </w:p>
    <w:p w14:paraId="4A4AA7A4" w14:textId="77777777" w:rsidR="0080507D" w:rsidRPr="00E3148A" w:rsidRDefault="0080507D" w:rsidP="0080507D">
      <w:pPr>
        <w:tabs>
          <w:tab w:val="left" w:pos="1440"/>
          <w:tab w:val="left" w:pos="1980"/>
        </w:tabs>
        <w:jc w:val="both"/>
        <w:rPr>
          <w:rFonts w:ascii="Arial" w:hAnsi="Arial" w:cs="Arial"/>
        </w:rPr>
      </w:pPr>
      <w:r w:rsidRPr="00E3148A">
        <w:rPr>
          <w:rFonts w:ascii="Arial" w:hAnsi="Arial" w:cs="Arial"/>
        </w:rPr>
        <w:t>La primacía de la normativa supranacional frente a los ordenamientos nacionales no está legislada en el ordenamiento comunitario, sin embargo, también ha sido desarrollada jurisprudencialmente por el Tribunal Andino de Justicia, aplicando el criterio que con anterioridad había plasmado el Tribunal de Justicia de la Unión Europea cuando desarrolló las tesis jurisprudenciales relativas a la aplicabilidad directa y a la primacía de las normas comunitarias, en las sentencias recaídas en los procesos Van Gend and Loos (5 de febrero de 1963) y Costa contra E.N.E.L. (15 de julio de 1964), entre otras. En esta línea el Tribunal de Justicia de la CAN ha hecho lo propio en las sentencias dictadas en los procesos 02-IP-88, 07-AI-99 y 79-AN-2000, por citar algunas. La doctrina universal más autorizada del Derecho comunitario o de la integración, es pacífica cuando se refiere a la primacía y a la aplicabilidad directa de las normas comunitarias frente a las nacionales.</w:t>
      </w:r>
    </w:p>
    <w:p w14:paraId="5E31A0BE" w14:textId="2FA0AFCA" w:rsidR="0080507D" w:rsidRPr="00E3148A" w:rsidRDefault="0080507D" w:rsidP="0080507D">
      <w:pPr>
        <w:autoSpaceDE w:val="0"/>
        <w:autoSpaceDN w:val="0"/>
        <w:adjustRightInd w:val="0"/>
        <w:jc w:val="both"/>
        <w:rPr>
          <w:rFonts w:ascii="Arial" w:hAnsi="Arial" w:cs="Arial"/>
          <w:color w:val="000000"/>
          <w:shd w:val="clear" w:color="auto" w:fill="FFFFFF"/>
        </w:rPr>
      </w:pPr>
      <w:r w:rsidRPr="00E3148A">
        <w:rPr>
          <w:rFonts w:ascii="Arial" w:hAnsi="Arial" w:cs="Arial"/>
        </w:rPr>
        <w:t>En caso surgiera alguna discrepancia entre la aplicación de las Decisiones 487 y 532 y los citados convenios de Bruselas de 1993 y 1999, el Tribunal de Justicia de la CAN, aplicaría preferentemente aquellas, conforme lo ha pronunciado en diversos fallos en los que se ha sentado la supremacía del Derecho comunitario frente al Derecho internacional</w:t>
      </w:r>
      <w:r w:rsidRPr="00E3148A">
        <w:rPr>
          <w:rStyle w:val="Refdenotaalpie"/>
          <w:rFonts w:ascii="Arial" w:hAnsi="Arial" w:cs="Arial"/>
          <w:sz w:val="24"/>
          <w:szCs w:val="24"/>
        </w:rPr>
        <w:footnoteReference w:id="45"/>
      </w:r>
      <w:r w:rsidRPr="00E3148A">
        <w:rPr>
          <w:rFonts w:ascii="Arial" w:hAnsi="Arial" w:cs="Arial"/>
        </w:rPr>
        <w:t>.</w:t>
      </w:r>
    </w:p>
    <w:p w14:paraId="2B848545" w14:textId="57514E38" w:rsidR="00CE0D10" w:rsidRPr="00E3148A" w:rsidRDefault="0080507D" w:rsidP="00CE0D10">
      <w:pPr>
        <w:jc w:val="both"/>
        <w:rPr>
          <w:rFonts w:ascii="Arial" w:hAnsi="Arial" w:cs="Arial"/>
        </w:rPr>
      </w:pPr>
      <w:r w:rsidRPr="00E3148A">
        <w:rPr>
          <w:rFonts w:ascii="Arial" w:hAnsi="Arial" w:cs="Arial"/>
        </w:rPr>
        <w:t xml:space="preserve"> </w:t>
      </w:r>
    </w:p>
    <w:p w14:paraId="6A38948C" w14:textId="5A76FD5D" w:rsidR="0080507D" w:rsidRPr="00E3148A" w:rsidRDefault="004D1F0D" w:rsidP="0080507D">
      <w:pPr>
        <w:tabs>
          <w:tab w:val="left" w:pos="540"/>
        </w:tabs>
        <w:jc w:val="both"/>
        <w:rPr>
          <w:rFonts w:ascii="Arial" w:hAnsi="Arial" w:cs="Arial"/>
          <w:b/>
          <w:bCs/>
        </w:rPr>
      </w:pPr>
      <w:r>
        <w:rPr>
          <w:rFonts w:ascii="Arial" w:hAnsi="Arial" w:cs="Arial"/>
          <w:b/>
          <w:bCs/>
        </w:rPr>
        <w:t>2</w:t>
      </w:r>
      <w:r w:rsidR="0080507D" w:rsidRPr="00E3148A">
        <w:rPr>
          <w:rFonts w:ascii="Arial" w:hAnsi="Arial" w:cs="Arial"/>
          <w:b/>
          <w:bCs/>
        </w:rPr>
        <w:t>.4. Algunas particularidades de la Decisión 487 frente al Convenio de 1993</w:t>
      </w:r>
    </w:p>
    <w:p w14:paraId="17A7ADE8" w14:textId="77777777" w:rsidR="0080507D" w:rsidRPr="00E3148A" w:rsidRDefault="0080507D" w:rsidP="0080507D">
      <w:pPr>
        <w:tabs>
          <w:tab w:val="left" w:pos="540"/>
        </w:tabs>
        <w:jc w:val="both"/>
        <w:rPr>
          <w:rFonts w:ascii="Arial" w:hAnsi="Arial" w:cs="Arial"/>
        </w:rPr>
      </w:pPr>
      <w:r w:rsidRPr="00E3148A">
        <w:rPr>
          <w:rFonts w:ascii="Arial" w:hAnsi="Arial" w:cs="Arial"/>
        </w:rPr>
        <w:t xml:space="preserve">Como se mencionó antes el Convenio de 1993 gravitó sustancialmente en la Decisión 487, sin embargo, se tienen algunos elementos particulares contenidos en la Decisión 487 que merecen alguna aproximación dentro de los alcances que permite la extensión de este trabajo. </w:t>
      </w:r>
    </w:p>
    <w:p w14:paraId="16C7581A" w14:textId="77777777" w:rsidR="0080507D" w:rsidRPr="00E3148A" w:rsidRDefault="0080507D" w:rsidP="0080507D">
      <w:pPr>
        <w:tabs>
          <w:tab w:val="left" w:pos="540"/>
        </w:tabs>
        <w:jc w:val="both"/>
        <w:rPr>
          <w:rFonts w:ascii="Arial" w:hAnsi="Arial" w:cs="Arial"/>
        </w:rPr>
      </w:pPr>
      <w:r w:rsidRPr="00E3148A">
        <w:rPr>
          <w:rFonts w:ascii="Arial" w:hAnsi="Arial" w:cs="Arial"/>
        </w:rPr>
        <w:t xml:space="preserve">De acuerdo con el artículo 13° del Convenio de 1993, éste se aplica a todos los buques de navegación marítima matriculados en un Estado parte. La Decisión 487 se aplica únicamente a los países miembros de la CAN y pueden ser objeto de hipoteca naval, como lo estipula la definición recogida en el artículo 1° modificado por la Decisión 532, “Toda construcción flotante apta para navegar, cualquiera que sea su tipo, clase o dimensión”. En este orden de ideas, pueden ser objeto de hipoteca naval no solo buques mercantes sino también los buques dedicados a cualquier actividad como puede ser la investigación científica, la pesca o la investigación científica. </w:t>
      </w:r>
    </w:p>
    <w:p w14:paraId="788BA779" w14:textId="77777777" w:rsidR="0080507D" w:rsidRPr="00E3148A" w:rsidRDefault="0080507D" w:rsidP="0080507D">
      <w:pPr>
        <w:tabs>
          <w:tab w:val="left" w:pos="540"/>
        </w:tabs>
        <w:jc w:val="both"/>
        <w:rPr>
          <w:rFonts w:ascii="Arial" w:hAnsi="Arial" w:cs="Arial"/>
          <w:shd w:val="clear" w:color="auto" w:fill="FFFFFF"/>
        </w:rPr>
      </w:pPr>
      <w:r w:rsidRPr="00E3148A">
        <w:rPr>
          <w:rFonts w:ascii="Arial" w:hAnsi="Arial" w:cs="Arial"/>
          <w:shd w:val="clear" w:color="auto" w:fill="FFFFFF"/>
        </w:rPr>
        <w:t>El artículo 3° de la Decisión 487, se refiere a las formalidades para constituir la hipoteca naval, en esta línea estatuye que “La hipoteca naval se constituye por escritura pública y debe inscribirse en el Registro de Buques para que surta los efectos que esta Decisión le reconoce. Las hipotecas navales no serán válidas ni oponibles a terceros hasta que no se haya practicado su inscripción en el Registro de Buques respectivo”.</w:t>
      </w:r>
    </w:p>
    <w:p w14:paraId="20A4B87B" w14:textId="77777777" w:rsidR="0080507D" w:rsidRPr="00E3148A" w:rsidRDefault="0080507D" w:rsidP="0080507D">
      <w:pPr>
        <w:tabs>
          <w:tab w:val="left" w:pos="540"/>
        </w:tabs>
        <w:jc w:val="both"/>
        <w:rPr>
          <w:rFonts w:ascii="Arial" w:hAnsi="Arial" w:cs="Arial"/>
        </w:rPr>
      </w:pPr>
      <w:r w:rsidRPr="00E3148A">
        <w:rPr>
          <w:rFonts w:ascii="Arial" w:hAnsi="Arial" w:cs="Arial"/>
        </w:rPr>
        <w:t>El instrumento de constitución de la hipoteca naval, de acuerdo con el artículo 5° deberá contener: “1. Nombres, apellidos, nacionalidad y domicilio del acreedor y del deudor y, si se trata de personas jurídicas, su denominación o razón social y domicilios, así como el registro en que se encuentren inscritos; 2. Nombre, número, clase, distintivo de llamada y matrícula del buque; 3. Arqueo bruto, eslora máxima y demás características principales del buque; 4. Los pactos en virtud de los cuales se acuerde expresamente la extensión de la garantía a los fletes, indemnizaciones, o en los que, de cualquier modo, se delimite el objeto de la garantía; 5. La fecha y la naturaleza del contrato por el que se crea la hipoteca o naturaleza del crédito que garantiza la hipoteca; 6. El monto o, en su caso, cantidad máxima de la obligación para cuya seguridad se constituye la hipoteca, así como los intereses convenidos, plazo, lugar y forma de pago; o la forma de determinar dicho monto en caso de ser una cantidad indeterminada; y 7. Los demás pactos válidos”.</w:t>
      </w:r>
    </w:p>
    <w:p w14:paraId="6A461355" w14:textId="180D28CC" w:rsidR="0080507D" w:rsidRPr="00E3148A" w:rsidRDefault="0080507D" w:rsidP="0080507D">
      <w:pPr>
        <w:tabs>
          <w:tab w:val="left" w:pos="540"/>
        </w:tabs>
        <w:jc w:val="both"/>
        <w:rPr>
          <w:rFonts w:ascii="Arial" w:hAnsi="Arial" w:cs="Arial"/>
        </w:rPr>
      </w:pPr>
      <w:r w:rsidRPr="00E3148A">
        <w:rPr>
          <w:rFonts w:ascii="Arial" w:hAnsi="Arial" w:cs="Arial"/>
        </w:rPr>
        <w:t>L</w:t>
      </w:r>
      <w:r w:rsidRPr="00E3148A">
        <w:rPr>
          <w:rFonts w:ascii="Arial" w:hAnsi="Arial" w:cs="Arial"/>
          <w:shd w:val="clear" w:color="auto" w:fill="FFFFFF"/>
        </w:rPr>
        <w:t xml:space="preserve">a Decisión 487 establece también en su artículo 6° que “La hipoteca naval se extiende de pleno derecho a las partes integrantes como el casco, maquinaria y todas aquellas que no pueden ser separadas de éste sin alterarlo sustantivamente; y a las pertenencias del buque, como los equipos de navegación, aparejos, repuestos y otros similares que, sin formar parte </w:t>
      </w:r>
      <w:r w:rsidR="004D1F0D" w:rsidRPr="00E3148A">
        <w:rPr>
          <w:rFonts w:ascii="Arial" w:hAnsi="Arial" w:cs="Arial"/>
          <w:shd w:val="clear" w:color="auto" w:fill="FFFFFF"/>
        </w:rPr>
        <w:t>de este</w:t>
      </w:r>
      <w:r w:rsidRPr="00E3148A">
        <w:rPr>
          <w:rFonts w:ascii="Arial" w:hAnsi="Arial" w:cs="Arial"/>
          <w:shd w:val="clear" w:color="auto" w:fill="FFFFFF"/>
        </w:rPr>
        <w:t>, están afectos a su servicio en forma permanente”.</w:t>
      </w:r>
    </w:p>
    <w:p w14:paraId="1D609D1E" w14:textId="77777777" w:rsidR="0080507D" w:rsidRPr="00E3148A" w:rsidRDefault="0080507D" w:rsidP="0080507D">
      <w:pPr>
        <w:tabs>
          <w:tab w:val="left" w:pos="540"/>
        </w:tabs>
        <w:jc w:val="both"/>
        <w:rPr>
          <w:rFonts w:ascii="Arial" w:hAnsi="Arial" w:cs="Arial"/>
          <w:shd w:val="clear" w:color="auto" w:fill="FFFFFF"/>
        </w:rPr>
      </w:pPr>
      <w:r w:rsidRPr="00E3148A">
        <w:rPr>
          <w:rFonts w:ascii="Arial" w:hAnsi="Arial" w:cs="Arial"/>
        </w:rPr>
        <w:t xml:space="preserve">Como una expresión positivista del principio </w:t>
      </w:r>
      <w:r w:rsidRPr="00E3148A">
        <w:rPr>
          <w:rFonts w:ascii="Arial" w:hAnsi="Arial" w:cs="Arial"/>
          <w:i/>
          <w:iCs/>
        </w:rPr>
        <w:t>prior in tempore potior in iure</w:t>
      </w:r>
      <w:r w:rsidRPr="00E3148A">
        <w:rPr>
          <w:rFonts w:ascii="Arial" w:hAnsi="Arial" w:cs="Arial"/>
        </w:rPr>
        <w:t>, l</w:t>
      </w:r>
      <w:r w:rsidRPr="00E3148A">
        <w:rPr>
          <w:rFonts w:ascii="Arial" w:hAnsi="Arial" w:cs="Arial"/>
          <w:shd w:val="clear" w:color="auto" w:fill="FFFFFF"/>
        </w:rPr>
        <w:t xml:space="preserve">a fecha y la hora de la inscripción de la hipoteca naval en el Registro de Buques, determina la prelación del crédito (artículo 9°). En este sentido, como es factible en todos los ordenamientos marítimos, puede constituirse más de una hipoteca naval sobre un buque. </w:t>
      </w:r>
    </w:p>
    <w:p w14:paraId="1E783755" w14:textId="77777777" w:rsidR="0080507D" w:rsidRPr="00E3148A" w:rsidRDefault="0080507D" w:rsidP="0080507D">
      <w:pPr>
        <w:tabs>
          <w:tab w:val="left" w:pos="540"/>
        </w:tabs>
        <w:jc w:val="both"/>
        <w:rPr>
          <w:rFonts w:ascii="Arial" w:hAnsi="Arial" w:cs="Arial"/>
          <w:shd w:val="clear" w:color="auto" w:fill="FFFFFF"/>
        </w:rPr>
      </w:pPr>
      <w:r w:rsidRPr="00E3148A">
        <w:rPr>
          <w:rFonts w:ascii="Arial" w:hAnsi="Arial" w:cs="Arial"/>
          <w:shd w:val="clear" w:color="auto" w:fill="FFFFFF"/>
        </w:rPr>
        <w:t>Como es común también en todos los ordenamientos marítimos, los acreedores de hipotecas navales conservan su derecho a solicitar la venta judicial del buque gravado para el pago de su crédito, y a interponer acciones reipersecutorias aunque el buque haya pasado al dominio de un tercero con justo título y de buena fe (artículo 10°).</w:t>
      </w:r>
    </w:p>
    <w:p w14:paraId="04EF6A89" w14:textId="77777777" w:rsidR="0080507D" w:rsidRPr="00E3148A" w:rsidRDefault="0080507D" w:rsidP="0080507D">
      <w:pPr>
        <w:tabs>
          <w:tab w:val="left" w:pos="540"/>
        </w:tabs>
        <w:jc w:val="both"/>
        <w:rPr>
          <w:rFonts w:ascii="Arial" w:hAnsi="Arial" w:cs="Arial"/>
          <w:shd w:val="clear" w:color="auto" w:fill="FFFFFF"/>
        </w:rPr>
      </w:pPr>
      <w:r w:rsidRPr="00E3148A">
        <w:rPr>
          <w:rFonts w:ascii="Arial" w:hAnsi="Arial" w:cs="Arial"/>
        </w:rPr>
        <w:t>El artículo 12° de la Decisión 487, dispone que el acreedor hipotecario podrá ejercer su derecho contra el buque o buques gravados, cuando se den cualquiera de los siguientes casos: “1. Al vencimiento del plazo estipulado para el pago del crédito que la hipoteca garantiza; 2. Al vencimiento del plazo estipulado para el pago de los intereses de la obligación principal; 3. Cuando el deudor sea declarado en insolvencia; 4. Cuando cualesquiera de los buques hipotecados sufriere deterioro que lo inutilice para navegar; 5. Cuando se cumplan las condiciones pactadas como resolutorias en el contrato al que accede la hipoteca, así como todas aquellas que produzcan el efecto de hacer exigible el cumplimiento de la obligación que la hipoteca garantiza; 6. Cuando existiendo dos o más buques afectos al cumplimiento de una misma obligación, ocurriese la pérdida de cualquiera de dichos buques, salvo pacto en contrario”.</w:t>
      </w:r>
    </w:p>
    <w:p w14:paraId="6FD6B527" w14:textId="77777777" w:rsidR="0080507D" w:rsidRPr="00E3148A" w:rsidRDefault="0080507D" w:rsidP="0080507D">
      <w:pPr>
        <w:tabs>
          <w:tab w:val="left" w:pos="540"/>
        </w:tabs>
        <w:jc w:val="both"/>
        <w:rPr>
          <w:rFonts w:ascii="Arial" w:hAnsi="Arial" w:cs="Arial"/>
        </w:rPr>
      </w:pPr>
      <w:r w:rsidRPr="00E3148A">
        <w:rPr>
          <w:rFonts w:ascii="Arial" w:hAnsi="Arial" w:cs="Arial"/>
        </w:rPr>
        <w:t xml:space="preserve">Los privilegios marítimos o créditos privilegiados listados en párrafo 1 del artículo 4° del Convenio de 1993 y en el artículo 22° de la Decisión 487, son exactamente los mismos, como también las excepciones a sus efectos como gravámenes, la prelación entre ellos, su extinción y el plazo de caducidad. </w:t>
      </w:r>
    </w:p>
    <w:p w14:paraId="1AF07987" w14:textId="77777777" w:rsidR="0080507D" w:rsidRPr="00E3148A" w:rsidRDefault="0080507D" w:rsidP="0080507D">
      <w:pPr>
        <w:tabs>
          <w:tab w:val="left" w:pos="540"/>
        </w:tabs>
        <w:jc w:val="both"/>
        <w:rPr>
          <w:rFonts w:ascii="Arial" w:hAnsi="Arial" w:cs="Arial"/>
          <w:b/>
          <w:bCs/>
        </w:rPr>
      </w:pPr>
    </w:p>
    <w:p w14:paraId="1672FA4D" w14:textId="0A4F828F" w:rsidR="0080507D" w:rsidRPr="00E3148A" w:rsidRDefault="004D1F0D" w:rsidP="0080507D">
      <w:pPr>
        <w:tabs>
          <w:tab w:val="left" w:pos="540"/>
        </w:tabs>
        <w:jc w:val="both"/>
        <w:rPr>
          <w:rFonts w:ascii="Arial" w:hAnsi="Arial" w:cs="Arial"/>
          <w:b/>
          <w:bCs/>
        </w:rPr>
      </w:pPr>
      <w:r>
        <w:rPr>
          <w:rFonts w:ascii="Arial" w:hAnsi="Arial" w:cs="Arial"/>
          <w:b/>
          <w:bCs/>
        </w:rPr>
        <w:t>2</w:t>
      </w:r>
      <w:r w:rsidR="0080507D" w:rsidRPr="00E3148A">
        <w:rPr>
          <w:rFonts w:ascii="Arial" w:hAnsi="Arial" w:cs="Arial"/>
          <w:b/>
          <w:bCs/>
        </w:rPr>
        <w:t>.4.1. La venta extrajudicial del buque hipotecado</w:t>
      </w:r>
    </w:p>
    <w:p w14:paraId="53F90FAC" w14:textId="77777777" w:rsidR="0080507D" w:rsidRPr="00E3148A" w:rsidRDefault="0080507D" w:rsidP="0080507D">
      <w:pPr>
        <w:tabs>
          <w:tab w:val="left" w:pos="0"/>
        </w:tabs>
        <w:jc w:val="both"/>
        <w:rPr>
          <w:rFonts w:ascii="Arial" w:hAnsi="Arial" w:cs="Arial"/>
        </w:rPr>
      </w:pPr>
      <w:r w:rsidRPr="00E3148A">
        <w:rPr>
          <w:rFonts w:ascii="Arial" w:hAnsi="Arial" w:cs="Arial"/>
        </w:rPr>
        <w:t>El convenio para la venta extrajudicial o directa del buque hipotecado que las partes son libres de acordar que se inserte como una cláusula en el contrato de hipoteca naval, es un pacto que no está desarrollado en la Convención de 1993 pero sí está normado en la Decisión 487.</w:t>
      </w:r>
    </w:p>
    <w:p w14:paraId="14DB2010" w14:textId="77777777" w:rsidR="0080507D" w:rsidRPr="00E3148A" w:rsidRDefault="0080507D" w:rsidP="0080507D">
      <w:pPr>
        <w:tabs>
          <w:tab w:val="left" w:pos="0"/>
        </w:tabs>
        <w:jc w:val="both"/>
        <w:rPr>
          <w:rFonts w:ascii="Arial" w:hAnsi="Arial" w:cs="Arial"/>
        </w:rPr>
      </w:pPr>
      <w:r w:rsidRPr="00E3148A">
        <w:rPr>
          <w:rFonts w:ascii="Arial" w:hAnsi="Arial" w:cs="Arial"/>
        </w:rPr>
        <w:t xml:space="preserve">Hasta donde tenemos conocimiento, no es frecuente en los ordenamientos marítimos del sistema romano germánico o continental, que se contemple este tipo de convenios que permiten a las partes vender directamente los buques objeto de hipoteca naval. </w:t>
      </w:r>
    </w:p>
    <w:p w14:paraId="3569D2D7" w14:textId="77777777" w:rsidR="0080507D" w:rsidRPr="00E3148A" w:rsidRDefault="0080507D" w:rsidP="0080507D">
      <w:pPr>
        <w:tabs>
          <w:tab w:val="left" w:pos="0"/>
        </w:tabs>
        <w:jc w:val="both"/>
        <w:rPr>
          <w:rFonts w:ascii="Arial" w:hAnsi="Arial" w:cs="Arial"/>
        </w:rPr>
      </w:pPr>
      <w:r w:rsidRPr="00E3148A">
        <w:rPr>
          <w:rFonts w:ascii="Arial" w:hAnsi="Arial" w:cs="Arial"/>
        </w:rPr>
        <w:t>El pacto de venta extrajudicial posibilita una reducción en el costo del crédito -entiéndase del mutuo con garantía hipotecaria-, en razón a que se puede sortear la comparecencia ante el Poder Judicial, cuando eventualmente se produzca el incumplimiento del deudor hipotecario.</w:t>
      </w:r>
    </w:p>
    <w:p w14:paraId="37CA5175" w14:textId="77777777" w:rsidR="0080507D" w:rsidRPr="00E3148A" w:rsidRDefault="0080507D" w:rsidP="0080507D">
      <w:pPr>
        <w:tabs>
          <w:tab w:val="left" w:pos="0"/>
        </w:tabs>
        <w:jc w:val="both"/>
        <w:rPr>
          <w:rFonts w:ascii="Arial" w:hAnsi="Arial" w:cs="Arial"/>
        </w:rPr>
      </w:pPr>
      <w:r w:rsidRPr="00E3148A">
        <w:rPr>
          <w:rFonts w:ascii="Arial" w:hAnsi="Arial" w:cs="Arial"/>
        </w:rPr>
        <w:t>Este convenio en el plano práctico reduce los costos de transacción, los cuales en un alto porcentaje resultan ser trasladados por las instituciones financieras a los peticionarios y receptores del crédito naval. Es dato comprobable, que las entidades bancarias al fijar el costo del dinero, previsiblemente incorporan a la estructura crediticia la posibilidad de terminar sus relaciones con el deudor ante un juzgado civil; y es por ello que la venta extrajudicial se puede decir que responde claramente al hecho que de un lado se reconoce la ineficiencia del Poder Judicial en cuanto a la ejecución de garantías y por otro lado a la necesidad de hacer que las operaciones sean lo menos onerosas para los agentes económicos.</w:t>
      </w:r>
    </w:p>
    <w:p w14:paraId="67A3B6B0" w14:textId="77777777" w:rsidR="0080507D" w:rsidRPr="00E3148A" w:rsidRDefault="0080507D" w:rsidP="0080507D">
      <w:pPr>
        <w:tabs>
          <w:tab w:val="left" w:pos="0"/>
        </w:tabs>
        <w:jc w:val="both"/>
        <w:rPr>
          <w:rFonts w:ascii="Arial" w:hAnsi="Arial" w:cs="Arial"/>
        </w:rPr>
      </w:pPr>
      <w:r w:rsidRPr="00E3148A">
        <w:rPr>
          <w:rFonts w:ascii="Arial" w:hAnsi="Arial" w:cs="Arial"/>
        </w:rPr>
        <w:t xml:space="preserve">En el Perú en caso de incumplimiento por parte del deudor hipotecario, el acreedor puede optar por la vía de iniciar un proceso de ejecución de garantías que culmina con la venta forzosa del bien hipotecado, proceso regulado en el Código procesal civil, el cual casi siempre resulta excesivamente costoso ya que es necesario contratar un abogado, pagar tasas judiciales, entre otros gastos, bajo la certeza que la duración de dicho proceso será indeterminada, pues se podría llegar hasta la Corte Suprema de Justicia en vía de casación. El Poder Judicial peruano tiene una carga procesal pesada, lo cual contribuye a que los procesos sean vistos con lentitud y sobrepasen los plazos establecidos en el Código procesal civil. </w:t>
      </w:r>
    </w:p>
    <w:p w14:paraId="0EA47F31" w14:textId="26576A7A" w:rsidR="0080507D" w:rsidRPr="00E3148A" w:rsidRDefault="0080507D" w:rsidP="0080507D">
      <w:pPr>
        <w:tabs>
          <w:tab w:val="left" w:pos="0"/>
        </w:tabs>
        <w:jc w:val="both"/>
        <w:rPr>
          <w:rFonts w:ascii="Arial" w:hAnsi="Arial" w:cs="Arial"/>
        </w:rPr>
      </w:pPr>
      <w:r w:rsidRPr="00E3148A">
        <w:rPr>
          <w:rFonts w:ascii="Arial" w:hAnsi="Arial" w:cs="Arial"/>
        </w:rPr>
        <w:t xml:space="preserve">Francesco Berlingieri (1982) con relación a la venta directa del buque hipotecado señalaba hace unos años que “La única ley que ha regulado este importante mecanismo, aplicando las tutelas propias del </w:t>
      </w:r>
      <w:r w:rsidRPr="00E3148A">
        <w:rPr>
          <w:rFonts w:ascii="Arial" w:hAnsi="Arial" w:cs="Arial"/>
          <w:i/>
          <w:iCs/>
        </w:rPr>
        <w:t>mortgage</w:t>
      </w:r>
      <w:r w:rsidRPr="00E3148A">
        <w:rPr>
          <w:rFonts w:ascii="Arial" w:hAnsi="Arial" w:cs="Arial"/>
        </w:rPr>
        <w:t xml:space="preserve"> anglosajón, es la Ley griega N° 3899/1958” (p. 132), estas ideas las expresó el recordado profesor genovés casi tres décadas antes de que en la CAN se aprobara la Decisión 487.</w:t>
      </w:r>
      <w:r w:rsidR="004D1F0D">
        <w:rPr>
          <w:rFonts w:ascii="Arial" w:hAnsi="Arial" w:cs="Arial"/>
        </w:rPr>
        <w:t xml:space="preserve"> </w:t>
      </w:r>
    </w:p>
    <w:p w14:paraId="57B03AF0" w14:textId="77777777" w:rsidR="0080507D" w:rsidRPr="00E3148A" w:rsidRDefault="0080507D" w:rsidP="0080507D">
      <w:pPr>
        <w:tabs>
          <w:tab w:val="left" w:pos="0"/>
        </w:tabs>
        <w:jc w:val="both"/>
        <w:rPr>
          <w:rFonts w:ascii="Arial" w:hAnsi="Arial" w:cs="Arial"/>
        </w:rPr>
      </w:pPr>
      <w:r w:rsidRPr="00E3148A">
        <w:rPr>
          <w:rFonts w:ascii="Arial" w:hAnsi="Arial" w:cs="Arial"/>
        </w:rPr>
        <w:t>Berlingieri (1982) en el mismo texto resalta los beneficios de la venta extrajudicial del buque hipotecado al sostener:</w:t>
      </w:r>
    </w:p>
    <w:p w14:paraId="1ED1F59C" w14:textId="62A192D5" w:rsidR="0080507D" w:rsidRPr="00E3148A" w:rsidRDefault="0080507D" w:rsidP="0080507D">
      <w:pPr>
        <w:tabs>
          <w:tab w:val="left" w:pos="0"/>
        </w:tabs>
        <w:jc w:val="both"/>
        <w:rPr>
          <w:rFonts w:ascii="Arial" w:hAnsi="Arial" w:cs="Arial"/>
        </w:rPr>
      </w:pPr>
      <w:r w:rsidRPr="00E3148A">
        <w:rPr>
          <w:rFonts w:ascii="Arial" w:hAnsi="Arial" w:cs="Arial"/>
        </w:rPr>
        <w:t xml:space="preserve"> La inserción en el contrato de hipoteca de un mandato para vender constituye quizás el mejor método para atribuir al acreedor hipotecario una tutela similar a la perteneciente al </w:t>
      </w:r>
      <w:r w:rsidRPr="00E3148A">
        <w:rPr>
          <w:rFonts w:ascii="Arial" w:hAnsi="Arial" w:cs="Arial"/>
          <w:i/>
          <w:iCs/>
        </w:rPr>
        <w:t>mortgage</w:t>
      </w:r>
      <w:r w:rsidRPr="00E3148A">
        <w:rPr>
          <w:rFonts w:ascii="Arial" w:hAnsi="Arial" w:cs="Arial"/>
        </w:rPr>
        <w:t>, porque de tal modo se evitan todas las dificultades conexas con la ejecución del crédito hipotecario mediante un procedimiento ejecutivo. El único riesgo que puede correr el acreedor hipotecario es una acción de daños por parte del deudor por no haberse celebrado la venta en condiciones satisfactorias; para evitar o al menos reducir ese riesgo, parece oportuno que el acreedor hipotecario adopte la cautela de proceder a la venta mediante la intervención de un mediador autorizado que dé a la venta una publicidad adecuada (p. 135).</w:t>
      </w:r>
    </w:p>
    <w:p w14:paraId="77C83524" w14:textId="77777777" w:rsidR="0080507D" w:rsidRPr="00E3148A" w:rsidRDefault="0080507D" w:rsidP="0080507D">
      <w:pPr>
        <w:tabs>
          <w:tab w:val="left" w:pos="0"/>
        </w:tabs>
        <w:jc w:val="both"/>
        <w:rPr>
          <w:rFonts w:ascii="Arial" w:hAnsi="Arial" w:cs="Arial"/>
        </w:rPr>
      </w:pPr>
      <w:r w:rsidRPr="00E3148A">
        <w:rPr>
          <w:rFonts w:ascii="Arial" w:hAnsi="Arial" w:cs="Arial"/>
        </w:rPr>
        <w:t xml:space="preserve">El pacto de venta extrajudicial marca distancia con el </w:t>
      </w:r>
      <w:r w:rsidRPr="00E3148A">
        <w:rPr>
          <w:rFonts w:ascii="Arial" w:hAnsi="Arial" w:cs="Arial"/>
          <w:i/>
          <w:iCs/>
        </w:rPr>
        <w:t>pacto comisorio</w:t>
      </w:r>
      <w:r w:rsidRPr="00E3148A">
        <w:rPr>
          <w:rFonts w:ascii="Arial" w:hAnsi="Arial" w:cs="Arial"/>
        </w:rPr>
        <w:t>, que a nuestro entender es riesgoso. Como se ha señalado, la venta extrajudicial contribuirá a reducir el costo del crédito, y la hipoteca naval reforzará su valor de garantía para que los armadores puedan adquirir buques y renovar sus flotas mercantes.</w:t>
      </w:r>
    </w:p>
    <w:p w14:paraId="56AB8D41" w14:textId="77777777" w:rsidR="0080507D" w:rsidRPr="00E3148A" w:rsidRDefault="0080507D" w:rsidP="0080507D">
      <w:pPr>
        <w:jc w:val="both"/>
        <w:rPr>
          <w:rFonts w:ascii="Arial" w:hAnsi="Arial" w:cs="Arial"/>
          <w:b/>
          <w:bCs/>
        </w:rPr>
      </w:pPr>
    </w:p>
    <w:p w14:paraId="0E56D51A" w14:textId="43F8DBB2" w:rsidR="0080507D" w:rsidRPr="00E3148A" w:rsidRDefault="004D1F0D" w:rsidP="0080507D">
      <w:pPr>
        <w:jc w:val="both"/>
        <w:rPr>
          <w:rFonts w:ascii="Arial" w:hAnsi="Arial" w:cs="Arial"/>
          <w:b/>
          <w:bCs/>
          <w:color w:val="FF0000"/>
        </w:rPr>
      </w:pPr>
      <w:r>
        <w:rPr>
          <w:rFonts w:ascii="Arial" w:hAnsi="Arial" w:cs="Arial"/>
          <w:b/>
          <w:bCs/>
        </w:rPr>
        <w:t>3</w:t>
      </w:r>
      <w:r w:rsidR="0080507D" w:rsidRPr="00E3148A">
        <w:rPr>
          <w:rFonts w:ascii="Arial" w:hAnsi="Arial" w:cs="Arial"/>
          <w:b/>
          <w:bCs/>
        </w:rPr>
        <w:t xml:space="preserve">. </w:t>
      </w:r>
      <w:r w:rsidR="0080507D" w:rsidRPr="00E3148A">
        <w:rPr>
          <w:rFonts w:ascii="Arial" w:hAnsi="Arial" w:cs="Arial"/>
          <w:b/>
          <w:bCs/>
          <w:caps/>
        </w:rPr>
        <w:t>A modo de conclusión</w:t>
      </w:r>
    </w:p>
    <w:p w14:paraId="3439FBCC" w14:textId="25A57BF1" w:rsidR="0080507D" w:rsidRPr="00E3148A" w:rsidRDefault="0080507D" w:rsidP="0080507D">
      <w:pPr>
        <w:jc w:val="both"/>
        <w:rPr>
          <w:rFonts w:ascii="Arial" w:hAnsi="Arial" w:cs="Arial"/>
        </w:rPr>
      </w:pPr>
      <w:r w:rsidRPr="00E3148A">
        <w:rPr>
          <w:rFonts w:ascii="Arial" w:hAnsi="Arial" w:cs="Arial"/>
        </w:rPr>
        <w:t xml:space="preserve">La hipoteca naval de buques de navegación marítima está regulada con bastante detalla en la Ley española de Navegación </w:t>
      </w:r>
      <w:r w:rsidR="00E3148A" w:rsidRPr="00E3148A">
        <w:rPr>
          <w:rFonts w:ascii="Arial" w:hAnsi="Arial" w:cs="Arial"/>
        </w:rPr>
        <w:t>Marítima</w:t>
      </w:r>
      <w:r w:rsidRPr="00E3148A">
        <w:rPr>
          <w:rFonts w:ascii="Arial" w:hAnsi="Arial" w:cs="Arial"/>
        </w:rPr>
        <w:t xml:space="preserve"> de 2014. Se completa con las normas de ejercicio de la acción hipotecaria naval de la Ley de Enjuiciamiento Civil de 2000, así como las normas de inscripción de la hipoteca naval en el Registro de Bienes Muebles de las todavía vigentes normas del Reglamento del Registro Mercantil de 1956. Supletoriamente, se aplica la Ley general hipotecaria. </w:t>
      </w:r>
    </w:p>
    <w:p w14:paraId="2F7D812D" w14:textId="77777777" w:rsidR="0080507D" w:rsidRPr="00E3148A" w:rsidRDefault="0080507D" w:rsidP="0080507D">
      <w:pPr>
        <w:jc w:val="both"/>
        <w:rPr>
          <w:rFonts w:ascii="Arial" w:hAnsi="Arial" w:cs="Arial"/>
        </w:rPr>
      </w:pPr>
      <w:r w:rsidRPr="00E3148A">
        <w:rPr>
          <w:rFonts w:ascii="Arial" w:hAnsi="Arial" w:cs="Arial"/>
        </w:rPr>
        <w:t xml:space="preserve">España, como el Perú, también es parte del Convenio Internacional sobre los privilegios marítimos y la hipoteca naval de 1993. Sin embargo, sólo ha sido ratificado por 19 Estados y apenas unifica ciertas reglas relativas a su reconocimiento y ejecución entre Estados. Por ejemplo, el Convenio de 1993 remite a la legislación del Estado donde tenga lugar la realización forzosa, lo cual implica diferencias entre ellos, como es el caso de la validez y requisitos de la realización extrajudicial del buque. </w:t>
      </w:r>
    </w:p>
    <w:p w14:paraId="7CD15A6F" w14:textId="77777777" w:rsidR="0080507D" w:rsidRPr="00E3148A" w:rsidRDefault="0080507D" w:rsidP="0080507D">
      <w:pPr>
        <w:jc w:val="both"/>
        <w:rPr>
          <w:rFonts w:ascii="Arial" w:hAnsi="Arial" w:cs="Arial"/>
        </w:rPr>
      </w:pPr>
      <w:r w:rsidRPr="00E3148A">
        <w:rPr>
          <w:rFonts w:ascii="Arial" w:hAnsi="Arial" w:cs="Arial"/>
        </w:rPr>
        <w:t>En el Perú para la hipoteca naval y los privilegios marítimos se puede afirmar que se encuentran regulados por dos cuerpos normativos: el Convenio de 1993 que es un instrumento de Derecho internacional y la Decisión 487 que es Derecho comunitario.</w:t>
      </w:r>
    </w:p>
    <w:p w14:paraId="06875248" w14:textId="77777777" w:rsidR="0080507D" w:rsidRPr="00E3148A" w:rsidRDefault="0080507D" w:rsidP="0080507D">
      <w:pPr>
        <w:jc w:val="both"/>
        <w:rPr>
          <w:rFonts w:ascii="Arial" w:hAnsi="Arial" w:cs="Arial"/>
        </w:rPr>
      </w:pPr>
      <w:r w:rsidRPr="00E3148A">
        <w:rPr>
          <w:rFonts w:ascii="Arial" w:hAnsi="Arial" w:cs="Arial"/>
        </w:rPr>
        <w:t>La Decisión 487 se basa sustancialmente en el Convenio de 1993 y en algunos aspectos lo complementa, al desarrollar determinados aspectos de forma que no están regulados en el instrumento internacional.</w:t>
      </w:r>
    </w:p>
    <w:p w14:paraId="106C54AC" w14:textId="36180314" w:rsidR="0080507D" w:rsidRPr="00E3148A" w:rsidRDefault="0080507D" w:rsidP="0080507D">
      <w:pPr>
        <w:jc w:val="both"/>
        <w:rPr>
          <w:rFonts w:ascii="Arial" w:hAnsi="Arial" w:cs="Arial"/>
        </w:rPr>
      </w:pPr>
      <w:r w:rsidRPr="00E3148A">
        <w:rPr>
          <w:rFonts w:ascii="Arial" w:hAnsi="Arial" w:cs="Arial"/>
        </w:rPr>
        <w:t>Es posible afirmar apriorísticamente que en el Perú la mayor cantidad de contratos de hipoteca naval celebrados, tienen como objeto buques pesqueros y en mucho menor número buques mercantes. La flota pesquera de bandera peruana es muy superior en comparación con los buques mercantes inscritos en el registro de buques peruano.</w:t>
      </w:r>
      <w:r w:rsidR="00B46094">
        <w:rPr>
          <w:rFonts w:ascii="Arial" w:hAnsi="Arial" w:cs="Arial"/>
        </w:rPr>
        <w:t xml:space="preserve">  </w:t>
      </w:r>
    </w:p>
    <w:p w14:paraId="2B2F0110" w14:textId="5FD2593C" w:rsidR="0080507D" w:rsidRPr="00E3148A" w:rsidRDefault="0080507D" w:rsidP="0080507D">
      <w:pPr>
        <w:jc w:val="both"/>
        <w:rPr>
          <w:rFonts w:ascii="Arial" w:hAnsi="Arial" w:cs="Arial"/>
        </w:rPr>
      </w:pPr>
      <w:r w:rsidRPr="00E3148A">
        <w:rPr>
          <w:rFonts w:ascii="Arial" w:hAnsi="Arial" w:cs="Arial"/>
        </w:rPr>
        <w:t>En la web Global Fishing Watch, se indica que la flota de buques dedicados a la pesca industrial es de 850 unidades</w:t>
      </w:r>
      <w:r w:rsidR="00E3148A">
        <w:rPr>
          <w:rStyle w:val="Refdenotaalpie"/>
          <w:rFonts w:ascii="Arial" w:hAnsi="Arial" w:cs="Arial"/>
        </w:rPr>
        <w:footnoteReference w:id="46"/>
      </w:r>
      <w:r w:rsidRPr="00E3148A">
        <w:rPr>
          <w:rFonts w:ascii="Arial" w:hAnsi="Arial" w:cs="Arial"/>
        </w:rPr>
        <w:t xml:space="preserve">, y los buques mercantes de bandera peruana no deben ser más de 15 unidades. </w:t>
      </w:r>
    </w:p>
    <w:p w14:paraId="45487DB5" w14:textId="77777777" w:rsidR="0080507D" w:rsidRPr="00E3148A" w:rsidRDefault="0080507D" w:rsidP="0080507D">
      <w:pPr>
        <w:tabs>
          <w:tab w:val="left" w:pos="0"/>
        </w:tabs>
        <w:jc w:val="both"/>
        <w:rPr>
          <w:rFonts w:ascii="Arial" w:hAnsi="Arial" w:cs="Arial"/>
        </w:rPr>
      </w:pPr>
      <w:r w:rsidRPr="00E3148A">
        <w:rPr>
          <w:rFonts w:ascii="Arial" w:hAnsi="Arial" w:cs="Arial"/>
        </w:rPr>
        <w:t>Con la derogación de la Ley de la garantía mobiliaria -Ley Nº 28677- de 2006, la hipoteca naval recobra su importancia como garantía marítima.</w:t>
      </w:r>
    </w:p>
    <w:p w14:paraId="090B59C1" w14:textId="77777777" w:rsidR="0080507D" w:rsidRPr="00E3148A" w:rsidRDefault="0080507D" w:rsidP="0080507D">
      <w:pPr>
        <w:jc w:val="both"/>
        <w:rPr>
          <w:rFonts w:ascii="Arial" w:hAnsi="Arial" w:cs="Arial"/>
          <w:b/>
          <w:bCs/>
        </w:rPr>
      </w:pPr>
    </w:p>
    <w:p w14:paraId="137F0227" w14:textId="2F968DC7" w:rsidR="0080507D" w:rsidRPr="00E3148A" w:rsidRDefault="0080507D" w:rsidP="0080507D">
      <w:pPr>
        <w:jc w:val="both"/>
        <w:rPr>
          <w:rFonts w:ascii="Arial" w:hAnsi="Arial" w:cs="Arial"/>
          <w:b/>
          <w:bCs/>
        </w:rPr>
      </w:pPr>
      <w:r w:rsidRPr="00E3148A">
        <w:rPr>
          <w:rFonts w:ascii="Arial" w:hAnsi="Arial" w:cs="Arial"/>
          <w:b/>
          <w:bCs/>
        </w:rPr>
        <w:t>B</w:t>
      </w:r>
      <w:r w:rsidR="004D1F0D">
        <w:rPr>
          <w:rFonts w:ascii="Arial" w:hAnsi="Arial" w:cs="Arial"/>
          <w:b/>
          <w:bCs/>
        </w:rPr>
        <w:t>IBLIOGRAFÍA CITADA</w:t>
      </w:r>
    </w:p>
    <w:p w14:paraId="0A825F1F" w14:textId="77777777" w:rsidR="0080507D" w:rsidRPr="00E3148A" w:rsidRDefault="0080507D" w:rsidP="0080507D">
      <w:pPr>
        <w:jc w:val="both"/>
        <w:rPr>
          <w:rFonts w:ascii="Arial" w:hAnsi="Arial" w:cs="Arial"/>
          <w:b/>
        </w:rPr>
      </w:pPr>
      <w:r w:rsidRPr="00E3148A">
        <w:rPr>
          <w:rFonts w:ascii="Arial" w:hAnsi="Arial" w:cs="Arial"/>
        </w:rPr>
        <w:t xml:space="preserve">Alonso Ledesma, C. (1995). </w:t>
      </w:r>
      <w:r w:rsidRPr="00E3148A">
        <w:rPr>
          <w:rFonts w:ascii="Arial" w:hAnsi="Arial" w:cs="Arial"/>
          <w:i/>
        </w:rPr>
        <w:t>Los privilegios marítimos</w:t>
      </w:r>
      <w:r w:rsidRPr="00E3148A">
        <w:rPr>
          <w:rFonts w:ascii="Arial" w:hAnsi="Arial" w:cs="Arial"/>
        </w:rPr>
        <w:t>, Madrid: Civitas.</w:t>
      </w:r>
    </w:p>
    <w:p w14:paraId="4687F0A4" w14:textId="77777777" w:rsidR="0080507D" w:rsidRPr="00E3148A" w:rsidRDefault="0080507D" w:rsidP="0080507D">
      <w:pPr>
        <w:jc w:val="both"/>
        <w:rPr>
          <w:rFonts w:ascii="Arial" w:hAnsi="Arial" w:cs="Arial"/>
          <w:b/>
        </w:rPr>
      </w:pPr>
      <w:r w:rsidRPr="00E3148A">
        <w:rPr>
          <w:rFonts w:ascii="Arial" w:hAnsi="Arial" w:cs="Arial"/>
        </w:rPr>
        <w:t xml:space="preserve">Arroyo Martínez, I. y Rueda Martínez, J.-A. (2016). </w:t>
      </w:r>
      <w:r w:rsidRPr="00E3148A">
        <w:rPr>
          <w:rFonts w:ascii="Arial" w:hAnsi="Arial" w:cs="Arial"/>
          <w:i/>
        </w:rPr>
        <w:t>Comentarios a la Ley 14/2014, de 24 de julio, de navegación marítima</w:t>
      </w:r>
      <w:r w:rsidRPr="00E3148A">
        <w:rPr>
          <w:rFonts w:ascii="Arial" w:hAnsi="Arial" w:cs="Arial"/>
        </w:rPr>
        <w:t>. Madrid: Civitas Thomson Reuters.</w:t>
      </w:r>
    </w:p>
    <w:p w14:paraId="6827AF3F" w14:textId="77777777" w:rsidR="0080507D" w:rsidRPr="00E3148A" w:rsidRDefault="0080507D" w:rsidP="0080507D">
      <w:pPr>
        <w:jc w:val="both"/>
        <w:rPr>
          <w:rFonts w:ascii="Arial" w:hAnsi="Arial" w:cs="Arial"/>
          <w:b/>
        </w:rPr>
      </w:pPr>
      <w:r w:rsidRPr="00E3148A">
        <w:rPr>
          <w:rFonts w:ascii="Arial" w:hAnsi="Arial" w:cs="Arial"/>
        </w:rPr>
        <w:t xml:space="preserve">Baena, P. (2002): </w:t>
      </w:r>
      <w:r w:rsidRPr="00E3148A">
        <w:rPr>
          <w:rFonts w:ascii="Arial" w:hAnsi="Arial" w:cs="Arial"/>
          <w:i/>
        </w:rPr>
        <w:t>Derecho de la navegación. Volumen 2. Privilegios, hipotecas y embargos preventivos sobre el buque y aeronave</w:t>
      </w:r>
      <w:r w:rsidRPr="00E3148A">
        <w:rPr>
          <w:rFonts w:ascii="Arial" w:hAnsi="Arial" w:cs="Arial"/>
        </w:rPr>
        <w:t>. Madrid-Barcelona: Marcial Pons.</w:t>
      </w:r>
    </w:p>
    <w:p w14:paraId="557B04C3" w14:textId="77777777" w:rsidR="0080507D" w:rsidRPr="00E3148A" w:rsidRDefault="0080507D" w:rsidP="0080507D">
      <w:pPr>
        <w:jc w:val="both"/>
        <w:rPr>
          <w:rFonts w:ascii="Arial" w:hAnsi="Arial" w:cs="Arial"/>
        </w:rPr>
      </w:pPr>
      <w:r w:rsidRPr="00E3148A">
        <w:rPr>
          <w:rFonts w:ascii="Arial" w:hAnsi="Arial" w:cs="Arial"/>
        </w:rPr>
        <w:t xml:space="preserve">Berlingieri, F. (1982). </w:t>
      </w:r>
      <w:r w:rsidRPr="00E3148A">
        <w:rPr>
          <w:rFonts w:ascii="Arial" w:hAnsi="Arial" w:cs="Arial"/>
          <w:i/>
          <w:iCs/>
        </w:rPr>
        <w:t>Derecho marítimo</w:t>
      </w:r>
      <w:r w:rsidRPr="00E3148A">
        <w:rPr>
          <w:rFonts w:ascii="Arial" w:hAnsi="Arial" w:cs="Arial"/>
        </w:rPr>
        <w:t>. Buenos Aires: Abeledo Perrot.</w:t>
      </w:r>
    </w:p>
    <w:p w14:paraId="6B7296DC" w14:textId="77777777" w:rsidR="0080507D" w:rsidRPr="00E3148A" w:rsidRDefault="0080507D" w:rsidP="0080507D">
      <w:pPr>
        <w:jc w:val="both"/>
        <w:rPr>
          <w:rFonts w:ascii="Arial" w:hAnsi="Arial" w:cs="Arial"/>
          <w:b/>
        </w:rPr>
      </w:pPr>
      <w:r w:rsidRPr="00E3148A">
        <w:rPr>
          <w:rFonts w:ascii="Arial" w:hAnsi="Arial" w:cs="Arial"/>
        </w:rPr>
        <w:t xml:space="preserve">Bonardell Lenzano, R. (2012). “La hipoteca naval (I) y (II). Cuestiones generales y reglas de constitución”, en García-Pita y Lastres, J. L. (dir.) y Quintans, R. y Díaz de la Rosa (eds.). </w:t>
      </w:r>
      <w:r w:rsidRPr="00E3148A">
        <w:rPr>
          <w:rFonts w:ascii="Arial" w:hAnsi="Arial" w:cs="Arial"/>
          <w:i/>
        </w:rPr>
        <w:t>Estudios de Derecho marítimo</w:t>
      </w:r>
      <w:r w:rsidRPr="00E3148A">
        <w:rPr>
          <w:rFonts w:ascii="Arial" w:hAnsi="Arial" w:cs="Arial"/>
        </w:rPr>
        <w:t>, Navarra: Gobierno de España – Ministerio de Ciencia e Innovación y Thomson Reuters Aranzadi, pp. 317 a 340 y 341 a 374.</w:t>
      </w:r>
    </w:p>
    <w:p w14:paraId="261276F3" w14:textId="77777777" w:rsidR="0080507D" w:rsidRPr="00E3148A" w:rsidRDefault="0080507D" w:rsidP="0080507D">
      <w:pPr>
        <w:jc w:val="both"/>
        <w:rPr>
          <w:rFonts w:ascii="Arial" w:hAnsi="Arial" w:cs="Arial"/>
        </w:rPr>
      </w:pPr>
      <w:r w:rsidRPr="00E3148A">
        <w:rPr>
          <w:rFonts w:ascii="Arial" w:hAnsi="Arial" w:cs="Arial"/>
        </w:rPr>
        <w:t xml:space="preserve">Casas, J. (2014). “La Ley 14/14 de Navegación Marítima desde una óptica notarial”. </w:t>
      </w:r>
      <w:r w:rsidRPr="00E3148A">
        <w:rPr>
          <w:rFonts w:ascii="Arial" w:hAnsi="Arial" w:cs="Arial"/>
          <w:i/>
        </w:rPr>
        <w:t>El Notario del Siglo XXI</w:t>
      </w:r>
      <w:r w:rsidRPr="00E3148A">
        <w:rPr>
          <w:rFonts w:ascii="Arial" w:hAnsi="Arial" w:cs="Arial"/>
        </w:rPr>
        <w:t xml:space="preserve">, núm. 57, septiembre-octubre 2014. </w:t>
      </w:r>
    </w:p>
    <w:p w14:paraId="2D6A1A07" w14:textId="77777777" w:rsidR="0080507D" w:rsidRPr="00E3148A" w:rsidRDefault="0080507D" w:rsidP="0080507D">
      <w:pPr>
        <w:jc w:val="both"/>
        <w:rPr>
          <w:rFonts w:ascii="Arial" w:hAnsi="Arial" w:cs="Arial"/>
          <w:b/>
        </w:rPr>
      </w:pPr>
      <w:r w:rsidRPr="00E3148A">
        <w:rPr>
          <w:rFonts w:ascii="Arial" w:hAnsi="Arial" w:cs="Arial"/>
        </w:rPr>
        <w:t xml:space="preserve">Celis Blombren, L. G. (2012). </w:t>
      </w:r>
      <w:r w:rsidRPr="00E3148A">
        <w:rPr>
          <w:rFonts w:ascii="Arial" w:hAnsi="Arial" w:cs="Arial"/>
          <w:i/>
        </w:rPr>
        <w:t>El tratamiento jurídico de los créditos marítimos privilegiados y la hipoteca naval: análisis comparativo del Derecho salvadoreño y el Derecho marítimo internacional</w:t>
      </w:r>
      <w:r w:rsidRPr="00E3148A">
        <w:rPr>
          <w:rFonts w:ascii="Arial" w:hAnsi="Arial" w:cs="Arial"/>
        </w:rPr>
        <w:t xml:space="preserve">. Barcelona: tesis doctoral inédita dirigida por Martínez Jiménez, M. I. </w:t>
      </w:r>
    </w:p>
    <w:p w14:paraId="5A753889" w14:textId="77777777" w:rsidR="0080507D" w:rsidRPr="00E3148A" w:rsidRDefault="0080507D" w:rsidP="0080507D">
      <w:pPr>
        <w:jc w:val="both"/>
        <w:rPr>
          <w:rFonts w:ascii="Arial" w:hAnsi="Arial" w:cs="Arial"/>
          <w:b/>
        </w:rPr>
      </w:pPr>
      <w:r w:rsidRPr="00E3148A">
        <w:rPr>
          <w:rFonts w:ascii="Arial" w:hAnsi="Arial" w:cs="Arial"/>
        </w:rPr>
        <w:t xml:space="preserve">Fernández Rozas, J. C., Arenas, R. y De Miguel, P. A. (2007), </w:t>
      </w:r>
      <w:r w:rsidRPr="00E3148A">
        <w:rPr>
          <w:rFonts w:ascii="Arial" w:hAnsi="Arial" w:cs="Arial"/>
          <w:i/>
        </w:rPr>
        <w:t>Derecho de los negocios internacionales</w:t>
      </w:r>
      <w:r w:rsidRPr="00E3148A">
        <w:rPr>
          <w:rFonts w:ascii="Arial" w:hAnsi="Arial" w:cs="Arial"/>
        </w:rPr>
        <w:t>. Madrid: Iustel.</w:t>
      </w:r>
    </w:p>
    <w:p w14:paraId="5E06D03C" w14:textId="77777777" w:rsidR="0080507D" w:rsidRPr="00E3148A" w:rsidRDefault="0080507D" w:rsidP="0080507D">
      <w:pPr>
        <w:jc w:val="both"/>
        <w:rPr>
          <w:rFonts w:ascii="Arial" w:hAnsi="Arial" w:cs="Arial"/>
          <w:b/>
        </w:rPr>
      </w:pPr>
      <w:r w:rsidRPr="00E3148A">
        <w:rPr>
          <w:rFonts w:ascii="Arial" w:hAnsi="Arial" w:cs="Arial"/>
        </w:rPr>
        <w:t xml:space="preserve">Gabaldón García, J. L. (2001). </w:t>
      </w:r>
      <w:r w:rsidRPr="00E3148A">
        <w:rPr>
          <w:rFonts w:ascii="Arial" w:hAnsi="Arial" w:cs="Arial"/>
          <w:i/>
        </w:rPr>
        <w:t>La hipoteca naval: Derecho comparado y Derecho uniforme</w:t>
      </w:r>
      <w:r w:rsidRPr="00E3148A">
        <w:rPr>
          <w:rFonts w:ascii="Arial" w:hAnsi="Arial" w:cs="Arial"/>
        </w:rPr>
        <w:t>. Vitoria-Gasteiz: Gobierno Vasco.</w:t>
      </w:r>
    </w:p>
    <w:p w14:paraId="466F804A" w14:textId="77777777" w:rsidR="0080507D" w:rsidRPr="00E3148A" w:rsidRDefault="0080507D" w:rsidP="0080507D">
      <w:pPr>
        <w:jc w:val="both"/>
        <w:rPr>
          <w:rFonts w:ascii="Arial" w:hAnsi="Arial" w:cs="Arial"/>
        </w:rPr>
      </w:pPr>
      <w:r w:rsidRPr="00E3148A">
        <w:rPr>
          <w:rFonts w:ascii="Arial" w:hAnsi="Arial" w:cs="Arial"/>
        </w:rPr>
        <w:t xml:space="preserve">García-Pita y Lastres, J. L. (2019). “El nuevo régimen de la hipoteca naval en la jurisprudencia y en la doctrina registral”, en Emparanza, A. y Martín Osante, J. M. (dirs.): </w:t>
      </w:r>
      <w:r w:rsidRPr="00E3148A">
        <w:rPr>
          <w:rFonts w:ascii="Arial" w:hAnsi="Arial" w:cs="Arial"/>
          <w:i/>
        </w:rPr>
        <w:t>Ley de Navegación Marítima: balance de su aplicación práctica</w:t>
      </w:r>
      <w:r w:rsidRPr="00E3148A">
        <w:rPr>
          <w:rFonts w:ascii="Arial" w:hAnsi="Arial" w:cs="Arial"/>
        </w:rPr>
        <w:t xml:space="preserve">. Madrid, Barcelona, Buenos Aires, Sâo Paulo: Marcial Pons, pp. 143-264. </w:t>
      </w:r>
    </w:p>
    <w:p w14:paraId="3E995F57" w14:textId="77777777" w:rsidR="0080507D" w:rsidRPr="00E3148A" w:rsidRDefault="0080507D" w:rsidP="0080507D">
      <w:pPr>
        <w:jc w:val="both"/>
        <w:rPr>
          <w:rFonts w:ascii="Arial" w:hAnsi="Arial" w:cs="Arial"/>
          <w:b/>
        </w:rPr>
      </w:pPr>
      <w:r w:rsidRPr="00E3148A">
        <w:rPr>
          <w:rFonts w:ascii="Arial" w:hAnsi="Arial" w:cs="Arial"/>
        </w:rPr>
        <w:t xml:space="preserve">Martínez de Azcoitia, L. y Sánchez-Fayos, J. (2017), “La hipoteca naval en el ordenamiento jurídico español tras la entrada en vigor de la Ley 14/2014, de navegación marítima”. </w:t>
      </w:r>
      <w:r w:rsidRPr="00E3148A">
        <w:rPr>
          <w:rFonts w:ascii="Arial" w:hAnsi="Arial" w:cs="Arial"/>
          <w:i/>
        </w:rPr>
        <w:t>Revista de Derecho del Transporte</w:t>
      </w:r>
      <w:r w:rsidRPr="00E3148A">
        <w:rPr>
          <w:rFonts w:ascii="Arial" w:hAnsi="Arial" w:cs="Arial"/>
        </w:rPr>
        <w:t xml:space="preserve">, núm. 19, pp. 143 a 172. </w:t>
      </w:r>
    </w:p>
    <w:p w14:paraId="1CEB58E3" w14:textId="77777777" w:rsidR="0080507D" w:rsidRPr="00E3148A" w:rsidRDefault="0080507D" w:rsidP="0080507D">
      <w:pPr>
        <w:jc w:val="both"/>
        <w:rPr>
          <w:rFonts w:ascii="Arial" w:hAnsi="Arial" w:cs="Arial"/>
        </w:rPr>
      </w:pPr>
      <w:r w:rsidRPr="00E3148A">
        <w:rPr>
          <w:rFonts w:ascii="Arial" w:hAnsi="Arial" w:cs="Arial"/>
        </w:rPr>
        <w:t xml:space="preserve">Pejovés Macedo, J. A. (1999). "La reforma del derecho marítimo peruano". </w:t>
      </w:r>
      <w:r w:rsidRPr="00E3148A">
        <w:rPr>
          <w:rFonts w:ascii="Arial" w:hAnsi="Arial" w:cs="Arial"/>
          <w:i/>
          <w:iCs/>
        </w:rPr>
        <w:t>Anuario de Derecho Marítimo</w:t>
      </w:r>
      <w:r w:rsidRPr="00E3148A">
        <w:rPr>
          <w:rFonts w:ascii="Arial" w:hAnsi="Arial" w:cs="Arial"/>
        </w:rPr>
        <w:t>, vol. XVI. Barcelona: Escuela de Administración Marítima.</w:t>
      </w:r>
    </w:p>
    <w:p w14:paraId="0BBDAC7F" w14:textId="77777777" w:rsidR="0080507D" w:rsidRPr="00E3148A" w:rsidRDefault="0080507D" w:rsidP="0080507D">
      <w:pPr>
        <w:jc w:val="both"/>
        <w:rPr>
          <w:rFonts w:ascii="Arial" w:hAnsi="Arial" w:cs="Arial"/>
          <w:b/>
          <w:bCs/>
        </w:rPr>
      </w:pPr>
      <w:r w:rsidRPr="00E3148A">
        <w:rPr>
          <w:rFonts w:ascii="Arial" w:hAnsi="Arial" w:cs="Arial"/>
        </w:rPr>
        <w:t xml:space="preserve">Pejovés Macedo, J. A. (2007). </w:t>
      </w:r>
      <w:r w:rsidRPr="00E3148A">
        <w:rPr>
          <w:rFonts w:ascii="Arial" w:hAnsi="Arial" w:cs="Arial"/>
          <w:i/>
          <w:iCs/>
        </w:rPr>
        <w:t>Derecho marítimo, 25 ensayos (transporte marítimo, multimodal y puertos)</w:t>
      </w:r>
      <w:r w:rsidRPr="00E3148A">
        <w:rPr>
          <w:rFonts w:ascii="Arial" w:hAnsi="Arial" w:cs="Arial"/>
        </w:rPr>
        <w:t>. Lima: Cultural Cuzco.</w:t>
      </w:r>
    </w:p>
    <w:p w14:paraId="068F482D" w14:textId="77777777" w:rsidR="0080507D" w:rsidRPr="00E3148A" w:rsidRDefault="0080507D" w:rsidP="0080507D">
      <w:pPr>
        <w:pStyle w:val="Textonotapie"/>
        <w:jc w:val="both"/>
        <w:rPr>
          <w:rFonts w:ascii="Arial" w:hAnsi="Arial" w:cs="Arial"/>
          <w:sz w:val="24"/>
          <w:szCs w:val="24"/>
          <w:lang w:val="en-US"/>
        </w:rPr>
      </w:pPr>
      <w:r w:rsidRPr="00E3148A">
        <w:rPr>
          <w:rFonts w:ascii="Arial" w:hAnsi="Arial" w:cs="Arial"/>
          <w:sz w:val="24"/>
          <w:szCs w:val="24"/>
        </w:rPr>
        <w:t xml:space="preserve">Pellegrino, F. (2017). “The International Convention on Maritime Liens and Mortgages 1993”, en Fotinopoulo, O. y Martín Osante, J. M. (dir.). </w:t>
      </w:r>
      <w:r w:rsidRPr="00E3148A">
        <w:rPr>
          <w:rFonts w:ascii="Arial" w:hAnsi="Arial" w:cs="Arial"/>
          <w:i/>
          <w:sz w:val="24"/>
          <w:szCs w:val="24"/>
          <w:lang w:val="en-GB"/>
        </w:rPr>
        <w:t xml:space="preserve">New trends in maritime law. </w:t>
      </w:r>
      <w:r w:rsidRPr="00E3148A">
        <w:rPr>
          <w:rFonts w:ascii="Arial" w:hAnsi="Arial" w:cs="Arial"/>
          <w:i/>
          <w:sz w:val="24"/>
          <w:szCs w:val="24"/>
          <w:lang w:val="en-US"/>
        </w:rPr>
        <w:t>Maritime liens, arrest of ships, mortgages and forced sale</w:t>
      </w:r>
      <w:r w:rsidRPr="00E3148A">
        <w:rPr>
          <w:rFonts w:ascii="Arial" w:hAnsi="Arial" w:cs="Arial"/>
          <w:sz w:val="24"/>
          <w:szCs w:val="24"/>
          <w:lang w:val="en-US"/>
        </w:rPr>
        <w:t>. Navarra: Thomson Reuters Aranzadi, pp. 67-77.</w:t>
      </w:r>
    </w:p>
    <w:p w14:paraId="1B36A9CA" w14:textId="41D09720" w:rsidR="00CE0D10" w:rsidRPr="00E3148A" w:rsidRDefault="00CE0D10" w:rsidP="0080507D">
      <w:pPr>
        <w:jc w:val="both"/>
        <w:rPr>
          <w:rFonts w:ascii="Arial" w:hAnsi="Arial" w:cs="Arial"/>
        </w:rPr>
      </w:pPr>
    </w:p>
    <w:sectPr w:rsidR="00CE0D10" w:rsidRPr="00E3148A">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AF177" w14:textId="77777777" w:rsidR="00750702" w:rsidRDefault="00750702" w:rsidP="00750702">
      <w:r>
        <w:separator/>
      </w:r>
    </w:p>
  </w:endnote>
  <w:endnote w:type="continuationSeparator" w:id="0">
    <w:p w14:paraId="21873082" w14:textId="77777777" w:rsidR="00750702" w:rsidRDefault="00750702" w:rsidP="00750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2629467"/>
      <w:docPartObj>
        <w:docPartGallery w:val="Page Numbers (Bottom of Page)"/>
        <w:docPartUnique/>
      </w:docPartObj>
    </w:sdtPr>
    <w:sdtContent>
      <w:p w14:paraId="14512980" w14:textId="2611832B" w:rsidR="00E3148A" w:rsidRDefault="00E3148A">
        <w:pPr>
          <w:pStyle w:val="Piedepgina"/>
          <w:jc w:val="right"/>
        </w:pPr>
        <w:r>
          <w:fldChar w:fldCharType="begin"/>
        </w:r>
        <w:r>
          <w:instrText>PAGE   \* MERGEFORMAT</w:instrText>
        </w:r>
        <w:r>
          <w:fldChar w:fldCharType="separate"/>
        </w:r>
        <w:r>
          <w:t>2</w:t>
        </w:r>
        <w:r>
          <w:fldChar w:fldCharType="end"/>
        </w:r>
      </w:p>
    </w:sdtContent>
  </w:sdt>
  <w:p w14:paraId="00006766" w14:textId="77777777" w:rsidR="00E3148A" w:rsidRDefault="00E3148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E1DF52" w14:textId="77777777" w:rsidR="00750702" w:rsidRDefault="00750702" w:rsidP="00750702">
      <w:r>
        <w:separator/>
      </w:r>
    </w:p>
  </w:footnote>
  <w:footnote w:type="continuationSeparator" w:id="0">
    <w:p w14:paraId="47AC8A6C" w14:textId="77777777" w:rsidR="00750702" w:rsidRDefault="00750702" w:rsidP="00750702">
      <w:r>
        <w:continuationSeparator/>
      </w:r>
    </w:p>
  </w:footnote>
  <w:footnote w:id="1">
    <w:p w14:paraId="3712E513" w14:textId="0D364A7C" w:rsidR="00750702" w:rsidRPr="00E3148A" w:rsidRDefault="00750702" w:rsidP="00541760">
      <w:pPr>
        <w:jc w:val="both"/>
        <w:rPr>
          <w:rFonts w:ascii="Arial" w:hAnsi="Arial" w:cs="Arial"/>
          <w:sz w:val="20"/>
          <w:szCs w:val="20"/>
        </w:rPr>
      </w:pPr>
      <w:r w:rsidRPr="00E3148A">
        <w:rPr>
          <w:rStyle w:val="Refdenotaalpie"/>
          <w:rFonts w:ascii="Arial" w:eastAsiaTheme="majorEastAsia" w:hAnsi="Arial" w:cs="Arial"/>
          <w:sz w:val="20"/>
          <w:szCs w:val="20"/>
        </w:rPr>
        <w:t>*</w:t>
      </w:r>
      <w:r w:rsidRPr="00E3148A">
        <w:rPr>
          <w:rFonts w:ascii="Arial" w:hAnsi="Arial" w:cs="Arial"/>
          <w:sz w:val="20"/>
          <w:szCs w:val="20"/>
        </w:rPr>
        <w:t xml:space="preserve"> Doctor en Derecho. Catedrático contratado de Derecho mercantil y Coordinador del Máster en Derecho de los Negocios on line de la Universidad Autónoma de Barcelona</w:t>
      </w:r>
      <w:r w:rsidR="00E3148A">
        <w:rPr>
          <w:rFonts w:ascii="Arial" w:hAnsi="Arial" w:cs="Arial"/>
          <w:sz w:val="20"/>
          <w:szCs w:val="20"/>
        </w:rPr>
        <w:t>:</w:t>
      </w:r>
      <w:r w:rsidR="004D1F0D">
        <w:rPr>
          <w:rFonts w:ascii="Arial" w:hAnsi="Arial" w:cs="Arial"/>
          <w:sz w:val="20"/>
          <w:szCs w:val="20"/>
        </w:rPr>
        <w:t xml:space="preserve"> </w:t>
      </w:r>
      <w:hyperlink r:id="rId1" w:history="1">
        <w:r w:rsidR="00E3148A" w:rsidRPr="001F3D97">
          <w:rPr>
            <w:rStyle w:val="Hipervnculo"/>
            <w:rFonts w:ascii="Arial" w:hAnsi="Arial" w:cs="Arial"/>
            <w:sz w:val="20"/>
            <w:szCs w:val="20"/>
          </w:rPr>
          <w:t>https://masterenderechodelosnegocios.uab.cat/</w:t>
        </w:r>
      </w:hyperlink>
      <w:r w:rsidR="00E3148A">
        <w:rPr>
          <w:rFonts w:ascii="Arial" w:hAnsi="Arial" w:cs="Arial"/>
          <w:sz w:val="20"/>
          <w:szCs w:val="20"/>
        </w:rPr>
        <w:t xml:space="preserve"> </w:t>
      </w:r>
      <w:r w:rsidRPr="00E3148A">
        <w:rPr>
          <w:rFonts w:ascii="Arial" w:hAnsi="Arial" w:cs="Arial"/>
          <w:sz w:val="20"/>
          <w:szCs w:val="20"/>
        </w:rPr>
        <w:t xml:space="preserve">Ha trabajado como juez sustituto y abogado maritimista, de seguros y de los transportes. Código ORCID: </w:t>
      </w:r>
      <w:r w:rsidRPr="00E3148A">
        <w:rPr>
          <w:rFonts w:ascii="Arial" w:hAnsi="Arial" w:cs="Arial"/>
          <w:sz w:val="20"/>
          <w:szCs w:val="20"/>
          <w:shd w:val="clear" w:color="auto" w:fill="FFFFFF"/>
        </w:rPr>
        <w:t>0000-0002-6023-690X</w:t>
      </w:r>
      <w:r w:rsidRPr="00E3148A">
        <w:rPr>
          <w:rFonts w:ascii="Arial" w:hAnsi="Arial" w:cs="Arial"/>
          <w:sz w:val="20"/>
          <w:szCs w:val="20"/>
        </w:rPr>
        <w:t>. Correo electrónico: eliseo.sierra@uab.cat.</w:t>
      </w:r>
    </w:p>
  </w:footnote>
  <w:footnote w:id="2">
    <w:p w14:paraId="6AEAE457" w14:textId="77777777" w:rsidR="00750702" w:rsidRPr="00E3148A" w:rsidRDefault="00750702" w:rsidP="00541760">
      <w:pPr>
        <w:pStyle w:val="Textonotapie"/>
        <w:jc w:val="both"/>
        <w:rPr>
          <w:rFonts w:ascii="Arial" w:hAnsi="Arial" w:cs="Arial"/>
          <w:lang w:val="ca-ES"/>
        </w:rPr>
      </w:pPr>
      <w:r w:rsidRPr="00E3148A">
        <w:rPr>
          <w:rStyle w:val="Refdenotaalpie"/>
          <w:rFonts w:ascii="Arial" w:eastAsiaTheme="majorEastAsia" w:hAnsi="Arial" w:cs="Arial"/>
          <w:sz w:val="20"/>
          <w:szCs w:val="20"/>
        </w:rPr>
        <w:t>**</w:t>
      </w:r>
      <w:r w:rsidRPr="00E3148A">
        <w:rPr>
          <w:rFonts w:ascii="Arial" w:hAnsi="Arial" w:cs="Arial"/>
        </w:rPr>
        <w:t xml:space="preserve"> Magíster en Derecho. Profesor de la Facultad de Derecho de la Universidad de Lima, Perú, e investigador del Instituto de Investigación Científica (IDIC) por la misma casa de estudios. Árbitro y abogado maritimista. Código ORCID: 0000-0002-6507-9368. Correo electrónico: jpejoves@ulima.edu.pe</w:t>
      </w:r>
    </w:p>
  </w:footnote>
  <w:footnote w:id="3">
    <w:p w14:paraId="73585D86" w14:textId="77777777" w:rsidR="00750702" w:rsidRPr="00E3148A" w:rsidRDefault="00750702" w:rsidP="00541760">
      <w:pPr>
        <w:pStyle w:val="Textonotapie"/>
        <w:jc w:val="both"/>
        <w:rPr>
          <w:rFonts w:ascii="Arial" w:hAnsi="Arial" w:cs="Arial"/>
        </w:rPr>
      </w:pPr>
      <w:r w:rsidRPr="00E3148A">
        <w:rPr>
          <w:rStyle w:val="Refdenotaalpie"/>
          <w:rFonts w:ascii="Arial" w:eastAsiaTheme="majorEastAsia" w:hAnsi="Arial" w:cs="Arial"/>
          <w:sz w:val="20"/>
          <w:szCs w:val="20"/>
        </w:rPr>
        <w:footnoteRef/>
      </w:r>
      <w:r w:rsidRPr="00E3148A">
        <w:rPr>
          <w:rFonts w:ascii="Arial" w:hAnsi="Arial" w:cs="Arial"/>
        </w:rPr>
        <w:t xml:space="preserve"> </w:t>
      </w:r>
      <w:r w:rsidRPr="00E3148A">
        <w:rPr>
          <w:rFonts w:ascii="Arial" w:hAnsi="Arial" w:cs="Arial"/>
          <w:i/>
        </w:rPr>
        <w:t>Vid</w:t>
      </w:r>
      <w:r w:rsidRPr="00E3148A">
        <w:rPr>
          <w:rFonts w:ascii="Arial" w:hAnsi="Arial" w:cs="Arial"/>
        </w:rPr>
        <w:t xml:space="preserve"> GARCÍA-PITA, J. L.: “El nuevo régimen de la hipoteca naval en la jurisprudencia y en la doctrina registral”, en EMPARANZA, A. y MARTÍN OSANTE, J. M. (dirs.): </w:t>
      </w:r>
      <w:r w:rsidRPr="00E3148A">
        <w:rPr>
          <w:rFonts w:ascii="Arial" w:hAnsi="Arial" w:cs="Arial"/>
          <w:i/>
        </w:rPr>
        <w:t>Ley de Navegación Marítima: balance de su aplicación práctica</w:t>
      </w:r>
      <w:r w:rsidRPr="00E3148A">
        <w:rPr>
          <w:rFonts w:ascii="Arial" w:hAnsi="Arial" w:cs="Arial"/>
        </w:rPr>
        <w:t xml:space="preserve">, Marcial Pons, Madrid, Barcelona, Buenos Aires, Sâo Paulo, 2019, p. 225; MARTÍNEZ DE AZCOITIA, L. y SÁNCHEZ-FAYOS, J.: “La hipoteca naval en el ordenamiento jurídico español tras la entrada en vigor de la Ley 14/2014, de navegación marítima”, en </w:t>
      </w:r>
      <w:r w:rsidRPr="00E3148A">
        <w:rPr>
          <w:rFonts w:ascii="Arial" w:hAnsi="Arial" w:cs="Arial"/>
          <w:i/>
        </w:rPr>
        <w:t>Revista de Derecho del Transporte</w:t>
      </w:r>
      <w:r w:rsidRPr="00E3148A">
        <w:rPr>
          <w:rFonts w:ascii="Arial" w:hAnsi="Arial" w:cs="Arial"/>
        </w:rPr>
        <w:t xml:space="preserve">, núm. 19, 2017, p. 154; ARROYO MARTÍNEZ, I. y RUEDA MARTÍNEZ, J.-A.: “Comentarios al art. 127”, en ARROYO MARTÍNEZ, I. y RUEDA MARTÍNEZ, J.-A.: </w:t>
      </w:r>
      <w:r w:rsidRPr="00E3148A">
        <w:rPr>
          <w:rFonts w:ascii="Arial" w:hAnsi="Arial" w:cs="Arial"/>
          <w:i/>
        </w:rPr>
        <w:t>Comentarios a la Ley 14/2014, de 24 de julio, de navegación marítima</w:t>
      </w:r>
      <w:r w:rsidRPr="00E3148A">
        <w:rPr>
          <w:rFonts w:ascii="Arial" w:hAnsi="Arial" w:cs="Arial"/>
        </w:rPr>
        <w:t xml:space="preserve">, Civitas Thomson Reuters, Madrid, 2016, p. 385; GABALDÓN GARCÍA, J. L.: </w:t>
      </w:r>
      <w:r w:rsidRPr="00E3148A">
        <w:rPr>
          <w:rFonts w:ascii="Arial" w:hAnsi="Arial" w:cs="Arial"/>
          <w:i/>
        </w:rPr>
        <w:t>La hipoteca naval: Derecho comparado y Derecho uniforme</w:t>
      </w:r>
      <w:r w:rsidRPr="00E3148A">
        <w:rPr>
          <w:rFonts w:ascii="Arial" w:hAnsi="Arial" w:cs="Arial"/>
        </w:rPr>
        <w:t xml:space="preserve">, Gobierno Vasco, Vitoria-Gasteiz, 2001, p. 61; BAENA, P.: </w:t>
      </w:r>
      <w:r w:rsidRPr="00E3148A">
        <w:rPr>
          <w:rFonts w:ascii="Arial" w:hAnsi="Arial" w:cs="Arial"/>
          <w:i/>
        </w:rPr>
        <w:t>Derecho de la navegación. Volumen 2. Privilegios, hipotecas y embargos preventivos sobre el buque y aeronave</w:t>
      </w:r>
      <w:r w:rsidRPr="00E3148A">
        <w:rPr>
          <w:rFonts w:ascii="Arial" w:hAnsi="Arial" w:cs="Arial"/>
        </w:rPr>
        <w:t xml:space="preserve">, Marcial Pons, Madrid-Barcelona, 2002, p. 140 y BONARDELL LENZANO, R.: “La hipoteca naval (II). El derecho real de hipoteca naval, su ejecución y extinción”, en GARCÍA-PITA y LASTRES, J. L. (dir.) y QUINTANS, R. y DÍAZ DE LA ROSA, A. (eds.): </w:t>
      </w:r>
      <w:r w:rsidRPr="00E3148A">
        <w:rPr>
          <w:rFonts w:ascii="Arial" w:hAnsi="Arial" w:cs="Arial"/>
          <w:i/>
        </w:rPr>
        <w:t>Estudios de Derecho marítimo</w:t>
      </w:r>
      <w:r w:rsidRPr="00E3148A">
        <w:rPr>
          <w:rFonts w:ascii="Arial" w:hAnsi="Arial" w:cs="Arial"/>
        </w:rPr>
        <w:t>, Gobierno de España – Ministerio de Ciencia e Innovación y Thomson Reuters Aranzadi, Cizur Menor, 2012, p. 341.</w:t>
      </w:r>
    </w:p>
  </w:footnote>
  <w:footnote w:id="4">
    <w:p w14:paraId="6ABDE0DB" w14:textId="31CC9F90" w:rsidR="00750702" w:rsidRPr="00E3148A" w:rsidRDefault="00750702"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Por ejemplo, </w:t>
      </w:r>
      <w:r w:rsidRPr="00E3148A">
        <w:rPr>
          <w:rFonts w:ascii="Arial" w:hAnsi="Arial" w:cs="Arial"/>
          <w:i/>
        </w:rPr>
        <w:t xml:space="preserve">vid </w:t>
      </w:r>
      <w:r w:rsidRPr="00E3148A">
        <w:rPr>
          <w:rFonts w:ascii="Arial" w:hAnsi="Arial" w:cs="Arial"/>
        </w:rPr>
        <w:t>Auto Audiencia Provincial (AAP) Barcelona, Sección 19ª, 9 octubre 2020 (</w:t>
      </w:r>
      <w:r w:rsidRPr="00E3148A">
        <w:rPr>
          <w:rFonts w:ascii="Arial" w:hAnsi="Arial" w:cs="Arial"/>
          <w:i/>
        </w:rPr>
        <w:t>JUR\2020\326439</w:t>
      </w:r>
      <w:r w:rsidRPr="00E3148A">
        <w:rPr>
          <w:rFonts w:ascii="Arial" w:hAnsi="Arial" w:cs="Arial"/>
        </w:rPr>
        <w:t>), sobre construcción de buque financiada y garantizada con hipoteca naval y varias fianzas personales; Sentencia Audiencia Provincial (SAP) Barcelona, Sección 16ª, 21 abril 2020 (</w:t>
      </w:r>
      <w:r w:rsidRPr="00E3148A">
        <w:rPr>
          <w:rFonts w:ascii="Arial" w:hAnsi="Arial" w:cs="Arial"/>
          <w:i/>
        </w:rPr>
        <w:t>JUR\2020\158702</w:t>
      </w:r>
      <w:r w:rsidRPr="00E3148A">
        <w:rPr>
          <w:rFonts w:ascii="Arial" w:hAnsi="Arial" w:cs="Arial"/>
        </w:rPr>
        <w:t>), donde, junto a la hipoteca naval, la administradora de la sociedad y otra persona constituyeron fianza personal y solidaria de la sociedad prestataria; SAP Cádiz, Sección 5ª, 24 septiembre 2018 (</w:t>
      </w:r>
      <w:r w:rsidRPr="00E3148A">
        <w:rPr>
          <w:rFonts w:ascii="Arial" w:hAnsi="Arial" w:cs="Arial"/>
          <w:i/>
        </w:rPr>
        <w:t>JUR\2019\22843</w:t>
      </w:r>
      <w:r w:rsidRPr="00E3148A">
        <w:rPr>
          <w:rFonts w:ascii="Arial" w:hAnsi="Arial" w:cs="Arial"/>
        </w:rPr>
        <w:t>), de fianza personal prestada por trabajador por cuenta ajena para adquirir por la empresa un barco mediante préstamo con garantía hipotecaria naval.</w:t>
      </w:r>
    </w:p>
  </w:footnote>
  <w:footnote w:id="5">
    <w:p w14:paraId="6B3A47C9" w14:textId="4FF52B8D" w:rsidR="00750702" w:rsidRPr="00E3148A" w:rsidRDefault="00750702"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S</w:t>
      </w:r>
      <w:r w:rsidR="000209A4" w:rsidRPr="00E3148A">
        <w:rPr>
          <w:rFonts w:ascii="Arial" w:hAnsi="Arial" w:cs="Arial"/>
        </w:rPr>
        <w:t xml:space="preserve">AP </w:t>
      </w:r>
      <w:r w:rsidRPr="00E3148A">
        <w:rPr>
          <w:rFonts w:ascii="Arial" w:hAnsi="Arial" w:cs="Arial"/>
        </w:rPr>
        <w:t>Valencia, Sección 8ª, 17 octubre 2018 (</w:t>
      </w:r>
      <w:r w:rsidRPr="00E3148A">
        <w:rPr>
          <w:rFonts w:ascii="Arial" w:hAnsi="Arial" w:cs="Arial"/>
          <w:i/>
        </w:rPr>
        <w:t>JUR\2019\3769</w:t>
      </w:r>
      <w:r w:rsidRPr="00E3148A">
        <w:rPr>
          <w:rFonts w:ascii="Arial" w:hAnsi="Arial" w:cs="Arial"/>
        </w:rPr>
        <w:t>). Ciertas obligaciones pecuniarias de una empresa marítima fueron garantizadas personalmente mediante diversos pagarés con aval personal y con hipoteca naval sobre un buque. Tras la ejecución hipotecaria, el precio de remate obtenido fue insuficiente para cumplir con las obligaciones y el acreedor reclamó con éxito al avalista.</w:t>
      </w:r>
    </w:p>
  </w:footnote>
  <w:footnote w:id="6">
    <w:p w14:paraId="46094AAE" w14:textId="3238D962" w:rsidR="002E591A" w:rsidRPr="00E3148A" w:rsidRDefault="002E591A"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Web de las ONU, información disponible en </w:t>
      </w:r>
      <w:hyperlink r:id="rId2" w:history="1">
        <w:r w:rsidRPr="00E3148A">
          <w:rPr>
            <w:rStyle w:val="Hipervnculo"/>
            <w:rFonts w:ascii="Arial" w:hAnsi="Arial" w:cs="Arial"/>
          </w:rPr>
          <w:t>https://shorturl.at/gjlof</w:t>
        </w:r>
      </w:hyperlink>
      <w:r w:rsidRPr="00E3148A">
        <w:rPr>
          <w:rFonts w:ascii="Arial" w:hAnsi="Arial" w:cs="Arial"/>
        </w:rPr>
        <w:t>, consultada el 10 de julio de 2024.</w:t>
      </w:r>
    </w:p>
  </w:footnote>
  <w:footnote w:id="7">
    <w:p w14:paraId="234485B8" w14:textId="4C95605E" w:rsidR="002E591A" w:rsidRPr="00E3148A" w:rsidRDefault="002E591A"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Sentencia del Tribunal Supremo (STS), Sala 1ª, 31 octubre 2002 (</w:t>
      </w:r>
      <w:r w:rsidRPr="00E3148A">
        <w:rPr>
          <w:rFonts w:ascii="Arial" w:hAnsi="Arial" w:cs="Arial"/>
          <w:i/>
        </w:rPr>
        <w:t>RJ\2002\9733</w:t>
      </w:r>
      <w:r w:rsidRPr="00E3148A">
        <w:rPr>
          <w:rFonts w:ascii="Arial" w:hAnsi="Arial" w:cs="Arial"/>
        </w:rPr>
        <w:t>), de subasta de un buque hipotecado de bandera maltesa, embargado preventivamente en el puerto de Las Palmas de Gran Canaria.</w:t>
      </w:r>
    </w:p>
  </w:footnote>
  <w:footnote w:id="8">
    <w:p w14:paraId="6B6B5863" w14:textId="6049561B" w:rsidR="000209A4" w:rsidRPr="00E3148A" w:rsidRDefault="000209A4"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Por la aplicación supletoria de las normas de la LH, que contemplan la posibilidad de hipotecar varias fincas para el mismo crédito (arts. 119 a 121).</w:t>
      </w:r>
    </w:p>
  </w:footnote>
  <w:footnote w:id="9">
    <w:p w14:paraId="2220C4C6" w14:textId="6AF28607" w:rsidR="004F57C5" w:rsidRPr="00E3148A" w:rsidRDefault="004F57C5"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En AAP Huelva, Sección 2ª, 7 octubre 2016 (</w:t>
      </w:r>
      <w:r w:rsidRPr="00E3148A">
        <w:rPr>
          <w:rFonts w:ascii="Arial" w:hAnsi="Arial" w:cs="Arial"/>
          <w:i/>
        </w:rPr>
        <w:t>JUR\2017\11824</w:t>
      </w:r>
      <w:r w:rsidRPr="00E3148A">
        <w:rPr>
          <w:rFonts w:ascii="Arial" w:hAnsi="Arial" w:cs="Arial"/>
        </w:rPr>
        <w:t>), aborda un supuesto de hipoteca de varias fincas y de un buque de pesca en garantía del préstamo para adquirir el buque. El AAP Barcelona, Sección 16ª, 9 octubre 2020 (</w:t>
      </w:r>
      <w:r w:rsidRPr="00E3148A">
        <w:rPr>
          <w:rFonts w:ascii="Arial" w:hAnsi="Arial" w:cs="Arial"/>
          <w:i/>
        </w:rPr>
        <w:t>cit.</w:t>
      </w:r>
      <w:r w:rsidRPr="00E3148A">
        <w:rPr>
          <w:rFonts w:ascii="Arial" w:hAnsi="Arial" w:cs="Arial"/>
        </w:rPr>
        <w:t>), indica que un préstamo destinado a la construcción de un buque es un contrato sujeto al Derecho marítimo. Su naturaleza a efectos de competencia judicial de los Juzgados de lo Mercantil (y no los civiles) no cambia por el hecho de que, además de una hipoteca naval sobre el buque, se refuerce la garantía con una hipoteca inmobiliaria.</w:t>
      </w:r>
    </w:p>
  </w:footnote>
  <w:footnote w:id="10">
    <w:p w14:paraId="482FA26A" w14:textId="72E980DB" w:rsidR="004F57C5" w:rsidRPr="00E3148A" w:rsidRDefault="004F57C5"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Definida por la Real Academia de la Lengua Española como una «</w:t>
      </w:r>
      <w:r w:rsidRPr="00E3148A">
        <w:rPr>
          <w:rFonts w:ascii="Arial" w:hAnsi="Arial" w:cs="Arial"/>
          <w:i/>
        </w:rPr>
        <w:t>Plataforma de madera que se coloca en el mar para la cría o cultivo de mejillones y otros moluscos</w:t>
      </w:r>
      <w:r w:rsidRPr="00E3148A">
        <w:rPr>
          <w:rFonts w:ascii="Arial" w:hAnsi="Arial" w:cs="Arial"/>
        </w:rPr>
        <w:t>».</w:t>
      </w:r>
    </w:p>
  </w:footnote>
  <w:footnote w:id="11">
    <w:p w14:paraId="52DFD39A" w14:textId="77777777" w:rsidR="00C738A1" w:rsidRPr="00E3148A" w:rsidRDefault="00C738A1"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En la derogada Ley de Hipoteca Naval, se debía pactar expresamente su extensión objetiva (art. 8), mientras que en la LNM se incluye por Ley, salvo pacto expreso en contrario (art. 134.2). Por ejemplo, la SAP A Coruña, Sección 4ª, 12 abril 2018 (</w:t>
      </w:r>
      <w:r w:rsidRPr="00E3148A">
        <w:rPr>
          <w:rFonts w:ascii="Arial" w:hAnsi="Arial" w:cs="Arial"/>
          <w:i/>
        </w:rPr>
        <w:t>AC\2018\806</w:t>
      </w:r>
      <w:r w:rsidRPr="00E3148A">
        <w:rPr>
          <w:rFonts w:ascii="Arial" w:hAnsi="Arial" w:cs="Arial"/>
        </w:rPr>
        <w:t>), aborda un supuesto de pérdida total del buque por naufragio bajo la vigencia de la derogada Ley de Hipoteca Naval.</w:t>
      </w:r>
    </w:p>
  </w:footnote>
  <w:footnote w:id="12">
    <w:p w14:paraId="64807BC6" w14:textId="61A0096A" w:rsidR="00521BCC" w:rsidRPr="00E3148A" w:rsidRDefault="00521BCC" w:rsidP="00541760">
      <w:pPr>
        <w:jc w:val="both"/>
        <w:rPr>
          <w:rFonts w:ascii="Arial" w:hAnsi="Arial" w:cs="Arial"/>
          <w:sz w:val="20"/>
          <w:szCs w:val="20"/>
        </w:rPr>
      </w:pPr>
      <w:r w:rsidRPr="00E3148A">
        <w:rPr>
          <w:rStyle w:val="Refdenotaalpie"/>
          <w:rFonts w:ascii="Arial" w:hAnsi="Arial" w:cs="Arial"/>
          <w:sz w:val="20"/>
          <w:szCs w:val="20"/>
        </w:rPr>
        <w:footnoteRef/>
      </w:r>
      <w:r w:rsidRPr="00E3148A">
        <w:rPr>
          <w:rFonts w:ascii="Arial" w:hAnsi="Arial" w:cs="Arial"/>
          <w:sz w:val="20"/>
          <w:szCs w:val="20"/>
        </w:rPr>
        <w:t xml:space="preserve"> </w:t>
      </w:r>
      <w:r w:rsidRPr="00E3148A">
        <w:rPr>
          <w:rFonts w:ascii="Arial" w:hAnsi="Arial" w:cs="Arial"/>
          <w:i/>
          <w:sz w:val="20"/>
          <w:szCs w:val="20"/>
        </w:rPr>
        <w:t>Vid</w:t>
      </w:r>
      <w:r w:rsidRPr="00E3148A">
        <w:rPr>
          <w:rFonts w:ascii="Arial" w:hAnsi="Arial" w:cs="Arial"/>
          <w:sz w:val="20"/>
          <w:szCs w:val="20"/>
        </w:rPr>
        <w:t xml:space="preserve"> por ejemplo, SSTS, Sala 1ª, 18 diciembre 2012 (</w:t>
      </w:r>
      <w:r w:rsidRPr="00E3148A">
        <w:rPr>
          <w:rFonts w:ascii="Arial" w:hAnsi="Arial" w:cs="Arial"/>
          <w:i/>
          <w:sz w:val="20"/>
          <w:szCs w:val="20"/>
        </w:rPr>
        <w:t>RJ\2013\1621</w:t>
      </w:r>
      <w:r w:rsidRPr="00E3148A">
        <w:rPr>
          <w:rFonts w:ascii="Arial" w:hAnsi="Arial" w:cs="Arial"/>
          <w:sz w:val="20"/>
          <w:szCs w:val="20"/>
        </w:rPr>
        <w:t>); 13 febrero 2003 (</w:t>
      </w:r>
      <w:r w:rsidRPr="00E3148A">
        <w:rPr>
          <w:rFonts w:ascii="Arial" w:hAnsi="Arial" w:cs="Arial"/>
          <w:i/>
          <w:sz w:val="20"/>
          <w:szCs w:val="20"/>
        </w:rPr>
        <w:t>RJ\2003\1014</w:t>
      </w:r>
      <w:r w:rsidRPr="00E3148A">
        <w:rPr>
          <w:rFonts w:ascii="Arial" w:hAnsi="Arial" w:cs="Arial"/>
          <w:sz w:val="20"/>
          <w:szCs w:val="20"/>
        </w:rPr>
        <w:t>); 31 octubre 1997 (</w:t>
      </w:r>
      <w:r w:rsidRPr="00E3148A">
        <w:rPr>
          <w:rFonts w:ascii="Arial" w:hAnsi="Arial" w:cs="Arial"/>
          <w:i/>
          <w:sz w:val="20"/>
          <w:szCs w:val="20"/>
        </w:rPr>
        <w:t>RJ\2002\9733</w:t>
      </w:r>
      <w:r w:rsidRPr="00E3148A">
        <w:rPr>
          <w:rFonts w:ascii="Arial" w:hAnsi="Arial" w:cs="Arial"/>
          <w:sz w:val="20"/>
          <w:szCs w:val="20"/>
        </w:rPr>
        <w:t>); 15 octubre 1990 (</w:t>
      </w:r>
      <w:r w:rsidRPr="00E3148A">
        <w:rPr>
          <w:rFonts w:ascii="Arial" w:hAnsi="Arial" w:cs="Arial"/>
          <w:i/>
          <w:sz w:val="20"/>
          <w:szCs w:val="20"/>
        </w:rPr>
        <w:t>RJ\1990\7865</w:t>
      </w:r>
      <w:r w:rsidRPr="00E3148A">
        <w:rPr>
          <w:rFonts w:ascii="Arial" w:hAnsi="Arial" w:cs="Arial"/>
          <w:sz w:val="20"/>
          <w:szCs w:val="20"/>
        </w:rPr>
        <w:t>), entre otras.</w:t>
      </w:r>
    </w:p>
  </w:footnote>
  <w:footnote w:id="13">
    <w:p w14:paraId="712E1896" w14:textId="75BEF028" w:rsidR="000649E8" w:rsidRPr="00E3148A" w:rsidRDefault="000649E8"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0A01A5" w:rsidRPr="00E3148A">
        <w:rPr>
          <w:rFonts w:ascii="Arial" w:hAnsi="Arial" w:cs="Arial"/>
        </w:rPr>
        <w:t xml:space="preserve">Por ejemplo, la Resolución de la Dirección General de los Registros y del Notariado (RDGRN) 16 enero 2017 (publicada en </w:t>
      </w:r>
      <w:r w:rsidR="000A01A5" w:rsidRPr="00E3148A">
        <w:rPr>
          <w:rFonts w:ascii="Arial" w:hAnsi="Arial" w:cs="Arial"/>
          <w:i/>
        </w:rPr>
        <w:t>Boletín Oficial del Estado</w:t>
      </w:r>
      <w:r w:rsidR="000A01A5" w:rsidRPr="00E3148A">
        <w:rPr>
          <w:rFonts w:ascii="Arial" w:hAnsi="Arial" w:cs="Arial"/>
        </w:rPr>
        <w:t>, núm. 32, 7 de febrero de 2017), en donde se solicita la caducidad de cuatro hipotecas navales constituidas sobre un buque a favor del Estado Español, la Agencia Tributaria, en garantía de deuda ajena.</w:t>
      </w:r>
    </w:p>
  </w:footnote>
  <w:footnote w:id="14">
    <w:p w14:paraId="26A40526" w14:textId="77777777" w:rsidR="006E77C0" w:rsidRPr="00E3148A" w:rsidRDefault="00CA33F6" w:rsidP="00541760">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6E77C0" w:rsidRPr="00E3148A">
        <w:rPr>
          <w:rFonts w:ascii="Arial" w:hAnsi="Arial" w:cs="Arial"/>
        </w:rPr>
        <w:t xml:space="preserve">La RDGRN 26 diciembre 2018 (publicada en </w:t>
      </w:r>
      <w:r w:rsidR="006E77C0" w:rsidRPr="00E3148A">
        <w:rPr>
          <w:rFonts w:ascii="Arial" w:hAnsi="Arial" w:cs="Arial"/>
          <w:i/>
        </w:rPr>
        <w:t>Boletín Oficial del Estado</w:t>
      </w:r>
      <w:r w:rsidR="006E77C0" w:rsidRPr="00E3148A">
        <w:rPr>
          <w:rFonts w:ascii="Arial" w:hAnsi="Arial" w:cs="Arial"/>
        </w:rPr>
        <w:t xml:space="preserve">, núm. 24, de 28 de enero de 2019), trata de un supuesto de constitución de hipoteca naval sobre un buque a favor de una entidad de crédito, que a su vez actúa como agente de otras entidades de crédito. La póliza de constitución de la hipoteca naval reconocía a las </w:t>
      </w:r>
      <w:r w:rsidR="006E77C0" w:rsidRPr="00E3148A">
        <w:rPr>
          <w:rFonts w:ascii="Arial" w:hAnsi="Arial" w:cs="Arial"/>
          <w:i/>
        </w:rPr>
        <w:t xml:space="preserve">partes garantizadas </w:t>
      </w:r>
      <w:r w:rsidR="006E77C0" w:rsidRPr="00E3148A">
        <w:rPr>
          <w:rFonts w:ascii="Arial" w:hAnsi="Arial" w:cs="Arial"/>
        </w:rPr>
        <w:t>(</w:t>
      </w:r>
      <w:r w:rsidR="006E77C0" w:rsidRPr="00E3148A">
        <w:rPr>
          <w:rFonts w:ascii="Arial" w:hAnsi="Arial" w:cs="Arial"/>
          <w:i/>
        </w:rPr>
        <w:t>sic</w:t>
      </w:r>
      <w:r w:rsidR="006E77C0" w:rsidRPr="00E3148A">
        <w:rPr>
          <w:rFonts w:ascii="Arial" w:hAnsi="Arial" w:cs="Arial"/>
        </w:rPr>
        <w:t>) el derecho a exigir la venta extrajudicial del buque a través del agente.</w:t>
      </w:r>
    </w:p>
    <w:p w14:paraId="08F79356" w14:textId="7D6657C5" w:rsidR="00CA33F6" w:rsidRPr="00E3148A" w:rsidRDefault="00CA33F6" w:rsidP="00541760">
      <w:pPr>
        <w:pStyle w:val="Textonotapie"/>
        <w:jc w:val="both"/>
        <w:rPr>
          <w:rFonts w:ascii="Arial" w:hAnsi="Arial" w:cs="Arial"/>
        </w:rPr>
      </w:pPr>
    </w:p>
  </w:footnote>
  <w:footnote w:id="15">
    <w:p w14:paraId="2BC1BDF5" w14:textId="77777777" w:rsidR="00E43882" w:rsidRPr="00E3148A" w:rsidRDefault="00E43882" w:rsidP="00E43882">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La inscripción de la hipoteca naval en el Registro público también era la norma en el derogado art. 14 Ley de Hipoteca Naval. También es preceptiva en las normas vigentes sobre hipotecas de bienes inmuebles (arts. 145.2º LH y 1875 CC) y de las hipotecas sobre bienes muebles en general (art. 3 Ley de 16 de diciembre de 1954 sobre hipoteca mobiliaria y prenda sin desplazamiento de posesión)</w:t>
      </w:r>
    </w:p>
  </w:footnote>
  <w:footnote w:id="16">
    <w:p w14:paraId="27C85471" w14:textId="5EDA161A" w:rsidR="007D4DCB" w:rsidRPr="00E3148A" w:rsidRDefault="007D4DCB">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C871B1" w:rsidRPr="00E3148A">
        <w:rPr>
          <w:rFonts w:ascii="Arial" w:hAnsi="Arial" w:cs="Arial"/>
        </w:rPr>
        <w:t>La</w:t>
      </w:r>
      <w:r w:rsidR="00C871B1" w:rsidRPr="00E3148A">
        <w:rPr>
          <w:rFonts w:ascii="Arial" w:hAnsi="Arial" w:cs="Arial"/>
          <w:i/>
        </w:rPr>
        <w:t xml:space="preserve"> </w:t>
      </w:r>
      <w:r w:rsidR="00C871B1" w:rsidRPr="00E3148A">
        <w:rPr>
          <w:rFonts w:ascii="Arial" w:hAnsi="Arial" w:cs="Arial"/>
        </w:rPr>
        <w:t>RDGRN de 22 febrero 2001 (</w:t>
      </w:r>
      <w:r w:rsidR="00C871B1" w:rsidRPr="00E3148A">
        <w:rPr>
          <w:rFonts w:ascii="Arial" w:hAnsi="Arial" w:cs="Arial"/>
          <w:i/>
        </w:rPr>
        <w:t>RJ\2002\2161</w:t>
      </w:r>
      <w:r w:rsidR="00C871B1" w:rsidRPr="00E3148A">
        <w:rPr>
          <w:rFonts w:ascii="Arial" w:hAnsi="Arial" w:cs="Arial"/>
        </w:rPr>
        <w:t>) indica que las prohibiciones de enajenar o gravar el bien hipotecado son pactos de naturaleza personal que no acceden al Registro, ni aun bajo la cobertura de una condición resolutoria del plazo pactado para la devolución del préstamo</w:t>
      </w:r>
      <w:r w:rsidR="00E17024" w:rsidRPr="00E3148A">
        <w:rPr>
          <w:rFonts w:ascii="Arial" w:hAnsi="Arial" w:cs="Arial"/>
        </w:rPr>
        <w:t>.</w:t>
      </w:r>
    </w:p>
  </w:footnote>
  <w:footnote w:id="17">
    <w:p w14:paraId="7E9E2EF7" w14:textId="2BAB2415" w:rsidR="00C56610" w:rsidRPr="00E3148A" w:rsidRDefault="00C566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F90B73" w:rsidRPr="00E3148A">
        <w:rPr>
          <w:rFonts w:ascii="Arial" w:hAnsi="Arial" w:cs="Arial"/>
        </w:rPr>
        <w:t>La STS, Sala 1ª, 21 mayo 2015 (</w:t>
      </w:r>
      <w:r w:rsidR="00F90B73" w:rsidRPr="00E3148A">
        <w:rPr>
          <w:rFonts w:ascii="Arial" w:hAnsi="Arial" w:cs="Arial"/>
          <w:i/>
        </w:rPr>
        <w:t>RJ\2015\2033</w:t>
      </w:r>
      <w:r w:rsidR="00F90B73" w:rsidRPr="00E3148A">
        <w:rPr>
          <w:rFonts w:ascii="Arial" w:hAnsi="Arial" w:cs="Arial"/>
        </w:rPr>
        <w:t>) desestima la pretensión del acreedor refaccionario para el reconocimiento de su crédito con privilegio especial, pues se solicitó la anotación de un crédito refaccionario, sin antes llevar a cabo la inscripción principal, que es la correspondiente a la propiedad del buque.</w:t>
      </w:r>
    </w:p>
  </w:footnote>
  <w:footnote w:id="18">
    <w:p w14:paraId="434963AA" w14:textId="18C669FC" w:rsidR="00491199" w:rsidRPr="00E3148A" w:rsidRDefault="0049119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A900EC" w:rsidRPr="00E3148A">
        <w:rPr>
          <w:rFonts w:ascii="Arial" w:hAnsi="Arial" w:cs="Arial"/>
        </w:rPr>
        <w:t>Una aplicación del principio de reipersecutoriedad en AAP Granada, Sección 3ª, 1 marzo 2016 (</w:t>
      </w:r>
      <w:r w:rsidR="00A900EC" w:rsidRPr="00E3148A">
        <w:rPr>
          <w:rFonts w:ascii="Arial" w:hAnsi="Arial" w:cs="Arial"/>
          <w:i/>
        </w:rPr>
        <w:t>JUR\2016\157451</w:t>
      </w:r>
      <w:r w:rsidR="00A900EC" w:rsidRPr="00E3148A">
        <w:rPr>
          <w:rFonts w:ascii="Arial" w:hAnsi="Arial" w:cs="Arial"/>
        </w:rPr>
        <w:t>).</w:t>
      </w:r>
    </w:p>
  </w:footnote>
  <w:footnote w:id="19">
    <w:p w14:paraId="376C997B" w14:textId="17F3DFDF" w:rsidR="00C94C9D" w:rsidRPr="00E3148A" w:rsidRDefault="00C94C9D" w:rsidP="0041015B">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5F7EC6" w:rsidRPr="00E3148A">
        <w:rPr>
          <w:rFonts w:ascii="Arial" w:hAnsi="Arial" w:cs="Arial"/>
          <w:i/>
        </w:rPr>
        <w:t>Vid</w:t>
      </w:r>
      <w:r w:rsidR="005F7EC6" w:rsidRPr="00E3148A">
        <w:rPr>
          <w:rFonts w:ascii="Arial" w:hAnsi="Arial" w:cs="Arial"/>
        </w:rPr>
        <w:t xml:space="preserve"> AAP Valencia, Sección 9, 20 marzo 2017 (</w:t>
      </w:r>
      <w:r w:rsidR="005F7EC6" w:rsidRPr="00E3148A">
        <w:rPr>
          <w:rFonts w:ascii="Arial" w:hAnsi="Arial" w:cs="Arial"/>
          <w:i/>
        </w:rPr>
        <w:t>JUR\2017\156159</w:t>
      </w:r>
      <w:r w:rsidR="005F7EC6" w:rsidRPr="00E3148A">
        <w:rPr>
          <w:rFonts w:ascii="Arial" w:hAnsi="Arial" w:cs="Arial"/>
        </w:rPr>
        <w:t>), que admite la nota simple del Registro de Bienes Muebles para la ejecución hipotecaria de un buque. Cita el APP Cantabria, Sección 4ª, 2 diciembre 2014 (</w:t>
      </w:r>
      <w:r w:rsidR="005F7EC6" w:rsidRPr="00E3148A">
        <w:rPr>
          <w:rFonts w:ascii="Arial" w:hAnsi="Arial" w:cs="Arial"/>
          <w:i/>
        </w:rPr>
        <w:t>JUR\2015\64057</w:t>
      </w:r>
      <w:r w:rsidR="005F7EC6" w:rsidRPr="00E3148A">
        <w:rPr>
          <w:rFonts w:ascii="Arial" w:hAnsi="Arial" w:cs="Arial"/>
        </w:rPr>
        <w:t>) que, sin embargo, se trataba de una ejecución de inmuebles hipotecados.</w:t>
      </w:r>
    </w:p>
  </w:footnote>
  <w:footnote w:id="20">
    <w:p w14:paraId="3869ADF5" w14:textId="78AD3168" w:rsidR="0041015B" w:rsidRPr="00E3148A" w:rsidRDefault="0041015B">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A37EE7" w:rsidRPr="00E3148A">
        <w:rPr>
          <w:rFonts w:ascii="Arial" w:hAnsi="Arial" w:cs="Arial"/>
          <w:i/>
        </w:rPr>
        <w:t>Vid</w:t>
      </w:r>
      <w:r w:rsidR="00A37EE7" w:rsidRPr="00E3148A">
        <w:rPr>
          <w:rFonts w:ascii="Arial" w:hAnsi="Arial" w:cs="Arial"/>
        </w:rPr>
        <w:t xml:space="preserve"> AAP Barcelona, Sección 19ª, 9 octubre 2020 (</w:t>
      </w:r>
      <w:r w:rsidR="00A37EE7" w:rsidRPr="00E3148A">
        <w:rPr>
          <w:rFonts w:ascii="Arial" w:hAnsi="Arial" w:cs="Arial"/>
          <w:i/>
        </w:rPr>
        <w:t>cit.).</w:t>
      </w:r>
    </w:p>
  </w:footnote>
  <w:footnote w:id="21">
    <w:p w14:paraId="06792C13" w14:textId="73A8B242" w:rsidR="00644B31" w:rsidRPr="00E3148A" w:rsidRDefault="00644B31">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E061AC" w:rsidRPr="00E3148A">
        <w:rPr>
          <w:rFonts w:ascii="Arial" w:hAnsi="Arial" w:cs="Arial"/>
        </w:rPr>
        <w:t>En el AAP Granada, Sección 3ª, 1 marzo 2016 (</w:t>
      </w:r>
      <w:r w:rsidR="00E061AC" w:rsidRPr="00E3148A">
        <w:rPr>
          <w:rFonts w:ascii="Arial" w:hAnsi="Arial" w:cs="Arial"/>
          <w:i/>
        </w:rPr>
        <w:t>cit.</w:t>
      </w:r>
      <w:r w:rsidR="00E061AC" w:rsidRPr="00E3148A">
        <w:rPr>
          <w:rFonts w:ascii="Arial" w:hAnsi="Arial" w:cs="Arial"/>
        </w:rPr>
        <w:t>), la ejecución hipotecaria se dirige frente al titular registral de la embarcación de pesca artesanal y frente a los demás deudores del préstamo con garantía hipotecaria.</w:t>
      </w:r>
    </w:p>
  </w:footnote>
  <w:footnote w:id="22">
    <w:p w14:paraId="6DCD5916" w14:textId="0D788222" w:rsidR="000B1E09" w:rsidRPr="00E3148A" w:rsidRDefault="000B1E0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E225B8" w:rsidRPr="00E3148A">
        <w:rPr>
          <w:rFonts w:ascii="Arial" w:hAnsi="Arial" w:cs="Arial"/>
        </w:rPr>
        <w:t>AAP Granada, Sección 3ª, 1 marzo 2016 (</w:t>
      </w:r>
      <w:r w:rsidR="00E225B8" w:rsidRPr="00E3148A">
        <w:rPr>
          <w:rFonts w:ascii="Arial" w:hAnsi="Arial" w:cs="Arial"/>
          <w:i/>
        </w:rPr>
        <w:t>cit.</w:t>
      </w:r>
      <w:r w:rsidR="00E225B8" w:rsidRPr="00E3148A">
        <w:rPr>
          <w:rFonts w:ascii="Arial" w:hAnsi="Arial" w:cs="Arial"/>
        </w:rPr>
        <w:t>).</w:t>
      </w:r>
    </w:p>
  </w:footnote>
  <w:footnote w:id="23">
    <w:p w14:paraId="0732D9B8" w14:textId="3C93FA9B" w:rsidR="00E3148A" w:rsidRPr="00E3148A" w:rsidRDefault="00E3148A">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hyperlink r:id="rId3" w:history="1">
        <w:r w:rsidRPr="00E3148A">
          <w:rPr>
            <w:rStyle w:val="Hipervnculo"/>
            <w:rFonts w:ascii="Arial" w:hAnsi="Arial" w:cs="Arial"/>
          </w:rPr>
          <w:t>https://uncitral.un.org/en/judicialsaleofships/status</w:t>
        </w:r>
      </w:hyperlink>
      <w:r w:rsidRPr="00E3148A">
        <w:rPr>
          <w:rFonts w:ascii="Arial" w:hAnsi="Arial" w:cs="Arial"/>
        </w:rPr>
        <w:t>, consultada el 10 de julio de 2024.</w:t>
      </w:r>
    </w:p>
  </w:footnote>
  <w:footnote w:id="24">
    <w:p w14:paraId="64E3965A" w14:textId="716D0484" w:rsidR="00E642B9" w:rsidRPr="00E3148A" w:rsidRDefault="00E642B9" w:rsidP="00E642B9">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i/>
        </w:rPr>
        <w:t xml:space="preserve"> </w:t>
      </w:r>
      <w:r w:rsidRPr="00E3148A">
        <w:rPr>
          <w:rFonts w:ascii="Arial" w:hAnsi="Arial" w:cs="Arial"/>
        </w:rPr>
        <w:t>En SAP Valencia, Sección 8ª, 17 octubre 2018 (</w:t>
      </w:r>
      <w:r w:rsidRPr="00E3148A">
        <w:rPr>
          <w:rFonts w:ascii="Arial" w:hAnsi="Arial" w:cs="Arial"/>
          <w:i/>
        </w:rPr>
        <w:t>cit.</w:t>
      </w:r>
      <w:r w:rsidRPr="00E3148A">
        <w:rPr>
          <w:rFonts w:ascii="Arial" w:hAnsi="Arial" w:cs="Arial"/>
        </w:rPr>
        <w:t>), la subasta finalizó con la adjudicación a favor del ejecutante del buque por el 50% de su valor de tasación, haciéndose constar expresamente en el decreto de adjudicación que dicho importe era inferior al total del crédito de la actora. Para cobrar el pendiente, inició acción contra el avalista cambiario de la misma obligación garantizada por la hipoteca naval. También se adjudica el buque la parte ejecutante en el caso tratado por la SAP Girona, Sección 2ª, 8 febrero 2019 (</w:t>
      </w:r>
      <w:r w:rsidRPr="00E3148A">
        <w:rPr>
          <w:rFonts w:ascii="Arial" w:hAnsi="Arial" w:cs="Arial"/>
          <w:i/>
        </w:rPr>
        <w:t>JUR\2019\49232</w:t>
      </w:r>
      <w:r w:rsidRPr="00E3148A">
        <w:rPr>
          <w:rFonts w:ascii="Arial" w:hAnsi="Arial" w:cs="Arial"/>
        </w:rPr>
        <w:t>).</w:t>
      </w:r>
    </w:p>
  </w:footnote>
  <w:footnote w:id="25">
    <w:p w14:paraId="02E57B39" w14:textId="000AB18A" w:rsidR="00E642B9" w:rsidRPr="00E3148A" w:rsidRDefault="00E642B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Pr="00E3148A">
        <w:rPr>
          <w:rFonts w:ascii="Arial" w:hAnsi="Arial" w:cs="Arial"/>
          <w:i/>
        </w:rPr>
        <w:t>Vid</w:t>
      </w:r>
      <w:r w:rsidRPr="00E3148A">
        <w:rPr>
          <w:rFonts w:ascii="Arial" w:hAnsi="Arial" w:cs="Arial"/>
        </w:rPr>
        <w:t xml:space="preserve"> RRDGRN 26 diciembre 2018 (</w:t>
      </w:r>
      <w:r w:rsidRPr="00E3148A">
        <w:rPr>
          <w:rFonts w:ascii="Arial" w:hAnsi="Arial" w:cs="Arial"/>
          <w:i/>
        </w:rPr>
        <w:t>cit.</w:t>
      </w:r>
      <w:r w:rsidRPr="00E3148A">
        <w:rPr>
          <w:rFonts w:ascii="Arial" w:hAnsi="Arial" w:cs="Arial"/>
        </w:rPr>
        <w:t>) y 14 diciembre 2018 (</w:t>
      </w:r>
      <w:r w:rsidRPr="00E3148A">
        <w:rPr>
          <w:rFonts w:ascii="Arial" w:hAnsi="Arial" w:cs="Arial"/>
          <w:i/>
        </w:rPr>
        <w:t xml:space="preserve">RJ 2018\5464 </w:t>
      </w:r>
      <w:r w:rsidRPr="00E3148A">
        <w:rPr>
          <w:rFonts w:ascii="Arial" w:hAnsi="Arial" w:cs="Arial"/>
        </w:rPr>
        <w:t>y</w:t>
      </w:r>
      <w:r w:rsidRPr="00E3148A">
        <w:rPr>
          <w:rFonts w:ascii="Arial" w:hAnsi="Arial" w:cs="Arial"/>
          <w:i/>
        </w:rPr>
        <w:t xml:space="preserve"> RJ 2018\5463</w:t>
      </w:r>
      <w:r w:rsidRPr="00E3148A">
        <w:rPr>
          <w:rFonts w:ascii="Arial" w:hAnsi="Arial" w:cs="Arial"/>
        </w:rPr>
        <w:t>).</w:t>
      </w:r>
    </w:p>
  </w:footnote>
  <w:footnote w:id="26">
    <w:p w14:paraId="7D5A70CC" w14:textId="2F715322" w:rsidR="00E642B9" w:rsidRPr="00E3148A" w:rsidRDefault="00E642B9" w:rsidP="00E642B9">
      <w:pPr>
        <w:pStyle w:val="Textonotapie"/>
        <w:jc w:val="both"/>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Pr="00E3148A">
        <w:rPr>
          <w:rFonts w:ascii="Arial" w:hAnsi="Arial" w:cs="Arial"/>
          <w:i/>
        </w:rPr>
        <w:t>Vid</w:t>
      </w:r>
      <w:r w:rsidRPr="00E3148A">
        <w:rPr>
          <w:rFonts w:ascii="Arial" w:hAnsi="Arial" w:cs="Arial"/>
        </w:rPr>
        <w:t xml:space="preserve"> RRDGRN 26 diciembre 2018 (</w:t>
      </w:r>
      <w:r w:rsidRPr="00E3148A">
        <w:rPr>
          <w:rFonts w:ascii="Arial" w:hAnsi="Arial" w:cs="Arial"/>
          <w:i/>
        </w:rPr>
        <w:t>cit.</w:t>
      </w:r>
      <w:r w:rsidRPr="00E3148A">
        <w:rPr>
          <w:rFonts w:ascii="Arial" w:hAnsi="Arial" w:cs="Arial"/>
        </w:rPr>
        <w:t>) y 14 diciembre 2018 (</w:t>
      </w:r>
      <w:r w:rsidRPr="00E3148A">
        <w:rPr>
          <w:rFonts w:ascii="Arial" w:hAnsi="Arial" w:cs="Arial"/>
          <w:i/>
        </w:rPr>
        <w:t xml:space="preserve">RJ 2018\5464 </w:t>
      </w:r>
      <w:r w:rsidRPr="00E3148A">
        <w:rPr>
          <w:rFonts w:ascii="Arial" w:hAnsi="Arial" w:cs="Arial"/>
        </w:rPr>
        <w:t>y</w:t>
      </w:r>
      <w:r w:rsidRPr="00E3148A">
        <w:rPr>
          <w:rFonts w:ascii="Arial" w:hAnsi="Arial" w:cs="Arial"/>
          <w:i/>
        </w:rPr>
        <w:t xml:space="preserve"> RJ 2018\5463</w:t>
      </w:r>
      <w:r w:rsidRPr="00E3148A">
        <w:rPr>
          <w:rFonts w:ascii="Arial" w:hAnsi="Arial" w:cs="Arial"/>
        </w:rPr>
        <w:t>).</w:t>
      </w:r>
    </w:p>
  </w:footnote>
  <w:footnote w:id="27">
    <w:p w14:paraId="1B49BB63" w14:textId="07798617" w:rsidR="00E642B9" w:rsidRPr="00E3148A" w:rsidRDefault="00E642B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RRDGRN 14 diciembre 2018 (</w:t>
      </w:r>
      <w:r w:rsidRPr="00E3148A">
        <w:rPr>
          <w:rFonts w:ascii="Arial" w:hAnsi="Arial" w:cs="Arial"/>
          <w:i/>
        </w:rPr>
        <w:t>cit.</w:t>
      </w:r>
      <w:r w:rsidRPr="00E3148A">
        <w:rPr>
          <w:rFonts w:ascii="Arial" w:hAnsi="Arial" w:cs="Arial"/>
        </w:rPr>
        <w:t>).</w:t>
      </w:r>
    </w:p>
  </w:footnote>
  <w:footnote w:id="28">
    <w:p w14:paraId="446D868C" w14:textId="7F25DB9E" w:rsidR="00E642B9" w:rsidRPr="00E3148A" w:rsidRDefault="00E642B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Más específico era el derogado art. 18 LHN, que expresamente indicaba que «</w:t>
      </w:r>
      <w:r w:rsidRPr="00E3148A">
        <w:rPr>
          <w:rFonts w:ascii="Arial" w:hAnsi="Arial" w:cs="Arial"/>
          <w:i/>
        </w:rPr>
        <w:t>para que los créditos refaccionarios puedan perjudicar a la hipoteca naval es necesario que consten en el Registro Mercantil</w:t>
      </w:r>
      <w:r w:rsidRPr="00E3148A">
        <w:rPr>
          <w:rFonts w:ascii="Arial" w:hAnsi="Arial" w:cs="Arial"/>
        </w:rPr>
        <w:t>». También mencionado en RDGRN 10 octubre 2011 (</w:t>
      </w:r>
      <w:r w:rsidRPr="00E3148A">
        <w:rPr>
          <w:rFonts w:ascii="Arial" w:hAnsi="Arial" w:cs="Arial"/>
          <w:i/>
        </w:rPr>
        <w:t>RJ 2012\402</w:t>
      </w:r>
      <w:r w:rsidRPr="00E3148A">
        <w:rPr>
          <w:rFonts w:ascii="Arial" w:hAnsi="Arial" w:cs="Arial"/>
        </w:rPr>
        <w:t>). Más recientemente, la Resolución de la Dirección General de Seguridad Jurídica y Fe Pública 20 noviembre 2020 (RJ 2020\5487), confirma la calificación del Registrador de la Propiedad que no admite la anotación preventiva de un crédito refaccionario cuando la obra ya está acabada, por impedirlo el art. 42.8 LH (“</w:t>
      </w:r>
      <w:r w:rsidRPr="00E3148A">
        <w:rPr>
          <w:rFonts w:ascii="Arial" w:hAnsi="Arial" w:cs="Arial"/>
          <w:i/>
        </w:rPr>
        <w:t>mientras duren las obras</w:t>
      </w:r>
      <w:r w:rsidRPr="00E3148A">
        <w:rPr>
          <w:rFonts w:ascii="Arial" w:hAnsi="Arial" w:cs="Arial"/>
        </w:rPr>
        <w:t>”).</w:t>
      </w:r>
    </w:p>
  </w:footnote>
  <w:footnote w:id="29">
    <w:p w14:paraId="0143E64E" w14:textId="31A062DB" w:rsidR="00E642B9" w:rsidRPr="00E3148A" w:rsidRDefault="00E642B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STS, Sala 1ª, 21 mayo 2015 (</w:t>
      </w:r>
      <w:r w:rsidRPr="00E3148A">
        <w:rPr>
          <w:rFonts w:ascii="Arial" w:hAnsi="Arial" w:cs="Arial"/>
          <w:i/>
        </w:rPr>
        <w:t>cit.</w:t>
      </w:r>
      <w:r w:rsidRPr="00E3148A">
        <w:rPr>
          <w:rFonts w:ascii="Arial" w:hAnsi="Arial" w:cs="Arial"/>
        </w:rPr>
        <w:t>).</w:t>
      </w:r>
    </w:p>
  </w:footnote>
  <w:footnote w:id="30">
    <w:p w14:paraId="287BF046" w14:textId="16DA2458" w:rsidR="00E642B9" w:rsidRPr="00E3148A" w:rsidRDefault="00E642B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STS, Sala 1ª, 22 abril 2014 (</w:t>
      </w:r>
      <w:r w:rsidRPr="00E3148A">
        <w:rPr>
          <w:rFonts w:ascii="Arial" w:hAnsi="Arial" w:cs="Arial"/>
          <w:i/>
        </w:rPr>
        <w:t>RJ\2014\2639</w:t>
      </w:r>
      <w:r w:rsidRPr="00E3148A">
        <w:rPr>
          <w:rFonts w:ascii="Arial" w:hAnsi="Arial" w:cs="Arial"/>
        </w:rPr>
        <w:t>), reiterada en STS, Sala 1ª, 21 mayo 2015 (</w:t>
      </w:r>
      <w:r w:rsidRPr="00E3148A">
        <w:rPr>
          <w:rFonts w:ascii="Arial" w:hAnsi="Arial" w:cs="Arial"/>
          <w:i/>
        </w:rPr>
        <w:t>cit.</w:t>
      </w:r>
      <w:r w:rsidRPr="00E3148A">
        <w:rPr>
          <w:rFonts w:ascii="Arial" w:hAnsi="Arial" w:cs="Arial"/>
        </w:rPr>
        <w:t>).</w:t>
      </w:r>
    </w:p>
  </w:footnote>
  <w:footnote w:id="31">
    <w:p w14:paraId="4BB24F01" w14:textId="7015980B" w:rsidR="00E642B9" w:rsidRPr="00E3148A" w:rsidRDefault="00E642B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ALONSO LEDESMA, C.: </w:t>
      </w:r>
      <w:r w:rsidRPr="00E3148A">
        <w:rPr>
          <w:rFonts w:ascii="Arial" w:hAnsi="Arial" w:cs="Arial"/>
          <w:i/>
        </w:rPr>
        <w:t>Los privilegios marítimos</w:t>
      </w:r>
      <w:r w:rsidRPr="00E3148A">
        <w:rPr>
          <w:rFonts w:ascii="Arial" w:hAnsi="Arial" w:cs="Arial"/>
        </w:rPr>
        <w:t xml:space="preserve">, Civitas, Madrid, 1995, p. 357 y CELIS BLOMGREN, L. G.: </w:t>
      </w:r>
      <w:r w:rsidRPr="00E3148A">
        <w:rPr>
          <w:rFonts w:ascii="Arial" w:hAnsi="Arial" w:cs="Arial"/>
          <w:i/>
        </w:rPr>
        <w:t>El tratamiento jurídico de los créditos marítimos privilegiados y la hipoteca naval: análisis comparativo del Derecho salvadoreño y el Derecho marítimo internacional</w:t>
      </w:r>
      <w:r w:rsidRPr="00E3148A">
        <w:rPr>
          <w:rFonts w:ascii="Arial" w:hAnsi="Arial" w:cs="Arial"/>
        </w:rPr>
        <w:t>, p. 142, Universidad Autónoma de Barcelona, 2012, tesis doctoral inédita dirigida por MARTÍNEZ JIMÉNEZ, M. I., disponible en tdx.cat (consultada el 8 de julio de 2024).</w:t>
      </w:r>
    </w:p>
  </w:footnote>
  <w:footnote w:id="32">
    <w:p w14:paraId="227CB38F" w14:textId="6845D297" w:rsidR="00E642B9" w:rsidRPr="00E3148A" w:rsidRDefault="00E642B9">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La SJMerc Girona 26 mayo 2016 (</w:t>
      </w:r>
      <w:r w:rsidRPr="00E3148A">
        <w:rPr>
          <w:rFonts w:ascii="Arial" w:hAnsi="Arial" w:cs="Arial"/>
          <w:i/>
        </w:rPr>
        <w:t>JUR\2016\228834</w:t>
      </w:r>
      <w:r w:rsidRPr="00E3148A">
        <w:rPr>
          <w:rFonts w:ascii="Arial" w:hAnsi="Arial" w:cs="Arial"/>
        </w:rPr>
        <w:t>) señala que tales privilegios se fundamentan en la necesidad de compensar la limitación de responsabilidad del naviero.</w:t>
      </w:r>
    </w:p>
  </w:footnote>
  <w:footnote w:id="33">
    <w:p w14:paraId="07A59DCC" w14:textId="46B0C3E5" w:rsidR="00CE0D10" w:rsidRPr="00E3148A" w:rsidRDefault="00CE0D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En STS, Sala 1ª, 9 febrero 2011 (</w:t>
      </w:r>
      <w:r w:rsidRPr="00E3148A">
        <w:rPr>
          <w:rFonts w:ascii="Arial" w:hAnsi="Arial" w:cs="Arial"/>
          <w:i/>
        </w:rPr>
        <w:t>RJ\2011\2347</w:t>
      </w:r>
      <w:r w:rsidRPr="00E3148A">
        <w:rPr>
          <w:rFonts w:ascii="Arial" w:hAnsi="Arial" w:cs="Arial"/>
        </w:rPr>
        <w:t>) se declara la prescripción de un privilegio marítimo que encajaba en los regulados en el Convenio internacional para la unificación de ciertas reglas relativas a los privilegios e hipotecas marítimas de 1926.</w:t>
      </w:r>
    </w:p>
  </w:footnote>
  <w:footnote w:id="34">
    <w:p w14:paraId="548B2C15" w14:textId="04ED8B5F" w:rsidR="00CE0D10" w:rsidRPr="00E3148A" w:rsidRDefault="00CE0D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También conforme al Derecho anterior, la STS, Sala 1ª, 13 febrero 2003 (</w:t>
      </w:r>
      <w:r w:rsidRPr="00E3148A">
        <w:rPr>
          <w:rFonts w:ascii="Arial" w:hAnsi="Arial" w:cs="Arial"/>
          <w:i/>
        </w:rPr>
        <w:t>RJ\2003\1014</w:t>
      </w:r>
      <w:r w:rsidRPr="00E3148A">
        <w:rPr>
          <w:rFonts w:ascii="Arial" w:hAnsi="Arial" w:cs="Arial"/>
        </w:rPr>
        <w:t>), negó la tercería de mejor derecho por impago de las primas del seguro del buque, al no ser un crédito incluido como privilegiado en el Convenio internacional de Bruselas de unificación de reglas relativas a Privilegios e Hipotecas marítimas.</w:t>
      </w:r>
    </w:p>
  </w:footnote>
  <w:footnote w:id="35">
    <w:p w14:paraId="36A3BAD4" w14:textId="46EA8484" w:rsidR="00CE0D10" w:rsidRPr="00E3148A" w:rsidRDefault="00CE0D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STS, Sala 1ª, 31 octubre 2002 (</w:t>
      </w:r>
      <w:r w:rsidRPr="00E3148A">
        <w:rPr>
          <w:rFonts w:ascii="Arial" w:hAnsi="Arial" w:cs="Arial"/>
          <w:i/>
        </w:rPr>
        <w:t>cit.</w:t>
      </w:r>
      <w:r w:rsidRPr="00E3148A">
        <w:rPr>
          <w:rFonts w:ascii="Arial" w:hAnsi="Arial" w:cs="Arial"/>
        </w:rPr>
        <w:t>) reconoce el derecho de la Autoridad Portuaria de Las Palmas a cobrar del precio del remate del buque hipotecado con preferencia sobre el acreedor hipotecario los gastos de ocupación del buque. El Alto Tribunal reconoce el mejor derecho de la Autoridad Portuario en base al entonces vigente art. 2.1 Convenio internacional para la unificación de ciertas reglas relativas a los privilegios e hipotecas marítimas de 1926 y el art. 580.3 Código de Comercio.</w:t>
      </w:r>
    </w:p>
  </w:footnote>
  <w:footnote w:id="36">
    <w:p w14:paraId="61D1AC78" w14:textId="51818A5C" w:rsidR="00CE0D10" w:rsidRPr="00E3148A" w:rsidRDefault="00CE0D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PELLEGRINO, F.: “The International Convention on Maritime Liens and Mortgages 1993”, en FOTINOPOULO, O. y MARTÍN OSANTE, J. M. (dir.): </w:t>
      </w:r>
      <w:r w:rsidRPr="00E3148A">
        <w:rPr>
          <w:rFonts w:ascii="Arial" w:hAnsi="Arial" w:cs="Arial"/>
          <w:i/>
        </w:rPr>
        <w:t xml:space="preserve">New trends in maritime law. </w:t>
      </w:r>
      <w:r w:rsidRPr="00E3148A">
        <w:rPr>
          <w:rFonts w:ascii="Arial" w:hAnsi="Arial" w:cs="Arial"/>
          <w:i/>
          <w:lang w:val="en-GB"/>
        </w:rPr>
        <w:t>Maritime liens, arrest of ships, mortgages and forced sale</w:t>
      </w:r>
      <w:r w:rsidRPr="00E3148A">
        <w:rPr>
          <w:rFonts w:ascii="Arial" w:hAnsi="Arial" w:cs="Arial"/>
          <w:lang w:val="en-GB"/>
        </w:rPr>
        <w:t>, Thomson Reuters Aranzadi, Cizur Menor, 2017, p. 74.</w:t>
      </w:r>
    </w:p>
  </w:footnote>
  <w:footnote w:id="37">
    <w:p w14:paraId="57E988F1" w14:textId="6C58CF28" w:rsidR="00CE0D10" w:rsidRPr="00E3148A" w:rsidRDefault="00CE0D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En SSAP Pontevedra, Sección 1ª, 5 mayo 2016 (</w:t>
      </w:r>
      <w:r w:rsidRPr="00E3148A">
        <w:rPr>
          <w:rFonts w:ascii="Arial" w:hAnsi="Arial" w:cs="Arial"/>
          <w:i/>
        </w:rPr>
        <w:t>AC\2016\1010</w:t>
      </w:r>
      <w:r w:rsidRPr="00E3148A">
        <w:rPr>
          <w:rFonts w:ascii="Arial" w:hAnsi="Arial" w:cs="Arial"/>
        </w:rPr>
        <w:t>) y Cádiz, sección 5ª, 29 octubre 2018 (</w:t>
      </w:r>
      <w:r w:rsidRPr="00E3148A">
        <w:rPr>
          <w:rFonts w:ascii="Arial" w:hAnsi="Arial" w:cs="Arial"/>
          <w:i/>
        </w:rPr>
        <w:t>JUR\2019\23206</w:t>
      </w:r>
      <w:r w:rsidRPr="00E3148A">
        <w:rPr>
          <w:rFonts w:ascii="Arial" w:hAnsi="Arial" w:cs="Arial"/>
        </w:rPr>
        <w:t>).</w:t>
      </w:r>
    </w:p>
  </w:footnote>
  <w:footnote w:id="38">
    <w:p w14:paraId="5D83AF94" w14:textId="4430EB32" w:rsidR="00CE0D10" w:rsidRPr="00E3148A" w:rsidRDefault="00CE0D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Pr="00E3148A">
        <w:rPr>
          <w:rFonts w:ascii="Arial" w:hAnsi="Arial" w:cs="Arial"/>
          <w:lang w:val="es-MX"/>
        </w:rPr>
        <w:t xml:space="preserve">La aprobación de la Ley de la garantía mobiliaria -Ley N° 28677- en 2006, supuso un desconocimiento de la especialidad y autonomía del Derecho marítimo, pues incorporó al buque como objeto de garantía mobiliaria, con lo cual se atentó contra la aplicación y eficacia de la hipoteca naval como garantía marítima. Dicha ley como lo advertimos oportunamente en un trabajo publicado en </w:t>
      </w:r>
      <w:r w:rsidR="00E3148A" w:rsidRPr="00E3148A">
        <w:rPr>
          <w:rFonts w:ascii="Arial" w:hAnsi="Arial" w:cs="Arial"/>
          <w:lang w:val="es-MX"/>
        </w:rPr>
        <w:t>2007</w:t>
      </w:r>
      <w:r w:rsidRPr="00E3148A">
        <w:rPr>
          <w:rFonts w:ascii="Arial" w:hAnsi="Arial" w:cs="Arial"/>
          <w:lang w:val="es-MX"/>
        </w:rPr>
        <w:t xml:space="preserve"> contravino la Decisión 487 de la Comunidad Andina sobre garantías marítimas y embargo preventivo de buques. Debieron transcurrir doce años para que la antinomia se haya salvado con la aprobación del Decreto Legislativo N° 1400 de 2018, sobre el régimen de la garantía mobiliaria.</w:t>
      </w:r>
      <w:r w:rsidR="004D1F0D">
        <w:rPr>
          <w:rFonts w:ascii="Arial" w:hAnsi="Arial" w:cs="Arial"/>
          <w:lang w:val="es-MX"/>
        </w:rPr>
        <w:t xml:space="preserve"> </w:t>
      </w:r>
    </w:p>
  </w:footnote>
  <w:footnote w:id="39">
    <w:p w14:paraId="133459AD" w14:textId="718FAF9A" w:rsidR="00CE0D10" w:rsidRPr="00E3148A" w:rsidRDefault="00CE0D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El proyecto de Ley de navegación y comercio marítimo que elaboramos un grupo de especialistas en Derecho </w:t>
      </w:r>
      <w:r w:rsidR="00E3148A" w:rsidRPr="00E3148A">
        <w:rPr>
          <w:rFonts w:ascii="Arial" w:hAnsi="Arial" w:cs="Arial"/>
        </w:rPr>
        <w:t>marítimo</w:t>
      </w:r>
      <w:r w:rsidRPr="00E3148A">
        <w:rPr>
          <w:rFonts w:ascii="Arial" w:hAnsi="Arial" w:cs="Arial"/>
        </w:rPr>
        <w:t xml:space="preserve"> tuvo como objetivo reemplazar el vetusto Libro III del Código de comercio de 1902, cuerpo normativo que al igual que la Ley de hipoteca naval de 1916 respecto de la Ley española de 1893, fue una copia textual del Libro III del Código de comercio español de 1885, cuerpo jurídico este último derogado mediante la Ley de navegación marítima, Ley 14/2014. Sobre el proyecto de Ley de navegación y comercio marítimo peruano, véase: Pejovés (1999) y (2007).</w:t>
      </w:r>
    </w:p>
  </w:footnote>
  <w:footnote w:id="40">
    <w:p w14:paraId="5D4991AE" w14:textId="696CB484" w:rsidR="00CE0D10" w:rsidRPr="00E3148A" w:rsidRDefault="00CE0D10">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0080507D" w:rsidRPr="00E3148A">
        <w:rPr>
          <w:rFonts w:ascii="Arial" w:hAnsi="Arial" w:cs="Arial"/>
        </w:rPr>
        <w:t>La Comunidad Andina conocido originariamente como Pacto Andino, es un proceso de integración que se gestó en 1969 con la adopción del Acuerdo de Cartagena. Actualmente son países miembros de la CAN: Bolivia, Colombia, Ecuador y el Perú.</w:t>
      </w:r>
    </w:p>
  </w:footnote>
  <w:footnote w:id="41">
    <w:p w14:paraId="3511F246" w14:textId="2EC2737C" w:rsidR="0080507D" w:rsidRPr="00E3148A" w:rsidRDefault="0080507D">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Mediante Decreto Supremo N° 037-2021-RE, aprobado el 16 de julio de 2021, el Perú ratificó el Convenio internacional sobre embargo preventivo de buques de 1999.</w:t>
      </w:r>
    </w:p>
  </w:footnote>
  <w:footnote w:id="42">
    <w:p w14:paraId="043AE07A" w14:textId="501A9A15" w:rsidR="0080507D" w:rsidRPr="00E3148A" w:rsidRDefault="0080507D">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Convenios internacionales marítimos de los que el Perú no ha sido parte pues no los ratificó o adhirió.</w:t>
      </w:r>
    </w:p>
  </w:footnote>
  <w:footnote w:id="43">
    <w:p w14:paraId="308DAB1A" w14:textId="360BEE96" w:rsidR="0080507D" w:rsidRPr="00E3148A" w:rsidRDefault="0080507D">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Se puede afirmar que la hipoteca naval junto con el arrendamiento financiero -</w:t>
      </w:r>
      <w:r w:rsidRPr="00E3148A">
        <w:rPr>
          <w:rFonts w:ascii="Arial" w:hAnsi="Arial" w:cs="Arial"/>
          <w:i/>
        </w:rPr>
        <w:t>leasing</w:t>
      </w:r>
      <w:r w:rsidRPr="00E3148A">
        <w:rPr>
          <w:rFonts w:ascii="Arial" w:hAnsi="Arial" w:cs="Arial"/>
        </w:rPr>
        <w:t>-, son los mecanismos poderosos para fomentar la construcción y la adquisición de buques.</w:t>
      </w:r>
    </w:p>
  </w:footnote>
  <w:footnote w:id="44">
    <w:p w14:paraId="375D1A40" w14:textId="1FBE2080" w:rsidR="0080507D" w:rsidRPr="00E3148A" w:rsidRDefault="0080507D">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La Decisión 532 modifica la definición de buque recogida en la Decisión 487 y deroga su artículo 55º.</w:t>
      </w:r>
    </w:p>
  </w:footnote>
  <w:footnote w:id="45">
    <w:p w14:paraId="4284A004" w14:textId="4B3CB3A4" w:rsidR="0080507D" w:rsidRPr="00E3148A" w:rsidRDefault="0080507D">
      <w:pPr>
        <w:pStyle w:val="Textonotapie"/>
        <w:rPr>
          <w:rFonts w:ascii="Arial" w:hAnsi="Arial" w:cs="Arial"/>
        </w:rPr>
      </w:pPr>
      <w:r w:rsidRPr="00E3148A">
        <w:rPr>
          <w:rStyle w:val="Refdenotaalpie"/>
          <w:rFonts w:ascii="Arial" w:hAnsi="Arial" w:cs="Arial"/>
          <w:sz w:val="20"/>
          <w:szCs w:val="20"/>
        </w:rPr>
        <w:footnoteRef/>
      </w:r>
      <w:r w:rsidRPr="00E3148A">
        <w:rPr>
          <w:rFonts w:ascii="Arial" w:hAnsi="Arial" w:cs="Arial"/>
        </w:rPr>
        <w:t xml:space="preserve"> </w:t>
      </w:r>
      <w:r w:rsidRPr="00E3148A">
        <w:rPr>
          <w:rStyle w:val="Refdenotaalpie"/>
          <w:rFonts w:ascii="Arial" w:eastAsiaTheme="majorEastAsia" w:hAnsi="Arial" w:cs="Arial"/>
          <w:position w:val="5"/>
          <w:sz w:val="20"/>
          <w:szCs w:val="20"/>
        </w:rPr>
        <w:t xml:space="preserve">Se pueden ver </w:t>
      </w:r>
      <w:r w:rsidRPr="00E3148A">
        <w:rPr>
          <w:rFonts w:ascii="Arial" w:hAnsi="Arial" w:cs="Arial"/>
          <w:position w:val="5"/>
        </w:rPr>
        <w:t>entre otras, las sentencias dictadas en los procesos 43-AI-2000, 07-AI-98 y 02-N-86.</w:t>
      </w:r>
    </w:p>
  </w:footnote>
  <w:footnote w:id="46">
    <w:p w14:paraId="3E5AD260" w14:textId="7DCDEB8C" w:rsidR="00E3148A" w:rsidRDefault="00E3148A">
      <w:pPr>
        <w:pStyle w:val="Textonotapie"/>
      </w:pPr>
      <w:r>
        <w:rPr>
          <w:rStyle w:val="Refdenotaalpie"/>
        </w:rPr>
        <w:footnoteRef/>
      </w:r>
      <w:r>
        <w:t xml:space="preserve"> </w:t>
      </w:r>
      <w:r w:rsidRPr="00E3148A">
        <w:rPr>
          <w:rFonts w:ascii="Arial" w:hAnsi="Arial" w:cs="Arial"/>
          <w:lang w:val="fr-FR"/>
        </w:rPr>
        <w:t xml:space="preserve">Véase: </w:t>
      </w:r>
      <w:hyperlink r:id="rId4" w:history="1">
        <w:r w:rsidRPr="00E3148A">
          <w:rPr>
            <w:rStyle w:val="Hipervnculo"/>
            <w:rFonts w:ascii="Arial" w:hAnsi="Arial" w:cs="Arial"/>
            <w:color w:val="auto"/>
            <w:lang w:val="fr-FR"/>
          </w:rPr>
          <w:t>https://globalfishingwatch.org/es/transparencia/pesquerias-peruanas-covid-19/</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702"/>
    <w:rsid w:val="000209A4"/>
    <w:rsid w:val="00023704"/>
    <w:rsid w:val="0004468B"/>
    <w:rsid w:val="00051741"/>
    <w:rsid w:val="000649E8"/>
    <w:rsid w:val="000A01A5"/>
    <w:rsid w:val="000B1E09"/>
    <w:rsid w:val="000D0E0A"/>
    <w:rsid w:val="0014298D"/>
    <w:rsid w:val="001C485F"/>
    <w:rsid w:val="00223374"/>
    <w:rsid w:val="002604FC"/>
    <w:rsid w:val="002840DE"/>
    <w:rsid w:val="002E591A"/>
    <w:rsid w:val="00323C5E"/>
    <w:rsid w:val="00377459"/>
    <w:rsid w:val="0040752F"/>
    <w:rsid w:val="0041015B"/>
    <w:rsid w:val="00491199"/>
    <w:rsid w:val="004D1F0D"/>
    <w:rsid w:val="004F57C5"/>
    <w:rsid w:val="00511327"/>
    <w:rsid w:val="00521BCC"/>
    <w:rsid w:val="00541760"/>
    <w:rsid w:val="005876FD"/>
    <w:rsid w:val="005950A4"/>
    <w:rsid w:val="005B5868"/>
    <w:rsid w:val="005F7EC6"/>
    <w:rsid w:val="00644B31"/>
    <w:rsid w:val="006E77C0"/>
    <w:rsid w:val="00750702"/>
    <w:rsid w:val="0075219B"/>
    <w:rsid w:val="00753935"/>
    <w:rsid w:val="00763BF3"/>
    <w:rsid w:val="00763CEC"/>
    <w:rsid w:val="007A6BCF"/>
    <w:rsid w:val="007D4DCB"/>
    <w:rsid w:val="0080507D"/>
    <w:rsid w:val="0081701E"/>
    <w:rsid w:val="008409E6"/>
    <w:rsid w:val="00921D92"/>
    <w:rsid w:val="00980443"/>
    <w:rsid w:val="0098349B"/>
    <w:rsid w:val="00993F42"/>
    <w:rsid w:val="009D55F7"/>
    <w:rsid w:val="00A37EE7"/>
    <w:rsid w:val="00A4717C"/>
    <w:rsid w:val="00A900EC"/>
    <w:rsid w:val="00B46094"/>
    <w:rsid w:val="00B84B39"/>
    <w:rsid w:val="00BA49BB"/>
    <w:rsid w:val="00BC39AA"/>
    <w:rsid w:val="00BF7D0E"/>
    <w:rsid w:val="00C3521C"/>
    <w:rsid w:val="00C56610"/>
    <w:rsid w:val="00C738A1"/>
    <w:rsid w:val="00C871B1"/>
    <w:rsid w:val="00C94C9D"/>
    <w:rsid w:val="00CA33F6"/>
    <w:rsid w:val="00CB19B7"/>
    <w:rsid w:val="00CE0D10"/>
    <w:rsid w:val="00D02C79"/>
    <w:rsid w:val="00D06699"/>
    <w:rsid w:val="00D62204"/>
    <w:rsid w:val="00DA1DB9"/>
    <w:rsid w:val="00DD3B41"/>
    <w:rsid w:val="00E061AC"/>
    <w:rsid w:val="00E17024"/>
    <w:rsid w:val="00E225B8"/>
    <w:rsid w:val="00E3148A"/>
    <w:rsid w:val="00E43882"/>
    <w:rsid w:val="00E642B9"/>
    <w:rsid w:val="00E93E89"/>
    <w:rsid w:val="00E967E1"/>
    <w:rsid w:val="00F90B73"/>
    <w:rsid w:val="00FA63C5"/>
    <w:rsid w:val="00FA6D0C"/>
    <w:rsid w:val="00FC4D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FE52B"/>
  <w15:chartTrackingRefBased/>
  <w15:docId w15:val="{DF387E00-F9BB-4C27-8907-1E3FF5B8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702"/>
    <w:pPr>
      <w:spacing w:after="0" w:line="240" w:lineRule="auto"/>
    </w:pPr>
    <w:rPr>
      <w:rFonts w:eastAsia="Times New Roman" w:cs="Times New Roman"/>
      <w:kern w:val="0"/>
      <w:szCs w:val="24"/>
      <w:lang w:eastAsia="es-ES"/>
      <w14:ligatures w14:val="none"/>
    </w:rPr>
  </w:style>
  <w:style w:type="paragraph" w:styleId="Ttulo1">
    <w:name w:val="heading 1"/>
    <w:basedOn w:val="Normal"/>
    <w:next w:val="Normal"/>
    <w:link w:val="Ttulo1Car"/>
    <w:uiPriority w:val="9"/>
    <w:qFormat/>
    <w:rsid w:val="00750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50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5070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507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750702"/>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750702"/>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750702"/>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750702"/>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750702"/>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07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507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50702"/>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50702"/>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750702"/>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750702"/>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750702"/>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750702"/>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750702"/>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75070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07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070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0702"/>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750702"/>
    <w:pPr>
      <w:spacing w:before="160"/>
      <w:jc w:val="center"/>
    </w:pPr>
    <w:rPr>
      <w:i/>
      <w:iCs/>
      <w:color w:val="404040" w:themeColor="text1" w:themeTint="BF"/>
    </w:rPr>
  </w:style>
  <w:style w:type="character" w:customStyle="1" w:styleId="CitaCar">
    <w:name w:val="Cita Car"/>
    <w:basedOn w:val="Fuentedeprrafopredeter"/>
    <w:link w:val="Cita"/>
    <w:uiPriority w:val="29"/>
    <w:rsid w:val="00750702"/>
    <w:rPr>
      <w:i/>
      <w:iCs/>
      <w:color w:val="404040" w:themeColor="text1" w:themeTint="BF"/>
    </w:rPr>
  </w:style>
  <w:style w:type="paragraph" w:styleId="Prrafodelista">
    <w:name w:val="List Paragraph"/>
    <w:basedOn w:val="Normal"/>
    <w:uiPriority w:val="34"/>
    <w:qFormat/>
    <w:rsid w:val="00750702"/>
    <w:pPr>
      <w:ind w:left="720"/>
      <w:contextualSpacing/>
    </w:pPr>
  </w:style>
  <w:style w:type="character" w:styleId="nfasisintenso">
    <w:name w:val="Intense Emphasis"/>
    <w:basedOn w:val="Fuentedeprrafopredeter"/>
    <w:uiPriority w:val="21"/>
    <w:qFormat/>
    <w:rsid w:val="00750702"/>
    <w:rPr>
      <w:i/>
      <w:iCs/>
      <w:color w:val="0F4761" w:themeColor="accent1" w:themeShade="BF"/>
    </w:rPr>
  </w:style>
  <w:style w:type="paragraph" w:styleId="Citadestacada">
    <w:name w:val="Intense Quote"/>
    <w:basedOn w:val="Normal"/>
    <w:next w:val="Normal"/>
    <w:link w:val="CitadestacadaCar"/>
    <w:uiPriority w:val="30"/>
    <w:qFormat/>
    <w:rsid w:val="00750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50702"/>
    <w:rPr>
      <w:i/>
      <w:iCs/>
      <w:color w:val="0F4761" w:themeColor="accent1" w:themeShade="BF"/>
    </w:rPr>
  </w:style>
  <w:style w:type="character" w:styleId="Referenciaintensa">
    <w:name w:val="Intense Reference"/>
    <w:basedOn w:val="Fuentedeprrafopredeter"/>
    <w:uiPriority w:val="32"/>
    <w:qFormat/>
    <w:rsid w:val="00750702"/>
    <w:rPr>
      <w:b/>
      <w:bCs/>
      <w:smallCaps/>
      <w:color w:val="0F4761" w:themeColor="accent1" w:themeShade="BF"/>
      <w:spacing w:val="5"/>
    </w:rPr>
  </w:style>
  <w:style w:type="character" w:styleId="Refdenotaalpie">
    <w:name w:val="footnote reference"/>
    <w:uiPriority w:val="99"/>
    <w:semiHidden/>
    <w:rsid w:val="00750702"/>
    <w:rPr>
      <w:position w:val="7"/>
      <w:sz w:val="13"/>
      <w:szCs w:val="13"/>
    </w:rPr>
  </w:style>
  <w:style w:type="paragraph" w:styleId="Textonotapie">
    <w:name w:val="footnote text"/>
    <w:basedOn w:val="Normal"/>
    <w:link w:val="TextonotapieCar"/>
    <w:uiPriority w:val="99"/>
    <w:rsid w:val="00750702"/>
    <w:rPr>
      <w:sz w:val="20"/>
      <w:szCs w:val="20"/>
    </w:rPr>
  </w:style>
  <w:style w:type="character" w:customStyle="1" w:styleId="TextonotapieCar">
    <w:name w:val="Texto nota pie Car"/>
    <w:basedOn w:val="Fuentedeprrafopredeter"/>
    <w:link w:val="Textonotapie"/>
    <w:uiPriority w:val="99"/>
    <w:rsid w:val="00750702"/>
    <w:rPr>
      <w:rFonts w:eastAsia="Times New Roman" w:cs="Times New Roman"/>
      <w:kern w:val="0"/>
      <w:sz w:val="20"/>
      <w:szCs w:val="20"/>
      <w:lang w:eastAsia="es-ES"/>
      <w14:ligatures w14:val="none"/>
    </w:rPr>
  </w:style>
  <w:style w:type="character" w:styleId="Hipervnculo">
    <w:name w:val="Hyperlink"/>
    <w:basedOn w:val="Fuentedeprrafopredeter"/>
    <w:uiPriority w:val="99"/>
    <w:unhideWhenUsed/>
    <w:rsid w:val="002E591A"/>
    <w:rPr>
      <w:color w:val="467886" w:themeColor="hyperlink"/>
      <w:u w:val="single"/>
    </w:rPr>
  </w:style>
  <w:style w:type="character" w:styleId="Mencinsinresolver">
    <w:name w:val="Unresolved Mention"/>
    <w:basedOn w:val="Fuentedeprrafopredeter"/>
    <w:uiPriority w:val="99"/>
    <w:semiHidden/>
    <w:unhideWhenUsed/>
    <w:rsid w:val="002E591A"/>
    <w:rPr>
      <w:color w:val="605E5C"/>
      <w:shd w:val="clear" w:color="auto" w:fill="E1DFDD"/>
    </w:rPr>
  </w:style>
  <w:style w:type="paragraph" w:customStyle="1" w:styleId="parrafo">
    <w:name w:val="parrafo"/>
    <w:basedOn w:val="Normal"/>
    <w:rsid w:val="00763BF3"/>
    <w:pPr>
      <w:spacing w:before="100" w:beforeAutospacing="1" w:after="100" w:afterAutospacing="1"/>
    </w:pPr>
  </w:style>
  <w:style w:type="paragraph" w:styleId="Textoindependiente">
    <w:name w:val="Body Text"/>
    <w:basedOn w:val="Normal"/>
    <w:link w:val="TextoindependienteCar"/>
    <w:uiPriority w:val="1"/>
    <w:qFormat/>
    <w:rsid w:val="00CE0D10"/>
    <w:pPr>
      <w:tabs>
        <w:tab w:val="left" w:pos="-720"/>
      </w:tabs>
      <w:autoSpaceDE w:val="0"/>
      <w:autoSpaceDN w:val="0"/>
      <w:adjustRightInd w:val="0"/>
      <w:spacing w:line="288" w:lineRule="atLeast"/>
      <w:jc w:val="both"/>
    </w:pPr>
    <w:rPr>
      <w:sz w:val="20"/>
    </w:rPr>
  </w:style>
  <w:style w:type="character" w:customStyle="1" w:styleId="TextoindependienteCar">
    <w:name w:val="Texto independiente Car"/>
    <w:basedOn w:val="Fuentedeprrafopredeter"/>
    <w:link w:val="Textoindependiente"/>
    <w:uiPriority w:val="1"/>
    <w:rsid w:val="00CE0D10"/>
    <w:rPr>
      <w:rFonts w:eastAsia="Times New Roman" w:cs="Times New Roman"/>
      <w:kern w:val="0"/>
      <w:sz w:val="20"/>
      <w:szCs w:val="24"/>
      <w:lang w:eastAsia="es-ES"/>
      <w14:ligatures w14:val="none"/>
    </w:rPr>
  </w:style>
  <w:style w:type="paragraph" w:styleId="Encabezado">
    <w:name w:val="header"/>
    <w:basedOn w:val="Normal"/>
    <w:link w:val="EncabezadoCar"/>
    <w:uiPriority w:val="99"/>
    <w:unhideWhenUsed/>
    <w:rsid w:val="00E3148A"/>
    <w:pPr>
      <w:tabs>
        <w:tab w:val="center" w:pos="4252"/>
        <w:tab w:val="right" w:pos="8504"/>
      </w:tabs>
    </w:pPr>
  </w:style>
  <w:style w:type="character" w:customStyle="1" w:styleId="EncabezadoCar">
    <w:name w:val="Encabezado Car"/>
    <w:basedOn w:val="Fuentedeprrafopredeter"/>
    <w:link w:val="Encabezado"/>
    <w:uiPriority w:val="99"/>
    <w:rsid w:val="00E3148A"/>
    <w:rPr>
      <w:rFonts w:eastAsia="Times New Roman" w:cs="Times New Roman"/>
      <w:kern w:val="0"/>
      <w:szCs w:val="24"/>
      <w:lang w:eastAsia="es-ES"/>
      <w14:ligatures w14:val="none"/>
    </w:rPr>
  </w:style>
  <w:style w:type="paragraph" w:styleId="Piedepgina">
    <w:name w:val="footer"/>
    <w:basedOn w:val="Normal"/>
    <w:link w:val="PiedepginaCar"/>
    <w:uiPriority w:val="99"/>
    <w:unhideWhenUsed/>
    <w:rsid w:val="00E3148A"/>
    <w:pPr>
      <w:tabs>
        <w:tab w:val="center" w:pos="4252"/>
        <w:tab w:val="right" w:pos="8504"/>
      </w:tabs>
    </w:pPr>
  </w:style>
  <w:style w:type="character" w:customStyle="1" w:styleId="PiedepginaCar">
    <w:name w:val="Pie de página Car"/>
    <w:basedOn w:val="Fuentedeprrafopredeter"/>
    <w:link w:val="Piedepgina"/>
    <w:uiPriority w:val="99"/>
    <w:rsid w:val="00E3148A"/>
    <w:rPr>
      <w:rFonts w:eastAsia="Times New Roman" w:cs="Times New Roman"/>
      <w:kern w:val="0"/>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30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ncitral.un.org/en/judicialsaleofships/status" TargetMode="External"/><Relationship Id="rId2" Type="http://schemas.openxmlformats.org/officeDocument/2006/relationships/hyperlink" Target="https://shorturl.at/gjlof" TargetMode="External"/><Relationship Id="rId1" Type="http://schemas.openxmlformats.org/officeDocument/2006/relationships/hyperlink" Target="https://masterenderechodelosnegocios.uab.cat/" TargetMode="External"/><Relationship Id="rId4" Type="http://schemas.openxmlformats.org/officeDocument/2006/relationships/hyperlink" Target="https://globalfishingwatch.org/es/transparencia/pesquerias-peruanas-covid-1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1EF64-89E0-47A6-A093-98589AACA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11230</Words>
  <Characters>61769</Characters>
  <Application>Microsoft Office Word</Application>
  <DocSecurity>0</DocSecurity>
  <Lines>514</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Eliseo Sierra Noguero</dc:creator>
  <cp:keywords/>
  <dc:description/>
  <cp:lastModifiedBy>Eliseo Sierra Noguero</cp:lastModifiedBy>
  <cp:revision>2</cp:revision>
  <dcterms:created xsi:type="dcterms:W3CDTF">2024-07-10T15:06:00Z</dcterms:created>
  <dcterms:modified xsi:type="dcterms:W3CDTF">2024-07-10T15:06:00Z</dcterms:modified>
</cp:coreProperties>
</file>