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71CEFF" w14:textId="1B0E885F" w:rsidR="0036563D" w:rsidRPr="004F7B88" w:rsidRDefault="0036563D" w:rsidP="0036563D">
      <w:pPr>
        <w:jc w:val="both"/>
        <w:rPr>
          <w:rFonts w:cs="Times New Roman"/>
          <w:b/>
          <w:bCs/>
          <w:sz w:val="24"/>
          <w:szCs w:val="24"/>
        </w:rPr>
      </w:pPr>
      <w:r w:rsidRPr="004F7B88">
        <w:rPr>
          <w:rFonts w:cs="Times New Roman"/>
          <w:b/>
          <w:bCs/>
          <w:sz w:val="24"/>
          <w:szCs w:val="24"/>
        </w:rPr>
        <w:t xml:space="preserve">PROTECCIÓN DEL MEDIO AMBIENTE MARINO </w:t>
      </w:r>
      <w:r w:rsidR="00E144B5" w:rsidRPr="004F7B88">
        <w:rPr>
          <w:rFonts w:cs="Times New Roman"/>
          <w:b/>
          <w:bCs/>
          <w:sz w:val="24"/>
          <w:szCs w:val="24"/>
        </w:rPr>
        <w:t xml:space="preserve">DE LA UNIÓN EUROPEA </w:t>
      </w:r>
      <w:r w:rsidRPr="004F7B88">
        <w:rPr>
          <w:rFonts w:cs="Times New Roman"/>
          <w:b/>
          <w:bCs/>
          <w:sz w:val="24"/>
          <w:szCs w:val="24"/>
        </w:rPr>
        <w:t>MEDIANTE EL DERECHO PENAL</w:t>
      </w:r>
    </w:p>
    <w:p w14:paraId="116FD03D" w14:textId="6EB732E1" w:rsidR="00E144B5" w:rsidRPr="004F7B88" w:rsidRDefault="0036563D" w:rsidP="0036563D">
      <w:pPr>
        <w:jc w:val="both"/>
        <w:rPr>
          <w:rFonts w:cs="Times New Roman"/>
          <w:sz w:val="24"/>
          <w:szCs w:val="24"/>
        </w:rPr>
      </w:pPr>
      <w:r w:rsidRPr="004F7B88">
        <w:rPr>
          <w:rFonts w:cs="Times New Roman"/>
          <w:sz w:val="24"/>
          <w:szCs w:val="24"/>
        </w:rPr>
        <w:t>La Directiva (UE) 2024/1203, de 11 de abril de 2024, relativa a la protección del medio ambiente mediante el Derecho penal y por la que se sustituyen las Directivas 2008/99/CE y 2009/123/CE (</w:t>
      </w:r>
      <w:r w:rsidRPr="00335E30">
        <w:rPr>
          <w:rFonts w:cs="Times New Roman"/>
          <w:i/>
          <w:iCs/>
          <w:sz w:val="24"/>
          <w:szCs w:val="24"/>
        </w:rPr>
        <w:t>DOUE</w:t>
      </w:r>
      <w:r w:rsidR="00335E30">
        <w:rPr>
          <w:rFonts w:cs="Times New Roman"/>
          <w:sz w:val="24"/>
          <w:szCs w:val="24"/>
        </w:rPr>
        <w:t xml:space="preserve"> </w:t>
      </w:r>
      <w:r w:rsidRPr="004F7B88">
        <w:rPr>
          <w:rFonts w:cs="Times New Roman"/>
          <w:sz w:val="24"/>
          <w:szCs w:val="24"/>
        </w:rPr>
        <w:t>L 30 de abril 2024)</w:t>
      </w:r>
      <w:r w:rsidR="00335E30">
        <w:rPr>
          <w:rFonts w:cs="Times New Roman"/>
          <w:sz w:val="24"/>
          <w:szCs w:val="24"/>
        </w:rPr>
        <w:t>,</w:t>
      </w:r>
      <w:r w:rsidRPr="004F7B88">
        <w:rPr>
          <w:rFonts w:cs="Times New Roman"/>
          <w:sz w:val="24"/>
          <w:szCs w:val="24"/>
        </w:rPr>
        <w:t xml:space="preserve"> </w:t>
      </w:r>
      <w:r w:rsidR="00B84FF3" w:rsidRPr="004F7B88">
        <w:rPr>
          <w:rFonts w:cs="Times New Roman"/>
          <w:sz w:val="24"/>
          <w:szCs w:val="24"/>
        </w:rPr>
        <w:t xml:space="preserve">revisa la lista de </w:t>
      </w:r>
      <w:r w:rsidRPr="004F7B88">
        <w:rPr>
          <w:rFonts w:cs="Times New Roman"/>
          <w:sz w:val="24"/>
          <w:szCs w:val="24"/>
        </w:rPr>
        <w:t xml:space="preserve">delitos medioambientales y </w:t>
      </w:r>
      <w:r w:rsidR="00B84FF3" w:rsidRPr="004F7B88">
        <w:rPr>
          <w:rFonts w:cs="Times New Roman"/>
          <w:sz w:val="24"/>
          <w:szCs w:val="24"/>
        </w:rPr>
        <w:t xml:space="preserve">añade nuevos delitos basados en las infracciones más graves </w:t>
      </w:r>
      <w:r w:rsidRPr="004F7B88">
        <w:rPr>
          <w:rFonts w:cs="Times New Roman"/>
          <w:sz w:val="24"/>
          <w:szCs w:val="24"/>
        </w:rPr>
        <w:t>del Derecho medioambiental de la Unión Europea</w:t>
      </w:r>
      <w:r w:rsidR="00335E30">
        <w:rPr>
          <w:rFonts w:cs="Times New Roman"/>
          <w:sz w:val="24"/>
          <w:szCs w:val="24"/>
        </w:rPr>
        <w:t>. L</w:t>
      </w:r>
      <w:r w:rsidR="00B84FF3" w:rsidRPr="004F7B88">
        <w:rPr>
          <w:rFonts w:cs="Times New Roman"/>
          <w:sz w:val="24"/>
          <w:szCs w:val="24"/>
        </w:rPr>
        <w:t xml:space="preserve">os Estados </w:t>
      </w:r>
      <w:r w:rsidR="00335E30">
        <w:rPr>
          <w:rFonts w:cs="Times New Roman"/>
          <w:sz w:val="24"/>
          <w:szCs w:val="24"/>
        </w:rPr>
        <w:t xml:space="preserve">miembros han de </w:t>
      </w:r>
      <w:r w:rsidR="00B84FF3" w:rsidRPr="004F7B88">
        <w:rPr>
          <w:rFonts w:cs="Times New Roman"/>
          <w:sz w:val="24"/>
          <w:szCs w:val="24"/>
        </w:rPr>
        <w:t>transponer</w:t>
      </w:r>
      <w:r w:rsidR="00335E30">
        <w:rPr>
          <w:rFonts w:cs="Times New Roman"/>
          <w:sz w:val="24"/>
          <w:szCs w:val="24"/>
        </w:rPr>
        <w:t>la</w:t>
      </w:r>
      <w:r w:rsidR="00B84FF3" w:rsidRPr="004F7B88">
        <w:rPr>
          <w:rFonts w:cs="Times New Roman"/>
          <w:sz w:val="24"/>
          <w:szCs w:val="24"/>
        </w:rPr>
        <w:t xml:space="preserve"> a su respectivo Derecho nacional</w:t>
      </w:r>
      <w:r w:rsidR="00335E30">
        <w:rPr>
          <w:rFonts w:cs="Times New Roman"/>
          <w:sz w:val="24"/>
          <w:szCs w:val="24"/>
        </w:rPr>
        <w:t xml:space="preserve"> y no les </w:t>
      </w:r>
      <w:r w:rsidR="00E144B5" w:rsidRPr="004F7B88">
        <w:rPr>
          <w:rFonts w:cs="Times New Roman"/>
          <w:sz w:val="24"/>
          <w:szCs w:val="24"/>
        </w:rPr>
        <w:t xml:space="preserve">exime de establecer </w:t>
      </w:r>
      <w:r w:rsidR="00335E30">
        <w:rPr>
          <w:rFonts w:cs="Times New Roman"/>
          <w:sz w:val="24"/>
          <w:szCs w:val="24"/>
        </w:rPr>
        <w:t xml:space="preserve">también </w:t>
      </w:r>
      <w:r w:rsidR="00E144B5" w:rsidRPr="004F7B88">
        <w:rPr>
          <w:rFonts w:cs="Times New Roman"/>
          <w:sz w:val="24"/>
          <w:szCs w:val="24"/>
        </w:rPr>
        <w:t xml:space="preserve">sanciones administrativas para las infracciones del Derecho medioambiental. </w:t>
      </w:r>
    </w:p>
    <w:p w14:paraId="18462C71" w14:textId="11FB7B45" w:rsidR="009372FE" w:rsidRPr="004F7B88" w:rsidRDefault="00B84FF3" w:rsidP="0036563D">
      <w:pPr>
        <w:jc w:val="both"/>
        <w:rPr>
          <w:rFonts w:cs="Times New Roman"/>
          <w:sz w:val="24"/>
          <w:szCs w:val="24"/>
        </w:rPr>
      </w:pPr>
      <w:r w:rsidRPr="004F7B88">
        <w:rPr>
          <w:rFonts w:cs="Times New Roman"/>
          <w:sz w:val="24"/>
          <w:szCs w:val="24"/>
        </w:rPr>
        <w:t xml:space="preserve">Algunos </w:t>
      </w:r>
      <w:r w:rsidR="00E144B5" w:rsidRPr="004F7B88">
        <w:rPr>
          <w:rFonts w:cs="Times New Roman"/>
          <w:sz w:val="24"/>
          <w:szCs w:val="24"/>
        </w:rPr>
        <w:t xml:space="preserve">nuevos </w:t>
      </w:r>
      <w:r w:rsidRPr="004F7B88">
        <w:rPr>
          <w:rFonts w:cs="Times New Roman"/>
          <w:sz w:val="24"/>
          <w:szCs w:val="24"/>
        </w:rPr>
        <w:t xml:space="preserve">delitos </w:t>
      </w:r>
      <w:r w:rsidR="00E144B5" w:rsidRPr="004F7B88">
        <w:rPr>
          <w:rFonts w:cs="Times New Roman"/>
          <w:sz w:val="24"/>
          <w:szCs w:val="24"/>
        </w:rPr>
        <w:t xml:space="preserve">introducidos por la Directiva (UE) 2024/1203 </w:t>
      </w:r>
      <w:r w:rsidR="00335E30">
        <w:rPr>
          <w:rFonts w:cs="Times New Roman"/>
          <w:sz w:val="24"/>
          <w:szCs w:val="24"/>
        </w:rPr>
        <w:t>afectan a</w:t>
      </w:r>
      <w:r w:rsidRPr="004F7B88">
        <w:rPr>
          <w:rFonts w:cs="Times New Roman"/>
          <w:sz w:val="24"/>
          <w:szCs w:val="24"/>
        </w:rPr>
        <w:t>l medio ambiente marino</w:t>
      </w:r>
      <w:r w:rsidR="00335E30">
        <w:rPr>
          <w:rFonts w:cs="Times New Roman"/>
          <w:sz w:val="24"/>
          <w:szCs w:val="24"/>
        </w:rPr>
        <w:t>: el reciclado de buques y la descarga de sustancias contaminantes</w:t>
      </w:r>
      <w:r w:rsidRPr="004F7B88">
        <w:rPr>
          <w:rFonts w:cs="Times New Roman"/>
          <w:sz w:val="24"/>
          <w:szCs w:val="24"/>
        </w:rPr>
        <w:t xml:space="preserve">. En primer lugar, </w:t>
      </w:r>
      <w:r w:rsidR="005A6CAB" w:rsidRPr="004F7B88">
        <w:rPr>
          <w:rFonts w:cs="Times New Roman"/>
          <w:sz w:val="24"/>
          <w:szCs w:val="24"/>
        </w:rPr>
        <w:t>con arreglo a</w:t>
      </w:r>
      <w:r w:rsidR="00E144B5" w:rsidRPr="004F7B88">
        <w:rPr>
          <w:rFonts w:cs="Times New Roman"/>
          <w:sz w:val="24"/>
          <w:szCs w:val="24"/>
        </w:rPr>
        <w:t xml:space="preserve"> su</w:t>
      </w:r>
      <w:r w:rsidR="005A6CAB" w:rsidRPr="004F7B88">
        <w:rPr>
          <w:rFonts w:cs="Times New Roman"/>
          <w:sz w:val="24"/>
          <w:szCs w:val="24"/>
        </w:rPr>
        <w:t xml:space="preserve"> art. 3.h, </w:t>
      </w:r>
      <w:r w:rsidR="00C81E23" w:rsidRPr="004F7B88">
        <w:rPr>
          <w:rFonts w:cs="Times New Roman"/>
          <w:sz w:val="24"/>
          <w:szCs w:val="24"/>
        </w:rPr>
        <w:t>los Estados miembros</w:t>
      </w:r>
      <w:r w:rsidR="0063018B">
        <w:rPr>
          <w:rFonts w:cs="Times New Roman"/>
          <w:sz w:val="24"/>
          <w:szCs w:val="24"/>
        </w:rPr>
        <w:t xml:space="preserve"> </w:t>
      </w:r>
      <w:r w:rsidR="00335E30">
        <w:rPr>
          <w:rFonts w:cs="Times New Roman"/>
          <w:sz w:val="24"/>
          <w:szCs w:val="24"/>
        </w:rPr>
        <w:t xml:space="preserve">han de garantizar </w:t>
      </w:r>
      <w:r w:rsidR="00C81E23" w:rsidRPr="004F7B88">
        <w:rPr>
          <w:rFonts w:cs="Times New Roman"/>
          <w:sz w:val="24"/>
          <w:szCs w:val="24"/>
        </w:rPr>
        <w:t xml:space="preserve">que </w:t>
      </w:r>
      <w:r w:rsidR="00335E30">
        <w:rPr>
          <w:rFonts w:cs="Times New Roman"/>
          <w:sz w:val="24"/>
          <w:szCs w:val="24"/>
        </w:rPr>
        <w:t>sea</w:t>
      </w:r>
      <w:r w:rsidR="00C81E23" w:rsidRPr="004F7B88">
        <w:rPr>
          <w:rFonts w:cs="Times New Roman"/>
          <w:sz w:val="24"/>
          <w:szCs w:val="24"/>
        </w:rPr>
        <w:t xml:space="preserve"> delito</w:t>
      </w:r>
      <w:r w:rsidR="00335E30">
        <w:rPr>
          <w:rFonts w:cs="Times New Roman"/>
          <w:sz w:val="24"/>
          <w:szCs w:val="24"/>
        </w:rPr>
        <w:t>,</w:t>
      </w:r>
      <w:r w:rsidR="00012B0D">
        <w:rPr>
          <w:rFonts w:cs="Times New Roman"/>
          <w:sz w:val="24"/>
          <w:szCs w:val="24"/>
        </w:rPr>
        <w:t xml:space="preserve"> </w:t>
      </w:r>
      <w:r w:rsidR="00C81E23" w:rsidRPr="004F7B88">
        <w:rPr>
          <w:rFonts w:cs="Times New Roman"/>
          <w:sz w:val="24"/>
          <w:szCs w:val="24"/>
        </w:rPr>
        <w:t>cuando sea ilícito e intencionado</w:t>
      </w:r>
      <w:r w:rsidR="00012B0D">
        <w:rPr>
          <w:rFonts w:cs="Times New Roman"/>
          <w:sz w:val="24"/>
          <w:szCs w:val="24"/>
        </w:rPr>
        <w:t>,</w:t>
      </w:r>
      <w:r w:rsidRPr="004F7B88">
        <w:rPr>
          <w:rFonts w:cs="Times New Roman"/>
          <w:sz w:val="24"/>
          <w:szCs w:val="24"/>
        </w:rPr>
        <w:t xml:space="preserve"> </w:t>
      </w:r>
      <w:r w:rsidR="00C81E23" w:rsidRPr="004F7B88">
        <w:rPr>
          <w:rFonts w:cs="Times New Roman"/>
          <w:sz w:val="24"/>
          <w:szCs w:val="24"/>
        </w:rPr>
        <w:t xml:space="preserve">el reciclado de buques que entre dentro del ámbito de aplicación del Reglamento (UE) 1257/2013, </w:t>
      </w:r>
      <w:r w:rsidR="00012B0D" w:rsidRPr="00012B0D">
        <w:rPr>
          <w:rFonts w:cs="Times New Roman"/>
          <w:sz w:val="24"/>
          <w:szCs w:val="24"/>
        </w:rPr>
        <w:t>de 20 de noviembre de 2013</w:t>
      </w:r>
      <w:r w:rsidR="00012B0D">
        <w:rPr>
          <w:rFonts w:cs="Times New Roman"/>
          <w:sz w:val="24"/>
          <w:szCs w:val="24"/>
        </w:rPr>
        <w:t>,</w:t>
      </w:r>
      <w:r w:rsidR="00012B0D" w:rsidRPr="00012B0D">
        <w:rPr>
          <w:rFonts w:cs="Times New Roman"/>
          <w:sz w:val="24"/>
          <w:szCs w:val="24"/>
        </w:rPr>
        <w:t xml:space="preserve"> </w:t>
      </w:r>
      <w:r w:rsidR="00C81E23" w:rsidRPr="004F7B88">
        <w:rPr>
          <w:rFonts w:cs="Times New Roman"/>
          <w:sz w:val="24"/>
          <w:szCs w:val="24"/>
        </w:rPr>
        <w:t>cuando dicha conducta incumpla los requisitos de su art. 6.2.a)</w:t>
      </w:r>
      <w:r w:rsidR="00012B0D">
        <w:rPr>
          <w:rFonts w:cs="Times New Roman"/>
          <w:sz w:val="24"/>
          <w:szCs w:val="24"/>
        </w:rPr>
        <w:t xml:space="preserve">. Este precepto </w:t>
      </w:r>
      <w:r w:rsidR="00C81E23" w:rsidRPr="004F7B88">
        <w:rPr>
          <w:rFonts w:cs="Times New Roman"/>
          <w:sz w:val="24"/>
          <w:szCs w:val="24"/>
        </w:rPr>
        <w:t>admite únicamente que se “</w:t>
      </w:r>
      <w:r w:rsidR="00C81E23" w:rsidRPr="004F7B88">
        <w:rPr>
          <w:rFonts w:cs="Times New Roman"/>
          <w:i/>
          <w:iCs/>
          <w:sz w:val="24"/>
          <w:szCs w:val="24"/>
        </w:rPr>
        <w:t>reciclen en instalaciones de reciclado de buques que figuren en la lista europea</w:t>
      </w:r>
      <w:r w:rsidR="00C81E23" w:rsidRPr="004F7B88">
        <w:rPr>
          <w:rFonts w:cs="Times New Roman"/>
          <w:sz w:val="24"/>
          <w:szCs w:val="24"/>
        </w:rPr>
        <w:t xml:space="preserve">”. </w:t>
      </w:r>
      <w:r w:rsidR="005A6CAB" w:rsidRPr="004F7B88">
        <w:rPr>
          <w:rFonts w:cs="Times New Roman"/>
          <w:sz w:val="24"/>
          <w:szCs w:val="24"/>
        </w:rPr>
        <w:t xml:space="preserve">En segundo lugar, según el art. 3.i Directiva (UE) 2024/1023, </w:t>
      </w:r>
      <w:r w:rsidR="000463C2">
        <w:rPr>
          <w:rFonts w:cs="Times New Roman"/>
          <w:sz w:val="24"/>
          <w:szCs w:val="24"/>
        </w:rPr>
        <w:t xml:space="preserve">los Estados también han de garantizar que sea delito: (i) </w:t>
      </w:r>
      <w:r w:rsidR="005A6CAB" w:rsidRPr="004F7B88">
        <w:rPr>
          <w:rFonts w:cs="Times New Roman"/>
          <w:sz w:val="24"/>
          <w:szCs w:val="24"/>
        </w:rPr>
        <w:t>la descarga procedente de buques de sustancias contaminantes</w:t>
      </w:r>
      <w:r w:rsidR="000463C2">
        <w:rPr>
          <w:rFonts w:cs="Times New Roman"/>
          <w:sz w:val="24"/>
          <w:szCs w:val="24"/>
        </w:rPr>
        <w:t>, (ii)</w:t>
      </w:r>
      <w:r w:rsidR="005A6CAB" w:rsidRPr="004F7B88">
        <w:rPr>
          <w:rFonts w:cs="Times New Roman"/>
          <w:sz w:val="24"/>
          <w:szCs w:val="24"/>
        </w:rPr>
        <w:t xml:space="preserve"> comprendidas en el ámbito de aplicación del art. 3 Directiva 2005/35/CE, </w:t>
      </w:r>
      <w:r w:rsidR="000463C2">
        <w:rPr>
          <w:rFonts w:cs="Times New Roman"/>
          <w:sz w:val="24"/>
          <w:szCs w:val="24"/>
        </w:rPr>
        <w:t xml:space="preserve">(iii) </w:t>
      </w:r>
      <w:r w:rsidR="005A6CAB" w:rsidRPr="004F7B88">
        <w:rPr>
          <w:rFonts w:cs="Times New Roman"/>
          <w:sz w:val="24"/>
          <w:szCs w:val="24"/>
        </w:rPr>
        <w:t xml:space="preserve">en cualquiera de las zonas a que se refiere el art. 3.1 de la citada Directiva, </w:t>
      </w:r>
      <w:r w:rsidR="000463C2">
        <w:rPr>
          <w:rFonts w:cs="Times New Roman"/>
          <w:sz w:val="24"/>
          <w:szCs w:val="24"/>
        </w:rPr>
        <w:t xml:space="preserve">(iv) </w:t>
      </w:r>
      <w:r w:rsidR="005A6CAB" w:rsidRPr="004F7B88">
        <w:rPr>
          <w:rFonts w:cs="Times New Roman"/>
          <w:sz w:val="24"/>
          <w:szCs w:val="24"/>
        </w:rPr>
        <w:t xml:space="preserve">salvo que dicha descarga cumpla las condiciones para aplicar las excepciones previstas en su art. 5, y </w:t>
      </w:r>
      <w:r w:rsidR="000463C2">
        <w:rPr>
          <w:rFonts w:cs="Times New Roman"/>
          <w:sz w:val="24"/>
          <w:szCs w:val="24"/>
        </w:rPr>
        <w:t xml:space="preserve">(v) </w:t>
      </w:r>
      <w:r w:rsidR="005A6CAB" w:rsidRPr="004F7B88">
        <w:rPr>
          <w:rFonts w:cs="Times New Roman"/>
          <w:sz w:val="24"/>
          <w:szCs w:val="24"/>
        </w:rPr>
        <w:t>que cause o pueda causar un deterioro de la calidad de las aguas o daños en el medio marino</w:t>
      </w:r>
      <w:r w:rsidR="000463C2">
        <w:rPr>
          <w:rFonts w:cs="Times New Roman"/>
          <w:sz w:val="24"/>
          <w:szCs w:val="24"/>
        </w:rPr>
        <w:t>.</w:t>
      </w:r>
      <w:r w:rsidR="00E144B5" w:rsidRPr="004F7B88">
        <w:rPr>
          <w:rFonts w:cs="Times New Roman"/>
          <w:sz w:val="24"/>
          <w:szCs w:val="24"/>
        </w:rPr>
        <w:t xml:space="preserve"> (E.S.N.)</w:t>
      </w:r>
    </w:p>
    <w:p w14:paraId="687F25F4" w14:textId="77777777" w:rsidR="00893D62" w:rsidRPr="004F7B88" w:rsidRDefault="00893D62" w:rsidP="0036563D">
      <w:pPr>
        <w:jc w:val="both"/>
        <w:rPr>
          <w:rFonts w:cs="Times New Roman"/>
          <w:sz w:val="24"/>
          <w:szCs w:val="24"/>
        </w:rPr>
      </w:pPr>
    </w:p>
    <w:p w14:paraId="11BCC86C" w14:textId="4BE87B27" w:rsidR="00893D62" w:rsidRPr="004F7B88" w:rsidRDefault="00CB0322" w:rsidP="0036563D">
      <w:pPr>
        <w:jc w:val="both"/>
        <w:rPr>
          <w:rFonts w:cs="Times New Roman"/>
          <w:b/>
          <w:bCs/>
          <w:sz w:val="24"/>
          <w:szCs w:val="24"/>
        </w:rPr>
      </w:pPr>
      <w:r>
        <w:rPr>
          <w:rFonts w:cs="Times New Roman"/>
          <w:b/>
          <w:bCs/>
          <w:sz w:val="24"/>
          <w:szCs w:val="24"/>
        </w:rPr>
        <w:t>CONSIDERACIÓN COMUNITARIA DE LOS</w:t>
      </w:r>
      <w:r w:rsidR="002D2434" w:rsidRPr="004F7B88">
        <w:rPr>
          <w:rFonts w:cs="Times New Roman"/>
          <w:b/>
          <w:bCs/>
          <w:sz w:val="24"/>
          <w:szCs w:val="24"/>
        </w:rPr>
        <w:t xml:space="preserve"> BUQUES</w:t>
      </w:r>
      <w:r>
        <w:rPr>
          <w:rFonts w:cs="Times New Roman"/>
          <w:b/>
          <w:bCs/>
          <w:sz w:val="24"/>
          <w:szCs w:val="24"/>
        </w:rPr>
        <w:t xml:space="preserve"> PARA RECICLADO COMO RESIDUOS</w:t>
      </w:r>
    </w:p>
    <w:p w14:paraId="7A6F1389" w14:textId="77777777" w:rsidR="00301E85" w:rsidRDefault="00893D62" w:rsidP="0036563D">
      <w:pPr>
        <w:jc w:val="both"/>
        <w:rPr>
          <w:rFonts w:cs="Times New Roman"/>
          <w:sz w:val="24"/>
          <w:szCs w:val="24"/>
        </w:rPr>
      </w:pPr>
      <w:r w:rsidRPr="004F7B88">
        <w:rPr>
          <w:rFonts w:cs="Times New Roman"/>
          <w:sz w:val="24"/>
          <w:szCs w:val="24"/>
        </w:rPr>
        <w:t>El Reglamento (UE) 2024/1157, de 11 de abril de 2024, relativo a los traslados de residuos, por el que se modificac</w:t>
      </w:r>
      <w:r w:rsidR="00EF19CC" w:rsidRPr="004F7B88">
        <w:rPr>
          <w:rFonts w:cs="Times New Roman"/>
          <w:sz w:val="24"/>
          <w:szCs w:val="24"/>
        </w:rPr>
        <w:t>ió</w:t>
      </w:r>
      <w:r w:rsidRPr="004F7B88">
        <w:rPr>
          <w:rFonts w:cs="Times New Roman"/>
          <w:sz w:val="24"/>
          <w:szCs w:val="24"/>
        </w:rPr>
        <w:t>n los Reglamentos (UE)1257/2013 y (UE) 2020/1056, y se deroga el Reglamento (CE) 1013/2006 (</w:t>
      </w:r>
      <w:r w:rsidRPr="00301E85">
        <w:rPr>
          <w:rFonts w:cs="Times New Roman"/>
          <w:i/>
          <w:iCs/>
          <w:sz w:val="24"/>
          <w:szCs w:val="24"/>
        </w:rPr>
        <w:t>DOUE</w:t>
      </w:r>
      <w:r w:rsidR="00301E85">
        <w:rPr>
          <w:rFonts w:cs="Times New Roman"/>
          <w:sz w:val="24"/>
          <w:szCs w:val="24"/>
        </w:rPr>
        <w:t xml:space="preserve"> </w:t>
      </w:r>
      <w:r w:rsidRPr="004F7B88">
        <w:rPr>
          <w:rFonts w:cs="Times New Roman"/>
          <w:sz w:val="24"/>
          <w:szCs w:val="24"/>
        </w:rPr>
        <w:t xml:space="preserve">L 30 abril 2024), prevé mejoras para proteger el medio ambiente y la salud humana de los efectos adversos que pueden derivarse de los traslados de residuos. </w:t>
      </w:r>
    </w:p>
    <w:p w14:paraId="6D8AFBF4" w14:textId="77777777" w:rsidR="00301E85" w:rsidRDefault="00301E85" w:rsidP="0036563D">
      <w:pPr>
        <w:jc w:val="both"/>
        <w:rPr>
          <w:rFonts w:cs="Times New Roman"/>
          <w:sz w:val="24"/>
          <w:szCs w:val="24"/>
        </w:rPr>
      </w:pPr>
      <w:r>
        <w:rPr>
          <w:rFonts w:cs="Times New Roman"/>
          <w:sz w:val="24"/>
          <w:szCs w:val="24"/>
        </w:rPr>
        <w:t>Los buques destinados a reciclado en la Unión Europeo o destinados a ser reciclados fuera de la Unión Europea pueden ser considerados residuos bajo ciertas condiciones. Señalemos que la regla general es la inversa: los buques no son residuos. El</w:t>
      </w:r>
      <w:r w:rsidR="00893D62" w:rsidRPr="004F7B88">
        <w:rPr>
          <w:rFonts w:cs="Times New Roman"/>
          <w:sz w:val="24"/>
          <w:szCs w:val="24"/>
        </w:rPr>
        <w:t xml:space="preserve"> art. </w:t>
      </w:r>
      <w:r w:rsidR="00EF19CC" w:rsidRPr="004F7B88">
        <w:rPr>
          <w:rFonts w:cs="Times New Roman"/>
          <w:sz w:val="24"/>
          <w:szCs w:val="24"/>
        </w:rPr>
        <w:t>2.2.i</w:t>
      </w:r>
      <w:r>
        <w:rPr>
          <w:rFonts w:cs="Times New Roman"/>
          <w:sz w:val="24"/>
          <w:szCs w:val="24"/>
        </w:rPr>
        <w:t>.</w:t>
      </w:r>
      <w:r w:rsidR="00EF19CC" w:rsidRPr="004F7B88">
        <w:rPr>
          <w:rFonts w:cs="Times New Roman"/>
          <w:sz w:val="24"/>
          <w:szCs w:val="24"/>
        </w:rPr>
        <w:t xml:space="preserve"> </w:t>
      </w:r>
      <w:r w:rsidRPr="00301E85">
        <w:rPr>
          <w:rFonts w:cs="Times New Roman"/>
          <w:sz w:val="24"/>
          <w:szCs w:val="24"/>
        </w:rPr>
        <w:t>Reglamento (UE) 2024/1157</w:t>
      </w:r>
      <w:r>
        <w:rPr>
          <w:rFonts w:cs="Times New Roman"/>
          <w:sz w:val="24"/>
          <w:szCs w:val="24"/>
        </w:rPr>
        <w:t xml:space="preserve"> </w:t>
      </w:r>
      <w:r w:rsidR="00EF19CC" w:rsidRPr="004F7B88">
        <w:rPr>
          <w:rFonts w:cs="Times New Roman"/>
          <w:sz w:val="24"/>
          <w:szCs w:val="24"/>
        </w:rPr>
        <w:t xml:space="preserve">excluye </w:t>
      </w:r>
      <w:r>
        <w:rPr>
          <w:rFonts w:cs="Times New Roman"/>
          <w:sz w:val="24"/>
          <w:szCs w:val="24"/>
        </w:rPr>
        <w:t xml:space="preserve">así </w:t>
      </w:r>
      <w:r w:rsidR="00EF19CC" w:rsidRPr="004F7B88">
        <w:rPr>
          <w:rFonts w:cs="Times New Roman"/>
          <w:sz w:val="24"/>
          <w:szCs w:val="24"/>
        </w:rPr>
        <w:t xml:space="preserve">de su ámbito de aplicación a </w:t>
      </w:r>
      <w:r>
        <w:rPr>
          <w:rFonts w:cs="Times New Roman"/>
          <w:sz w:val="24"/>
          <w:szCs w:val="24"/>
        </w:rPr>
        <w:t>“</w:t>
      </w:r>
      <w:r w:rsidR="00EF19CC" w:rsidRPr="00301E85">
        <w:rPr>
          <w:rFonts w:cs="Times New Roman"/>
          <w:i/>
          <w:iCs/>
          <w:sz w:val="24"/>
          <w:szCs w:val="24"/>
        </w:rPr>
        <w:t>los buques que enarbolen el pabellón de un Estado miembro y estén incluidos en el ámbito de aplicación del Re</w:t>
      </w:r>
      <w:r w:rsidR="004451D7" w:rsidRPr="00301E85">
        <w:rPr>
          <w:rFonts w:cs="Times New Roman"/>
          <w:i/>
          <w:iCs/>
          <w:sz w:val="24"/>
          <w:szCs w:val="24"/>
        </w:rPr>
        <w:t>gla</w:t>
      </w:r>
      <w:r w:rsidR="00EF19CC" w:rsidRPr="00301E85">
        <w:rPr>
          <w:rFonts w:cs="Times New Roman"/>
          <w:i/>
          <w:iCs/>
          <w:sz w:val="24"/>
          <w:szCs w:val="24"/>
        </w:rPr>
        <w:t>mento (UE) 1257/2013</w:t>
      </w:r>
      <w:r>
        <w:rPr>
          <w:rFonts w:cs="Times New Roman"/>
          <w:sz w:val="24"/>
          <w:szCs w:val="24"/>
        </w:rPr>
        <w:t>”</w:t>
      </w:r>
      <w:r w:rsidR="00EF19CC" w:rsidRPr="004F7B88">
        <w:rPr>
          <w:rFonts w:cs="Times New Roman"/>
          <w:sz w:val="24"/>
          <w:szCs w:val="24"/>
        </w:rPr>
        <w:t xml:space="preserve">, </w:t>
      </w:r>
      <w:r w:rsidRPr="00012B0D">
        <w:rPr>
          <w:rFonts w:cs="Times New Roman"/>
          <w:sz w:val="24"/>
          <w:szCs w:val="24"/>
        </w:rPr>
        <w:t>de 20 de noviembre de 2013</w:t>
      </w:r>
      <w:r>
        <w:rPr>
          <w:rFonts w:cs="Times New Roman"/>
          <w:sz w:val="24"/>
          <w:szCs w:val="24"/>
        </w:rPr>
        <w:t>,</w:t>
      </w:r>
      <w:r w:rsidRPr="00012B0D">
        <w:rPr>
          <w:rFonts w:cs="Times New Roman"/>
          <w:sz w:val="24"/>
          <w:szCs w:val="24"/>
        </w:rPr>
        <w:t xml:space="preserve"> </w:t>
      </w:r>
      <w:r>
        <w:rPr>
          <w:rFonts w:cs="Times New Roman"/>
          <w:sz w:val="24"/>
          <w:szCs w:val="24"/>
        </w:rPr>
        <w:t xml:space="preserve">sobre reciclado de buques. No obstante, el mismo precepto prevé </w:t>
      </w:r>
      <w:r w:rsidR="00EF19CC" w:rsidRPr="004F7B88">
        <w:rPr>
          <w:rFonts w:cs="Times New Roman"/>
          <w:sz w:val="24"/>
          <w:szCs w:val="24"/>
        </w:rPr>
        <w:t xml:space="preserve">dos excepciones relevantes. </w:t>
      </w:r>
    </w:p>
    <w:p w14:paraId="5A6367C8" w14:textId="510F35FD" w:rsidR="00893D62" w:rsidRPr="004F7B88" w:rsidRDefault="00301E85" w:rsidP="0036563D">
      <w:pPr>
        <w:jc w:val="both"/>
        <w:rPr>
          <w:rFonts w:cs="Times New Roman"/>
          <w:sz w:val="24"/>
          <w:szCs w:val="24"/>
        </w:rPr>
      </w:pPr>
      <w:r>
        <w:rPr>
          <w:rFonts w:cs="Times New Roman"/>
          <w:sz w:val="24"/>
          <w:szCs w:val="24"/>
        </w:rPr>
        <w:t xml:space="preserve">La primera excepción es que </w:t>
      </w:r>
      <w:r w:rsidR="00EF19CC" w:rsidRPr="004F7B88">
        <w:rPr>
          <w:rFonts w:cs="Times New Roman"/>
          <w:sz w:val="24"/>
          <w:szCs w:val="24"/>
        </w:rPr>
        <w:t>el buque se</w:t>
      </w:r>
      <w:r>
        <w:rPr>
          <w:rFonts w:cs="Times New Roman"/>
          <w:sz w:val="24"/>
          <w:szCs w:val="24"/>
        </w:rPr>
        <w:t>a</w:t>
      </w:r>
      <w:r w:rsidR="00EF19CC" w:rsidRPr="004F7B88">
        <w:rPr>
          <w:rFonts w:cs="Times New Roman"/>
          <w:sz w:val="24"/>
          <w:szCs w:val="24"/>
        </w:rPr>
        <w:t xml:space="preserve"> consider</w:t>
      </w:r>
      <w:r>
        <w:rPr>
          <w:rFonts w:cs="Times New Roman"/>
          <w:sz w:val="24"/>
          <w:szCs w:val="24"/>
        </w:rPr>
        <w:t>ado</w:t>
      </w:r>
      <w:r w:rsidR="00EF19CC" w:rsidRPr="004F7B88">
        <w:rPr>
          <w:rFonts w:cs="Times New Roman"/>
          <w:sz w:val="24"/>
          <w:szCs w:val="24"/>
        </w:rPr>
        <w:t xml:space="preserve"> “</w:t>
      </w:r>
      <w:r w:rsidR="00EF19CC" w:rsidRPr="004F7B88">
        <w:rPr>
          <w:rFonts w:cs="Times New Roman"/>
          <w:i/>
          <w:iCs/>
          <w:sz w:val="24"/>
          <w:szCs w:val="24"/>
        </w:rPr>
        <w:t>residuo peligroso</w:t>
      </w:r>
      <w:r w:rsidR="00EF19CC" w:rsidRPr="004F7B88">
        <w:rPr>
          <w:rFonts w:cs="Times New Roman"/>
          <w:sz w:val="24"/>
          <w:szCs w:val="24"/>
        </w:rPr>
        <w:t>”</w:t>
      </w:r>
      <w:r>
        <w:rPr>
          <w:rFonts w:cs="Times New Roman"/>
          <w:sz w:val="24"/>
          <w:szCs w:val="24"/>
        </w:rPr>
        <w:t>, esté</w:t>
      </w:r>
      <w:r w:rsidR="00EF19CC" w:rsidRPr="004F7B88">
        <w:rPr>
          <w:rFonts w:cs="Times New Roman"/>
          <w:sz w:val="24"/>
          <w:szCs w:val="24"/>
        </w:rPr>
        <w:t xml:space="preserve"> situado en una zona bajo la jurisdicción de un Estado miembro y que s</w:t>
      </w:r>
      <w:r>
        <w:rPr>
          <w:rFonts w:cs="Times New Roman"/>
          <w:sz w:val="24"/>
          <w:szCs w:val="24"/>
        </w:rPr>
        <w:t>ea</w:t>
      </w:r>
      <w:r w:rsidR="00EF19CC" w:rsidRPr="004F7B88">
        <w:rPr>
          <w:rFonts w:cs="Times New Roman"/>
          <w:sz w:val="24"/>
          <w:szCs w:val="24"/>
        </w:rPr>
        <w:t xml:space="preserve"> “</w:t>
      </w:r>
      <w:r w:rsidR="00EF19CC" w:rsidRPr="004F7B88">
        <w:rPr>
          <w:rFonts w:cs="Times New Roman"/>
          <w:i/>
          <w:iCs/>
          <w:sz w:val="24"/>
          <w:szCs w:val="24"/>
        </w:rPr>
        <w:t>exportado</w:t>
      </w:r>
      <w:r w:rsidR="00EF19CC" w:rsidRPr="004F7B88">
        <w:rPr>
          <w:rFonts w:cs="Times New Roman"/>
          <w:sz w:val="24"/>
          <w:szCs w:val="24"/>
        </w:rPr>
        <w:t>” desde la Unión Europea para su “</w:t>
      </w:r>
      <w:r w:rsidR="00EF19CC" w:rsidRPr="004F7B88">
        <w:rPr>
          <w:rFonts w:cs="Times New Roman"/>
          <w:i/>
          <w:iCs/>
          <w:sz w:val="24"/>
          <w:szCs w:val="24"/>
        </w:rPr>
        <w:t>valorización</w:t>
      </w:r>
      <w:r w:rsidR="00EF19CC" w:rsidRPr="004F7B88">
        <w:rPr>
          <w:rFonts w:cs="Times New Roman"/>
          <w:sz w:val="24"/>
          <w:szCs w:val="24"/>
        </w:rPr>
        <w:t>”</w:t>
      </w:r>
      <w:r w:rsidR="002D2434" w:rsidRPr="004F7B88">
        <w:rPr>
          <w:rFonts w:cs="Times New Roman"/>
          <w:sz w:val="24"/>
          <w:szCs w:val="24"/>
        </w:rPr>
        <w:t xml:space="preserve"> [art. 2.2.i.i. Reglamento (UE) 2024/1157]. La valorización es un concepto </w:t>
      </w:r>
      <w:r w:rsidR="004451D7" w:rsidRPr="004F7B88">
        <w:rPr>
          <w:rFonts w:cs="Times New Roman"/>
          <w:sz w:val="24"/>
          <w:szCs w:val="24"/>
        </w:rPr>
        <w:t xml:space="preserve">referido a </w:t>
      </w:r>
      <w:r w:rsidR="00EF19CC" w:rsidRPr="004F7B88">
        <w:rPr>
          <w:rFonts w:cs="Times New Roman"/>
          <w:sz w:val="24"/>
          <w:szCs w:val="24"/>
        </w:rPr>
        <w:t xml:space="preserve">reducir o neutralizar las sustancias peligrosas que contiene el residuo y recuperar materias o sustancias valorizables del mismo. </w:t>
      </w:r>
      <w:r w:rsidR="004451D7" w:rsidRPr="004F7B88">
        <w:rPr>
          <w:rFonts w:cs="Times New Roman"/>
          <w:sz w:val="24"/>
          <w:szCs w:val="24"/>
        </w:rPr>
        <w:t>En estos supuestos</w:t>
      </w:r>
      <w:r w:rsidR="002D2434" w:rsidRPr="004F7B88">
        <w:rPr>
          <w:rFonts w:cs="Times New Roman"/>
          <w:sz w:val="24"/>
          <w:szCs w:val="24"/>
        </w:rPr>
        <w:t xml:space="preserve"> de traslado</w:t>
      </w:r>
      <w:r w:rsidR="004451D7" w:rsidRPr="004F7B88">
        <w:rPr>
          <w:rFonts w:cs="Times New Roman"/>
          <w:sz w:val="24"/>
          <w:szCs w:val="24"/>
        </w:rPr>
        <w:t xml:space="preserve">, es necesario garantizar que estos buques son exportados desde la Unión Europea con arreglo a las normas </w:t>
      </w:r>
      <w:r>
        <w:rPr>
          <w:rFonts w:cs="Times New Roman"/>
          <w:sz w:val="24"/>
          <w:szCs w:val="24"/>
        </w:rPr>
        <w:t xml:space="preserve">del </w:t>
      </w:r>
      <w:r w:rsidRPr="00301E85">
        <w:rPr>
          <w:rFonts w:cs="Times New Roman"/>
          <w:sz w:val="24"/>
          <w:szCs w:val="24"/>
        </w:rPr>
        <w:t>Reglamento (UE) 2024/1157</w:t>
      </w:r>
      <w:r>
        <w:rPr>
          <w:rFonts w:cs="Times New Roman"/>
          <w:sz w:val="24"/>
          <w:szCs w:val="24"/>
        </w:rPr>
        <w:t xml:space="preserve"> </w:t>
      </w:r>
      <w:r w:rsidR="004451D7" w:rsidRPr="004F7B88">
        <w:rPr>
          <w:rFonts w:cs="Times New Roman"/>
          <w:sz w:val="24"/>
          <w:szCs w:val="24"/>
        </w:rPr>
        <w:t xml:space="preserve">en materia de traslado de residuos. Asimismo, se aclara que los buques que se consideran residuos peligrosos y que son exportados desde la Unión Europea sólo pueden reciclarse en las instalaciones incluidas en la lista europea de instalaciones de reciclado de buques establecida en el Reglamento (UE) 1257/2013 y situadas en los países que figuran en el anexo VII del </w:t>
      </w:r>
      <w:r w:rsidR="004451D7" w:rsidRPr="004F7B88">
        <w:rPr>
          <w:rFonts w:cs="Times New Roman"/>
          <w:sz w:val="24"/>
          <w:szCs w:val="24"/>
        </w:rPr>
        <w:lastRenderedPageBreak/>
        <w:t xml:space="preserve">Convenio de Basilea de 22 de marzo de 1989, sobre el control de los movimientos transfronterizos de los desechos peligrosos y su </w:t>
      </w:r>
      <w:r w:rsidR="0063018B" w:rsidRPr="004F7B88">
        <w:rPr>
          <w:rFonts w:cs="Times New Roman"/>
          <w:sz w:val="24"/>
          <w:szCs w:val="24"/>
        </w:rPr>
        <w:t>eliminación</w:t>
      </w:r>
      <w:r w:rsidR="00D8451D" w:rsidRPr="004F7B88">
        <w:rPr>
          <w:rFonts w:cs="Times New Roman"/>
          <w:sz w:val="24"/>
          <w:szCs w:val="24"/>
        </w:rPr>
        <w:t>, del cual la Unión Europea es parte desde 1994</w:t>
      </w:r>
      <w:r w:rsidR="004451D7" w:rsidRPr="004F7B88">
        <w:rPr>
          <w:rFonts w:cs="Times New Roman"/>
          <w:sz w:val="24"/>
          <w:szCs w:val="24"/>
        </w:rPr>
        <w:t xml:space="preserve"> </w:t>
      </w:r>
      <w:r w:rsidR="00D8451D" w:rsidRPr="004F7B88">
        <w:rPr>
          <w:rFonts w:cs="Times New Roman"/>
          <w:sz w:val="24"/>
          <w:szCs w:val="24"/>
        </w:rPr>
        <w:t>[</w:t>
      </w:r>
      <w:r w:rsidR="004451D7" w:rsidRPr="004F7B88">
        <w:rPr>
          <w:rFonts w:cs="Times New Roman"/>
          <w:sz w:val="24"/>
          <w:szCs w:val="24"/>
        </w:rPr>
        <w:t>apartado</w:t>
      </w:r>
      <w:r w:rsidR="00D8451D" w:rsidRPr="004F7B88">
        <w:rPr>
          <w:rFonts w:cs="Times New Roman"/>
          <w:sz w:val="24"/>
          <w:szCs w:val="24"/>
        </w:rPr>
        <w:t>s</w:t>
      </w:r>
      <w:r w:rsidR="004451D7" w:rsidRPr="004F7B88">
        <w:rPr>
          <w:rFonts w:cs="Times New Roman"/>
          <w:sz w:val="24"/>
          <w:szCs w:val="24"/>
        </w:rPr>
        <w:t xml:space="preserve"> </w:t>
      </w:r>
      <w:r w:rsidR="00D8451D" w:rsidRPr="004F7B88">
        <w:rPr>
          <w:rFonts w:cs="Times New Roman"/>
          <w:sz w:val="24"/>
          <w:szCs w:val="24"/>
        </w:rPr>
        <w:t xml:space="preserve">6 y </w:t>
      </w:r>
      <w:r w:rsidR="004451D7" w:rsidRPr="004F7B88">
        <w:rPr>
          <w:rFonts w:cs="Times New Roman"/>
          <w:sz w:val="24"/>
          <w:szCs w:val="24"/>
        </w:rPr>
        <w:t>17 Preámbulo</w:t>
      </w:r>
      <w:r w:rsidR="00D8451D" w:rsidRPr="004F7B88">
        <w:rPr>
          <w:rFonts w:cs="Times New Roman"/>
          <w:sz w:val="24"/>
          <w:szCs w:val="24"/>
        </w:rPr>
        <w:t xml:space="preserve"> del Reglamento (UE) 2024/1157].</w:t>
      </w:r>
      <w:r w:rsidR="004451D7" w:rsidRPr="004F7B88">
        <w:rPr>
          <w:rFonts w:cs="Times New Roman"/>
          <w:sz w:val="24"/>
          <w:szCs w:val="24"/>
        </w:rPr>
        <w:t xml:space="preserve"> </w:t>
      </w:r>
      <w:r w:rsidR="00CB0322">
        <w:rPr>
          <w:rFonts w:cs="Times New Roman"/>
          <w:sz w:val="24"/>
          <w:szCs w:val="24"/>
        </w:rPr>
        <w:t>La</w:t>
      </w:r>
      <w:r w:rsidRPr="00301E85">
        <w:rPr>
          <w:rFonts w:cs="Times New Roman"/>
          <w:sz w:val="24"/>
          <w:szCs w:val="24"/>
        </w:rPr>
        <w:t xml:space="preserve"> lista europea de instalaciones de reciclado de buques con arreglo al Reglamento (UE) 257/2013</w:t>
      </w:r>
      <w:r>
        <w:rPr>
          <w:rFonts w:cs="Times New Roman"/>
          <w:sz w:val="24"/>
          <w:szCs w:val="24"/>
        </w:rPr>
        <w:t xml:space="preserve"> </w:t>
      </w:r>
      <w:r>
        <w:rPr>
          <w:rFonts w:cs="Times New Roman"/>
          <w:sz w:val="24"/>
          <w:szCs w:val="24"/>
        </w:rPr>
        <w:t>está contenida en la</w:t>
      </w:r>
      <w:r w:rsidR="0063018B">
        <w:rPr>
          <w:rFonts w:cs="Times New Roman"/>
          <w:sz w:val="24"/>
          <w:szCs w:val="24"/>
        </w:rPr>
        <w:t xml:space="preserve"> </w:t>
      </w:r>
      <w:r w:rsidRPr="00301E85">
        <w:rPr>
          <w:rFonts w:cs="Times New Roman"/>
          <w:sz w:val="24"/>
          <w:szCs w:val="24"/>
        </w:rPr>
        <w:t>Decisión de Ejecución (UE) 2016/2323</w:t>
      </w:r>
      <w:r w:rsidR="00CB0322">
        <w:rPr>
          <w:rFonts w:cs="Times New Roman"/>
          <w:sz w:val="24"/>
          <w:szCs w:val="24"/>
        </w:rPr>
        <w:t>.</w:t>
      </w:r>
    </w:p>
    <w:p w14:paraId="4909C63A" w14:textId="15DE6AC5" w:rsidR="002D2434" w:rsidRDefault="00CB0322" w:rsidP="0036563D">
      <w:pPr>
        <w:jc w:val="both"/>
        <w:rPr>
          <w:rFonts w:cs="Times New Roman"/>
          <w:sz w:val="24"/>
          <w:szCs w:val="24"/>
        </w:rPr>
      </w:pPr>
      <w:r>
        <w:rPr>
          <w:rFonts w:cs="Times New Roman"/>
          <w:sz w:val="24"/>
          <w:szCs w:val="24"/>
        </w:rPr>
        <w:t xml:space="preserve">La segunda excepción es la consideración como </w:t>
      </w:r>
      <w:r w:rsidR="002D2434" w:rsidRPr="004F7B88">
        <w:rPr>
          <w:rFonts w:cs="Times New Roman"/>
          <w:sz w:val="24"/>
          <w:szCs w:val="24"/>
        </w:rPr>
        <w:t>residuos</w:t>
      </w:r>
      <w:r>
        <w:rPr>
          <w:rFonts w:cs="Times New Roman"/>
          <w:sz w:val="24"/>
          <w:szCs w:val="24"/>
        </w:rPr>
        <w:t>,</w:t>
      </w:r>
      <w:r w:rsidR="002D2434" w:rsidRPr="004F7B88">
        <w:rPr>
          <w:rFonts w:cs="Times New Roman"/>
          <w:sz w:val="24"/>
          <w:szCs w:val="24"/>
        </w:rPr>
        <w:t xml:space="preserve"> a los efectos de la aplicación del Reglamento (UE) 2024/1157,</w:t>
      </w:r>
      <w:r>
        <w:rPr>
          <w:rFonts w:cs="Times New Roman"/>
          <w:sz w:val="24"/>
          <w:szCs w:val="24"/>
        </w:rPr>
        <w:t xml:space="preserve"> de </w:t>
      </w:r>
      <w:r w:rsidR="002D2434" w:rsidRPr="004F7B88">
        <w:rPr>
          <w:rFonts w:cs="Times New Roman"/>
          <w:sz w:val="24"/>
          <w:szCs w:val="24"/>
        </w:rPr>
        <w:t>los buques que están situados en una zona bajo la jurisdicción de un Estado miembro y que están destinados a su eliminación (art. 2.2.i.ii). (E.S.N).</w:t>
      </w:r>
    </w:p>
    <w:p w14:paraId="55807332" w14:textId="77777777" w:rsidR="004F7B88" w:rsidRPr="004F7B88" w:rsidRDefault="004F7B88" w:rsidP="0036563D">
      <w:pPr>
        <w:jc w:val="both"/>
        <w:rPr>
          <w:rFonts w:cs="Times New Roman"/>
          <w:sz w:val="24"/>
          <w:szCs w:val="24"/>
        </w:rPr>
      </w:pPr>
    </w:p>
    <w:p w14:paraId="535833A4" w14:textId="2293535A" w:rsidR="00F81EED" w:rsidRPr="004F7B88" w:rsidRDefault="00CB0322" w:rsidP="00CB0322">
      <w:pPr>
        <w:pStyle w:val="titulo"/>
        <w:shd w:val="clear" w:color="auto" w:fill="FFFFFF"/>
        <w:jc w:val="both"/>
        <w:rPr>
          <w:b/>
          <w:bCs/>
        </w:rPr>
      </w:pPr>
      <w:r>
        <w:rPr>
          <w:b/>
          <w:bCs/>
        </w:rPr>
        <w:t xml:space="preserve">POLÍTICA COMUNITARIA DE PROTECCIÓN DE LOS </w:t>
      </w:r>
      <w:r w:rsidR="00F81EED" w:rsidRPr="004F7B88">
        <w:rPr>
          <w:b/>
          <w:bCs/>
        </w:rPr>
        <w:t xml:space="preserve">CABLES SUBMARINOS </w:t>
      </w:r>
    </w:p>
    <w:p w14:paraId="75C764AE" w14:textId="77777777" w:rsidR="00827273" w:rsidRDefault="00F81EED" w:rsidP="00F81EED">
      <w:pPr>
        <w:pStyle w:val="titulo"/>
        <w:shd w:val="clear" w:color="auto" w:fill="FFFFFF"/>
        <w:jc w:val="both"/>
      </w:pPr>
      <w:r w:rsidRPr="004F7B88">
        <w:t>La Recomendación (UE) 2024/779 de la Comisión, de 26 de febrero de 2024, sobre unas infraestructuras de cables submarinos seguras y resilientes (</w:t>
      </w:r>
      <w:r w:rsidRPr="004F7B88">
        <w:rPr>
          <w:rStyle w:val="nfasis"/>
        </w:rPr>
        <w:t>DOUE</w:t>
      </w:r>
      <w:r w:rsidR="00CB0322">
        <w:rPr>
          <w:rStyle w:val="nfasis"/>
        </w:rPr>
        <w:t xml:space="preserve"> </w:t>
      </w:r>
      <w:r w:rsidRPr="00CB0322">
        <w:rPr>
          <w:rStyle w:val="nfasis"/>
          <w:i w:val="0"/>
          <w:iCs w:val="0"/>
        </w:rPr>
        <w:t>L</w:t>
      </w:r>
      <w:r w:rsidRPr="004F7B88">
        <w:rPr>
          <w:rStyle w:val="nfasis"/>
        </w:rPr>
        <w:t> </w:t>
      </w:r>
      <w:r w:rsidRPr="004F7B88">
        <w:t xml:space="preserve">8 </w:t>
      </w:r>
      <w:r w:rsidR="00CB0322">
        <w:t>m</w:t>
      </w:r>
      <w:r w:rsidRPr="004F7B88">
        <w:t>arzo 2024), considera que la “</w:t>
      </w:r>
      <w:r w:rsidRPr="004F7B88">
        <w:rPr>
          <w:i/>
          <w:iCs/>
        </w:rPr>
        <w:t>infraestructura de cables submarinos es un elemento importante en el ecosistema de internet para lograr la soberanía digital europea, dado que la inmensa mayoría del tráfico internacional de datos se realiza a través de cables submarinos</w:t>
      </w:r>
      <w:r w:rsidRPr="004F7B88">
        <w:t xml:space="preserve">”. La Recomendación alude al </w:t>
      </w:r>
      <w:r w:rsidR="00827273">
        <w:t>“</w:t>
      </w:r>
      <w:r w:rsidRPr="00827273">
        <w:rPr>
          <w:i/>
          <w:iCs/>
        </w:rPr>
        <w:t>aumento del riesgo y de amenazas antagónicas a la seguridad provocadas por el hombre</w:t>
      </w:r>
      <w:r w:rsidR="00827273">
        <w:t>”</w:t>
      </w:r>
      <w:r w:rsidRPr="004F7B88">
        <w:t>,</w:t>
      </w:r>
      <w:r w:rsidR="00827273">
        <w:t xml:space="preserve"> a l</w:t>
      </w:r>
      <w:r w:rsidRPr="004F7B88">
        <w:t xml:space="preserve">a naturaleza </w:t>
      </w:r>
      <w:r w:rsidR="00827273">
        <w:t>“</w:t>
      </w:r>
      <w:r w:rsidRPr="00827273">
        <w:rPr>
          <w:i/>
          <w:iCs/>
        </w:rPr>
        <w:t>interconectada y transnacional de estas infraestructuras</w:t>
      </w:r>
      <w:r w:rsidR="00827273">
        <w:t>” y “</w:t>
      </w:r>
      <w:r w:rsidRPr="00827273">
        <w:rPr>
          <w:i/>
          <w:iCs/>
        </w:rPr>
        <w:t>que unas perturbaciones sistémicas y generalizadas de las comunicaciones por cable submarino podrían tener consecuencias especialmente graves en caso de ataques coordinados</w:t>
      </w:r>
      <w:r w:rsidR="00827273">
        <w:t>”</w:t>
      </w:r>
      <w:r w:rsidR="002D1FF8" w:rsidRPr="004F7B88">
        <w:t xml:space="preserve"> (apartado 1 Preámbulo)</w:t>
      </w:r>
      <w:r w:rsidRPr="004F7B88">
        <w:t>.</w:t>
      </w:r>
      <w:r w:rsidR="002D1FF8" w:rsidRPr="004F7B88">
        <w:t xml:space="preserve"> </w:t>
      </w:r>
    </w:p>
    <w:p w14:paraId="093A6851" w14:textId="72E84587" w:rsidR="00F81EED" w:rsidRDefault="00827273" w:rsidP="00F81EED">
      <w:pPr>
        <w:pStyle w:val="titulo"/>
        <w:shd w:val="clear" w:color="auto" w:fill="FFFFFF"/>
        <w:jc w:val="both"/>
      </w:pPr>
      <w:r>
        <w:t>L</w:t>
      </w:r>
      <w:r w:rsidR="002D1FF8" w:rsidRPr="004F7B88">
        <w:t xml:space="preserve">a Recomendación </w:t>
      </w:r>
      <w:r>
        <w:t xml:space="preserve">(UE) 2024/779 </w:t>
      </w:r>
      <w:r w:rsidR="002D1FF8" w:rsidRPr="004F7B88">
        <w:t xml:space="preserve">sugiere la adopción de medidas específicas que los Estados miembros podrían adoptar a escala nacional y de la Unión con vistas a evaluar y mejorar la resiliencia de la infraestructura de cables submarinos existentes y nuevas, así como apoyar el despliegue o la mejora significativa de dichas infraestructuras. </w:t>
      </w:r>
      <w:r>
        <w:t xml:space="preserve">Entre ellas, </w:t>
      </w:r>
      <w:r w:rsidR="002D1FF8" w:rsidRPr="004F7B88">
        <w:t xml:space="preserve">se invita a los Estados a solicitar información a las organizaciones empresariales del sector a adoptar las evaluaciones de riesgos sobre la ciberseguridad y la seguridad físicas de las infraestructuras de cables </w:t>
      </w:r>
      <w:r w:rsidR="0063018B" w:rsidRPr="004F7B88">
        <w:t>submarinos</w:t>
      </w:r>
      <w:r w:rsidR="002D1FF8" w:rsidRPr="004F7B88">
        <w:t xml:space="preserve"> y sus cadenas de suministro</w:t>
      </w:r>
      <w:r>
        <w:t>. Se prevé también que los Estados ayuden</w:t>
      </w:r>
      <w:r w:rsidR="002D1FF8" w:rsidRPr="004F7B88">
        <w:t xml:space="preserve"> a la Comisión a proponer un borrador de lista de proyectos de cables submarinos estratégicos de interés europeo (apartados 24 y ss.), entre otras medidas. (E.S.N).</w:t>
      </w:r>
    </w:p>
    <w:p w14:paraId="3E8969C3" w14:textId="77777777" w:rsidR="004F7B88" w:rsidRPr="004F7B88" w:rsidRDefault="004F7B88" w:rsidP="00F81EED">
      <w:pPr>
        <w:pStyle w:val="titulo"/>
        <w:shd w:val="clear" w:color="auto" w:fill="FFFFFF"/>
        <w:jc w:val="both"/>
      </w:pPr>
    </w:p>
    <w:p w14:paraId="064AB335" w14:textId="166B86BF" w:rsidR="00F81EED" w:rsidRPr="004F7B88" w:rsidRDefault="00136DD6" w:rsidP="0036563D">
      <w:pPr>
        <w:jc w:val="both"/>
        <w:rPr>
          <w:rFonts w:cs="Times New Roman"/>
          <w:b/>
          <w:bCs/>
          <w:sz w:val="24"/>
          <w:szCs w:val="24"/>
          <w:lang w:val="es-ES"/>
        </w:rPr>
      </w:pPr>
      <w:r w:rsidRPr="004F7B88">
        <w:rPr>
          <w:rFonts w:cs="Times New Roman"/>
          <w:b/>
          <w:bCs/>
          <w:sz w:val="24"/>
          <w:szCs w:val="24"/>
          <w:lang w:val="es-ES"/>
        </w:rPr>
        <w:t>EMISIÓN DE GASES DE EFECTO INVERNADERO DESDE BUQUES</w:t>
      </w:r>
    </w:p>
    <w:p w14:paraId="233F4813" w14:textId="3CBA6DD0" w:rsidR="00136DD6" w:rsidRPr="004F7B88" w:rsidRDefault="00136DD6" w:rsidP="00136DD6">
      <w:pPr>
        <w:jc w:val="both"/>
        <w:rPr>
          <w:rFonts w:cs="Times New Roman"/>
          <w:sz w:val="24"/>
          <w:szCs w:val="24"/>
        </w:rPr>
      </w:pPr>
      <w:r w:rsidRPr="004F7B88">
        <w:rPr>
          <w:rFonts w:cs="Times New Roman"/>
          <w:sz w:val="24"/>
          <w:szCs w:val="24"/>
        </w:rPr>
        <w:t>El Reglamento Delegado (UE) 2023/2776, de 12 de octubre de 2023, por el que se modifica el Reglamento (UE) 2015/757 en lo que atañe a las normas para el seguimiento de las emisiones de gases de efecto invernadero y otra información pertinente del transporte marítimo (</w:t>
      </w:r>
      <w:r w:rsidRPr="00827273">
        <w:rPr>
          <w:rFonts w:cs="Times New Roman"/>
          <w:i/>
          <w:iCs/>
          <w:sz w:val="24"/>
          <w:szCs w:val="24"/>
        </w:rPr>
        <w:t>DOUE</w:t>
      </w:r>
      <w:r w:rsidR="00827273">
        <w:rPr>
          <w:rFonts w:cs="Times New Roman"/>
          <w:sz w:val="24"/>
          <w:szCs w:val="24"/>
        </w:rPr>
        <w:t xml:space="preserve"> </w:t>
      </w:r>
      <w:r w:rsidRPr="004F7B88">
        <w:rPr>
          <w:rFonts w:cs="Times New Roman"/>
          <w:sz w:val="24"/>
          <w:szCs w:val="24"/>
        </w:rPr>
        <w:t xml:space="preserve">L 14 diciembre 2023), revisa las fórmulas aplicables </w:t>
      </w:r>
      <w:r w:rsidR="00827273">
        <w:rPr>
          <w:rFonts w:cs="Times New Roman"/>
          <w:sz w:val="24"/>
          <w:szCs w:val="24"/>
        </w:rPr>
        <w:t>para el cálculo de las emisiones procedentes de buques</w:t>
      </w:r>
      <w:r w:rsidRPr="004F7B88">
        <w:rPr>
          <w:rFonts w:cs="Times New Roman"/>
          <w:sz w:val="24"/>
          <w:szCs w:val="24"/>
        </w:rPr>
        <w:t xml:space="preserve">. El </w:t>
      </w:r>
      <w:r w:rsidR="00827273">
        <w:rPr>
          <w:rFonts w:cs="Times New Roman"/>
          <w:sz w:val="24"/>
          <w:szCs w:val="24"/>
        </w:rPr>
        <w:t xml:space="preserve">texto originario del </w:t>
      </w:r>
      <w:r w:rsidRPr="004F7B88">
        <w:rPr>
          <w:rFonts w:cs="Times New Roman"/>
          <w:sz w:val="24"/>
          <w:szCs w:val="24"/>
        </w:rPr>
        <w:t>Reglamento (UE) 2015/757 establece métodos de seguimiento de las emisiones de CO2 basados en el consumo de combustible de los buques que arriben, zarpen o se encuentren en puertos bajo jurisdicción de un Estado miembro de la Unión Europea, así como normas para el seguimiento de otra información pertinente. El Reglamento (UE) 2023/957</w:t>
      </w:r>
      <w:r w:rsidR="00827273">
        <w:rPr>
          <w:rFonts w:cs="Times New Roman"/>
          <w:sz w:val="24"/>
          <w:szCs w:val="24"/>
        </w:rPr>
        <w:t xml:space="preserve"> lo</w:t>
      </w:r>
      <w:r w:rsidRPr="004F7B88">
        <w:rPr>
          <w:rFonts w:cs="Times New Roman"/>
          <w:sz w:val="24"/>
          <w:szCs w:val="24"/>
        </w:rPr>
        <w:t xml:space="preserve"> modifica con el fin de incorporar las actividades de transporte marítimo al régimen para el comercio de </w:t>
      </w:r>
      <w:r w:rsidRPr="004F7B88">
        <w:rPr>
          <w:rFonts w:cs="Times New Roman"/>
          <w:sz w:val="24"/>
          <w:szCs w:val="24"/>
        </w:rPr>
        <w:lastRenderedPageBreak/>
        <w:t>derechos de emisión en la Unión (RCDE de la UE) y de seguir, notificar y verificar las emisiones de metano (CH4) y óxido nitroso (N2O)</w:t>
      </w:r>
      <w:r w:rsidR="00936DDD" w:rsidRPr="004F7B88">
        <w:rPr>
          <w:rFonts w:cs="Times New Roman"/>
          <w:sz w:val="24"/>
          <w:szCs w:val="24"/>
        </w:rPr>
        <w:t>. (E.S.N.)</w:t>
      </w:r>
    </w:p>
    <w:p w14:paraId="605A259E" w14:textId="77777777" w:rsidR="00136DD6" w:rsidRDefault="00136DD6" w:rsidP="0036563D">
      <w:pPr>
        <w:jc w:val="both"/>
        <w:rPr>
          <w:rFonts w:cs="Times New Roman"/>
          <w:b/>
          <w:bCs/>
          <w:sz w:val="24"/>
          <w:szCs w:val="24"/>
        </w:rPr>
      </w:pPr>
    </w:p>
    <w:p w14:paraId="1BDCFBE0" w14:textId="73AD5DBC" w:rsidR="004F7B88" w:rsidRPr="004F7B88" w:rsidRDefault="004F7B88" w:rsidP="0036563D">
      <w:pPr>
        <w:jc w:val="both"/>
        <w:rPr>
          <w:rFonts w:cs="Times New Roman"/>
          <w:b/>
          <w:bCs/>
          <w:sz w:val="24"/>
          <w:szCs w:val="24"/>
        </w:rPr>
      </w:pPr>
      <w:r>
        <w:rPr>
          <w:rFonts w:cs="Times New Roman"/>
          <w:b/>
          <w:bCs/>
          <w:sz w:val="24"/>
          <w:szCs w:val="24"/>
        </w:rPr>
        <w:t>ENTRADA EN VIGOR DE ENMIENDAS DEL CONVENIO INTERNACIONAL DE SEGURIDAD DE LA VIDA HUMANA EN EL MAR</w:t>
      </w:r>
    </w:p>
    <w:p w14:paraId="2D9B84AE" w14:textId="77777777" w:rsidR="00565D81" w:rsidRDefault="00565D81" w:rsidP="00565D81">
      <w:pPr>
        <w:jc w:val="both"/>
        <w:rPr>
          <w:rFonts w:cs="Times New Roman"/>
          <w:sz w:val="24"/>
          <w:szCs w:val="24"/>
        </w:rPr>
      </w:pPr>
      <w:r>
        <w:rPr>
          <w:rFonts w:cs="Times New Roman"/>
          <w:sz w:val="24"/>
          <w:szCs w:val="24"/>
        </w:rPr>
        <w:t xml:space="preserve">Como es usual, han entrado en vigor algunas enmiendas de carácter técnico en el Convenio internacional para la seguridad de la vida humana en el mar (SOLAS). El </w:t>
      </w:r>
      <w:r w:rsidRPr="00565D81">
        <w:rPr>
          <w:rFonts w:cs="Times New Roman"/>
          <w:i/>
          <w:iCs/>
          <w:sz w:val="24"/>
          <w:szCs w:val="24"/>
        </w:rPr>
        <w:t>Boletín Oficial del Estado</w:t>
      </w:r>
      <w:r>
        <w:rPr>
          <w:rFonts w:cs="Times New Roman"/>
          <w:sz w:val="24"/>
          <w:szCs w:val="24"/>
        </w:rPr>
        <w:t xml:space="preserve">, </w:t>
      </w:r>
      <w:r w:rsidRPr="00565D81">
        <w:rPr>
          <w:rFonts w:cs="Times New Roman"/>
          <w:sz w:val="24"/>
          <w:szCs w:val="24"/>
        </w:rPr>
        <w:t>núm. 67, de 16 de marzo de 2024</w:t>
      </w:r>
      <w:r>
        <w:rPr>
          <w:rFonts w:cs="Times New Roman"/>
          <w:sz w:val="24"/>
          <w:szCs w:val="24"/>
        </w:rPr>
        <w:t xml:space="preserve">, publica </w:t>
      </w:r>
      <w:r w:rsidR="004F7B88" w:rsidRPr="004F7B88">
        <w:rPr>
          <w:rFonts w:cs="Times New Roman"/>
          <w:sz w:val="24"/>
          <w:szCs w:val="24"/>
        </w:rPr>
        <w:t xml:space="preserve">las </w:t>
      </w:r>
      <w:r w:rsidR="00F81EED" w:rsidRPr="004F7B88">
        <w:rPr>
          <w:rFonts w:cs="Times New Roman"/>
          <w:sz w:val="24"/>
          <w:szCs w:val="24"/>
        </w:rPr>
        <w:t>Enmiendas de 2022 al Código internacional de seguridad para naves de gran velocidad, 2000 (Código NGV 2000) adoptadas en Londres el 28 de abril de 2022 mediante la Resolución MSC. 499(105)</w:t>
      </w:r>
      <w:r>
        <w:rPr>
          <w:rFonts w:cs="Times New Roman"/>
          <w:sz w:val="24"/>
          <w:szCs w:val="24"/>
        </w:rPr>
        <w:t xml:space="preserve">. </w:t>
      </w:r>
    </w:p>
    <w:p w14:paraId="40B9320F" w14:textId="0B99FD6A" w:rsidR="00F81EED" w:rsidRDefault="00565D81" w:rsidP="00565D81">
      <w:pPr>
        <w:jc w:val="both"/>
        <w:rPr>
          <w:rFonts w:cs="Times New Roman"/>
          <w:sz w:val="24"/>
          <w:szCs w:val="24"/>
          <w:lang w:val="es-ES"/>
        </w:rPr>
      </w:pPr>
      <w:r>
        <w:rPr>
          <w:rFonts w:cs="Times New Roman"/>
          <w:sz w:val="24"/>
          <w:szCs w:val="24"/>
        </w:rPr>
        <w:t xml:space="preserve">Asimismo, el </w:t>
      </w:r>
      <w:r w:rsidRPr="00565D81">
        <w:rPr>
          <w:rFonts w:cs="Times New Roman"/>
          <w:i/>
          <w:iCs/>
          <w:sz w:val="24"/>
          <w:szCs w:val="24"/>
        </w:rPr>
        <w:t>Boletín Oficial del Estado</w:t>
      </w:r>
      <w:r>
        <w:rPr>
          <w:rFonts w:cs="Times New Roman"/>
          <w:sz w:val="24"/>
          <w:szCs w:val="24"/>
        </w:rPr>
        <w:t>, núm. 66, de 15 de marzo de 2024,</w:t>
      </w:r>
      <w:r w:rsidR="004F7B88" w:rsidRPr="004F7B88">
        <w:rPr>
          <w:rFonts w:cs="Times New Roman"/>
          <w:sz w:val="24"/>
          <w:szCs w:val="24"/>
        </w:rPr>
        <w:t xml:space="preserve"> </w:t>
      </w:r>
      <w:r>
        <w:rPr>
          <w:rFonts w:cs="Times New Roman"/>
          <w:sz w:val="24"/>
          <w:szCs w:val="24"/>
        </w:rPr>
        <w:t xml:space="preserve">publica las </w:t>
      </w:r>
      <w:r w:rsidR="004F7B88" w:rsidRPr="004F7B88">
        <w:rPr>
          <w:rFonts w:cs="Times New Roman"/>
          <w:sz w:val="24"/>
          <w:szCs w:val="24"/>
        </w:rPr>
        <w:t>E</w:t>
      </w:r>
      <w:r w:rsidR="00F81EED" w:rsidRPr="004F7B88">
        <w:rPr>
          <w:rFonts w:cs="Times New Roman"/>
          <w:sz w:val="24"/>
          <w:szCs w:val="24"/>
          <w:lang w:val="es-ES"/>
        </w:rPr>
        <w:t>nmiendas de 2022 al Convenio Internacional para la seguridad de la vida humana en el mar, 1974, adoptadas en Londres el 28 de abril de 2022 mediante la Resolución MSC.496(105)</w:t>
      </w:r>
      <w:r w:rsidR="004F7B88">
        <w:rPr>
          <w:rFonts w:cs="Times New Roman"/>
          <w:sz w:val="24"/>
          <w:szCs w:val="24"/>
          <w:lang w:val="es-ES"/>
        </w:rPr>
        <w:t>. (E.S.N.)</w:t>
      </w:r>
    </w:p>
    <w:p w14:paraId="54998EBA" w14:textId="77777777" w:rsidR="004F7B88" w:rsidRDefault="004F7B88" w:rsidP="0036563D">
      <w:pPr>
        <w:jc w:val="both"/>
        <w:rPr>
          <w:rFonts w:cs="Times New Roman"/>
          <w:sz w:val="24"/>
          <w:szCs w:val="24"/>
          <w:lang w:val="es-ES"/>
        </w:rPr>
      </w:pPr>
    </w:p>
    <w:p w14:paraId="416DD930" w14:textId="23FE0E48" w:rsidR="004F7B88" w:rsidRDefault="004F7B88" w:rsidP="0036563D">
      <w:pPr>
        <w:jc w:val="both"/>
        <w:rPr>
          <w:rFonts w:cs="Times New Roman"/>
          <w:b/>
          <w:bCs/>
          <w:sz w:val="24"/>
          <w:szCs w:val="24"/>
          <w:lang w:val="es-ES"/>
        </w:rPr>
      </w:pPr>
      <w:r w:rsidRPr="004F7B88">
        <w:rPr>
          <w:rFonts w:cs="Times New Roman"/>
          <w:b/>
          <w:bCs/>
          <w:sz w:val="24"/>
          <w:szCs w:val="24"/>
          <w:lang w:val="es-ES"/>
        </w:rPr>
        <w:t>CENTENARIO DE LE DROIT MARITIME FRANÇAIS</w:t>
      </w:r>
    </w:p>
    <w:p w14:paraId="35BF6BDE" w14:textId="53C03996" w:rsidR="004F7B88" w:rsidRPr="00335E30" w:rsidRDefault="004F7B88" w:rsidP="0036563D">
      <w:pPr>
        <w:jc w:val="both"/>
        <w:rPr>
          <w:rFonts w:cs="Times New Roman"/>
          <w:sz w:val="24"/>
          <w:szCs w:val="24"/>
          <w:lang w:val="fr-FR"/>
        </w:rPr>
      </w:pPr>
      <w:r w:rsidRPr="004F7B88">
        <w:rPr>
          <w:rFonts w:cs="Times New Roman"/>
          <w:sz w:val="24"/>
          <w:szCs w:val="24"/>
          <w:lang w:val="es-ES"/>
        </w:rPr>
        <w:t xml:space="preserve">El 13 de marzo de 2024, se celebró en la Salle Goullencourt de la Université Paris 1 Pantheon-Assas, el acto del Centenario de la Revista </w:t>
      </w:r>
      <w:r w:rsidRPr="004F7B88">
        <w:rPr>
          <w:rFonts w:cs="Times New Roman"/>
          <w:i/>
          <w:iCs/>
          <w:sz w:val="24"/>
          <w:szCs w:val="24"/>
          <w:lang w:val="es-ES"/>
        </w:rPr>
        <w:t>Le Droit Maritime Français</w:t>
      </w:r>
      <w:r w:rsidRPr="004F7B88">
        <w:rPr>
          <w:rFonts w:cs="Times New Roman"/>
          <w:sz w:val="24"/>
          <w:szCs w:val="24"/>
          <w:lang w:val="es-ES"/>
        </w:rPr>
        <w:t>.</w:t>
      </w:r>
      <w:r>
        <w:rPr>
          <w:rFonts w:cs="Times New Roman"/>
          <w:sz w:val="24"/>
          <w:szCs w:val="24"/>
          <w:lang w:val="es-ES"/>
        </w:rPr>
        <w:t xml:space="preserve"> Con gran asistencia de profesionales del sector marítimo, franceses y extranjeros, </w:t>
      </w:r>
      <w:r w:rsidR="00565D81">
        <w:rPr>
          <w:rFonts w:cs="Times New Roman"/>
          <w:sz w:val="24"/>
          <w:szCs w:val="24"/>
          <w:lang w:val="es-ES"/>
        </w:rPr>
        <w:t xml:space="preserve">la celebración </w:t>
      </w:r>
      <w:r>
        <w:rPr>
          <w:rFonts w:cs="Times New Roman"/>
          <w:sz w:val="24"/>
          <w:szCs w:val="24"/>
          <w:lang w:val="es-ES"/>
        </w:rPr>
        <w:t xml:space="preserve">contó con la participación </w:t>
      </w:r>
      <w:r w:rsidR="00416CFA">
        <w:rPr>
          <w:rFonts w:cs="Times New Roman"/>
          <w:sz w:val="24"/>
          <w:szCs w:val="24"/>
          <w:lang w:val="es-ES"/>
        </w:rPr>
        <w:t>de D.</w:t>
      </w:r>
      <w:r>
        <w:rPr>
          <w:rFonts w:cs="Times New Roman"/>
          <w:sz w:val="24"/>
          <w:szCs w:val="24"/>
          <w:lang w:val="es-ES"/>
        </w:rPr>
        <w:t xml:space="preserve"> Guillaume Deroubaix, CEO – Karnov Group Région Sud y Président de Lamy Liaisons, </w:t>
      </w:r>
      <w:r w:rsidR="00416CFA">
        <w:rPr>
          <w:rFonts w:cs="Times New Roman"/>
          <w:sz w:val="24"/>
          <w:szCs w:val="24"/>
          <w:lang w:val="es-ES"/>
        </w:rPr>
        <w:t>Dª</w:t>
      </w:r>
      <w:r>
        <w:rPr>
          <w:rFonts w:cs="Times New Roman"/>
          <w:sz w:val="24"/>
          <w:szCs w:val="24"/>
          <w:lang w:val="es-ES"/>
        </w:rPr>
        <w:t xml:space="preserve">. </w:t>
      </w:r>
      <w:r w:rsidRPr="00335E30">
        <w:rPr>
          <w:rFonts w:cs="Times New Roman"/>
          <w:sz w:val="24"/>
          <w:szCs w:val="24"/>
          <w:lang w:val="fr-FR"/>
        </w:rPr>
        <w:t xml:space="preserve">Palmira Andrade, Directrice Générale de Lamy Liaisons, así como </w:t>
      </w:r>
      <w:r w:rsidR="00416CFA" w:rsidRPr="00335E30">
        <w:rPr>
          <w:rFonts w:cs="Times New Roman"/>
          <w:sz w:val="24"/>
          <w:szCs w:val="24"/>
          <w:lang w:val="fr-FR"/>
        </w:rPr>
        <w:t>de D.</w:t>
      </w:r>
      <w:r w:rsidRPr="00335E30">
        <w:rPr>
          <w:rFonts w:cs="Times New Roman"/>
          <w:sz w:val="24"/>
          <w:szCs w:val="24"/>
          <w:lang w:val="fr-FR"/>
        </w:rPr>
        <w:t xml:space="preserve"> Stéphane Miribel, Rédacteur en Chef de la Revista, quien recibió la </w:t>
      </w:r>
      <w:r w:rsidRPr="0063018B">
        <w:rPr>
          <w:rFonts w:cs="Times New Roman"/>
          <w:sz w:val="24"/>
          <w:szCs w:val="24"/>
        </w:rPr>
        <w:t>insignia</w:t>
      </w:r>
      <w:r w:rsidRPr="00335E30">
        <w:rPr>
          <w:rFonts w:cs="Times New Roman"/>
          <w:sz w:val="24"/>
          <w:szCs w:val="24"/>
          <w:lang w:val="fr-FR"/>
        </w:rPr>
        <w:t xml:space="preserve"> de </w:t>
      </w:r>
      <w:r w:rsidRPr="00565D81">
        <w:rPr>
          <w:rFonts w:cs="Times New Roman"/>
          <w:i/>
          <w:iCs/>
          <w:sz w:val="24"/>
          <w:szCs w:val="24"/>
          <w:lang w:val="fr-FR"/>
        </w:rPr>
        <w:t>Chevalier dans l’Ordre du Mérite Maritime</w:t>
      </w:r>
      <w:r w:rsidRPr="00335E30">
        <w:rPr>
          <w:rFonts w:cs="Times New Roman"/>
          <w:sz w:val="24"/>
          <w:szCs w:val="24"/>
          <w:lang w:val="fr-FR"/>
        </w:rPr>
        <w:t xml:space="preserve">. </w:t>
      </w:r>
    </w:p>
    <w:p w14:paraId="5DE3CE47" w14:textId="451396AA" w:rsidR="004F7B88" w:rsidRDefault="00565D81" w:rsidP="0036563D">
      <w:pPr>
        <w:jc w:val="both"/>
        <w:rPr>
          <w:rFonts w:cs="Times New Roman"/>
          <w:sz w:val="24"/>
          <w:szCs w:val="24"/>
          <w:lang w:val="es-ES"/>
        </w:rPr>
      </w:pPr>
      <w:r>
        <w:rPr>
          <w:rFonts w:cs="Times New Roman"/>
          <w:sz w:val="24"/>
          <w:szCs w:val="24"/>
          <w:lang w:val="es-ES"/>
        </w:rPr>
        <w:t>Además, c</w:t>
      </w:r>
      <w:r w:rsidR="004F7B88">
        <w:rPr>
          <w:rFonts w:cs="Times New Roman"/>
          <w:sz w:val="24"/>
          <w:szCs w:val="24"/>
          <w:lang w:val="es-ES"/>
        </w:rPr>
        <w:t>on ocasión del Centenario de la Revista, el número 863, de diciembre de 2023, está íntegramente dedicado a “</w:t>
      </w:r>
      <w:r w:rsidR="004F7B88" w:rsidRPr="00565D81">
        <w:rPr>
          <w:rFonts w:cs="Times New Roman"/>
          <w:i/>
          <w:iCs/>
          <w:sz w:val="24"/>
          <w:szCs w:val="24"/>
          <w:lang w:val="es-ES"/>
        </w:rPr>
        <w:t>Le DMF a 100 ans. Regard sur un siècle de droit maritime</w:t>
      </w:r>
      <w:r w:rsidR="004F7B88">
        <w:rPr>
          <w:rFonts w:cs="Times New Roman"/>
          <w:sz w:val="24"/>
          <w:szCs w:val="24"/>
          <w:lang w:val="es-ES"/>
        </w:rPr>
        <w:t>”</w:t>
      </w:r>
      <w:r w:rsidR="00C84299">
        <w:rPr>
          <w:rFonts w:cs="Times New Roman"/>
          <w:sz w:val="24"/>
          <w:szCs w:val="24"/>
          <w:lang w:val="es-ES"/>
        </w:rPr>
        <w:t xml:space="preserve">. </w:t>
      </w:r>
      <w:r>
        <w:rPr>
          <w:rFonts w:cs="Times New Roman"/>
          <w:sz w:val="24"/>
          <w:szCs w:val="24"/>
          <w:lang w:val="es-ES"/>
        </w:rPr>
        <w:t>E</w:t>
      </w:r>
      <w:r w:rsidR="00C84299">
        <w:rPr>
          <w:rFonts w:cs="Times New Roman"/>
          <w:sz w:val="24"/>
          <w:szCs w:val="24"/>
          <w:lang w:val="es-ES"/>
        </w:rPr>
        <w:t>l artículo de</w:t>
      </w:r>
      <w:r>
        <w:rPr>
          <w:rFonts w:cs="Times New Roman"/>
          <w:sz w:val="24"/>
          <w:szCs w:val="24"/>
          <w:lang w:val="es-ES"/>
        </w:rPr>
        <w:t xml:space="preserve"> D. Stéphane</w:t>
      </w:r>
      <w:r w:rsidR="00C84299">
        <w:rPr>
          <w:rFonts w:cs="Times New Roman"/>
          <w:sz w:val="24"/>
          <w:szCs w:val="24"/>
          <w:lang w:val="es-ES"/>
        </w:rPr>
        <w:t xml:space="preserve"> Miribel</w:t>
      </w:r>
      <w:r>
        <w:rPr>
          <w:rFonts w:cs="Times New Roman"/>
          <w:sz w:val="24"/>
          <w:szCs w:val="24"/>
          <w:lang w:val="es-ES"/>
        </w:rPr>
        <w:t xml:space="preserve"> evidencia</w:t>
      </w:r>
      <w:r w:rsidR="00C84299">
        <w:rPr>
          <w:rFonts w:cs="Times New Roman"/>
          <w:sz w:val="24"/>
          <w:szCs w:val="24"/>
          <w:lang w:val="es-ES"/>
        </w:rPr>
        <w:t xml:space="preserve"> que </w:t>
      </w:r>
      <w:r w:rsidR="00C84299" w:rsidRPr="00C84299">
        <w:rPr>
          <w:rFonts w:cs="Times New Roman"/>
          <w:i/>
          <w:iCs/>
          <w:sz w:val="24"/>
          <w:szCs w:val="24"/>
          <w:lang w:val="es-ES"/>
        </w:rPr>
        <w:t>Le Droit Maritime Français</w:t>
      </w:r>
      <w:r w:rsidR="00C84299">
        <w:rPr>
          <w:rFonts w:cs="Times New Roman"/>
          <w:sz w:val="24"/>
          <w:szCs w:val="24"/>
          <w:lang w:val="es-ES"/>
        </w:rPr>
        <w:t xml:space="preserve"> nació en 1923 como un suplemento semanal incluido en el </w:t>
      </w:r>
      <w:r w:rsidR="00C84299" w:rsidRPr="00C84299">
        <w:rPr>
          <w:rFonts w:cs="Times New Roman"/>
          <w:i/>
          <w:iCs/>
          <w:sz w:val="24"/>
          <w:szCs w:val="24"/>
          <w:lang w:val="es-ES"/>
        </w:rPr>
        <w:t>Journal de la Marine Merchande</w:t>
      </w:r>
      <w:r w:rsidR="00C84299">
        <w:rPr>
          <w:rFonts w:cs="Times New Roman"/>
          <w:sz w:val="24"/>
          <w:szCs w:val="24"/>
          <w:lang w:val="es-ES"/>
        </w:rPr>
        <w:t xml:space="preserve">. </w:t>
      </w:r>
      <w:r w:rsidR="00416CFA">
        <w:rPr>
          <w:rFonts w:cs="Times New Roman"/>
          <w:sz w:val="24"/>
          <w:szCs w:val="24"/>
          <w:lang w:val="es-ES"/>
        </w:rPr>
        <w:t>D</w:t>
      </w:r>
      <w:r w:rsidR="00C84299">
        <w:rPr>
          <w:rFonts w:cs="Times New Roman"/>
          <w:sz w:val="24"/>
          <w:szCs w:val="24"/>
          <w:lang w:val="es-ES"/>
        </w:rPr>
        <w:t xml:space="preserve">. Georges Ripert, </w:t>
      </w:r>
      <w:r w:rsidR="00DD0C8C">
        <w:rPr>
          <w:rFonts w:cs="Times New Roman"/>
          <w:sz w:val="24"/>
          <w:szCs w:val="24"/>
          <w:lang w:val="es-ES"/>
        </w:rPr>
        <w:t xml:space="preserve">entonces </w:t>
      </w:r>
      <w:r w:rsidR="00C84299">
        <w:rPr>
          <w:rFonts w:cs="Times New Roman"/>
          <w:sz w:val="24"/>
          <w:szCs w:val="24"/>
          <w:lang w:val="es-ES"/>
        </w:rPr>
        <w:t xml:space="preserve">Director Jurídico del </w:t>
      </w:r>
      <w:r w:rsidR="00C84299" w:rsidRPr="00C84299">
        <w:rPr>
          <w:rFonts w:cs="Times New Roman"/>
          <w:i/>
          <w:iCs/>
          <w:sz w:val="24"/>
          <w:szCs w:val="24"/>
          <w:lang w:val="es-ES"/>
        </w:rPr>
        <w:t>Journal</w:t>
      </w:r>
      <w:r w:rsidR="00C84299">
        <w:rPr>
          <w:rFonts w:cs="Times New Roman"/>
          <w:sz w:val="24"/>
          <w:szCs w:val="24"/>
          <w:lang w:val="es-ES"/>
        </w:rPr>
        <w:t xml:space="preserve">, al presentar este suplemento, </w:t>
      </w:r>
      <w:r w:rsidR="005211CC">
        <w:rPr>
          <w:rFonts w:cs="Times New Roman"/>
          <w:sz w:val="24"/>
          <w:szCs w:val="24"/>
          <w:lang w:val="es-ES"/>
        </w:rPr>
        <w:t>señalaba que</w:t>
      </w:r>
      <w:r w:rsidR="00C84299">
        <w:rPr>
          <w:rFonts w:cs="Times New Roman"/>
          <w:sz w:val="24"/>
          <w:szCs w:val="24"/>
          <w:lang w:val="es-ES"/>
        </w:rPr>
        <w:t xml:space="preserve"> “presentar cada semana documentos interesantes de Derecho marítimo bajo una forma que responda a las exigencias de la vida moderna, éste es el objetivo del </w:t>
      </w:r>
      <w:r w:rsidR="00C84299" w:rsidRPr="005211CC">
        <w:rPr>
          <w:rFonts w:cs="Times New Roman"/>
          <w:i/>
          <w:iCs/>
          <w:sz w:val="24"/>
          <w:szCs w:val="24"/>
          <w:lang w:val="es-ES"/>
        </w:rPr>
        <w:t>Journal</w:t>
      </w:r>
      <w:r w:rsidR="00C84299">
        <w:rPr>
          <w:rFonts w:cs="Times New Roman"/>
          <w:sz w:val="24"/>
          <w:szCs w:val="24"/>
          <w:lang w:val="es-ES"/>
        </w:rPr>
        <w:t xml:space="preserve">”. Han pasado 100 años desde estas palabras </w:t>
      </w:r>
      <w:r w:rsidR="00DD0C8C">
        <w:rPr>
          <w:rFonts w:cs="Times New Roman"/>
          <w:sz w:val="24"/>
          <w:szCs w:val="24"/>
          <w:lang w:val="es-ES"/>
        </w:rPr>
        <w:t>de D. George</w:t>
      </w:r>
      <w:r w:rsidR="005211CC">
        <w:rPr>
          <w:rFonts w:cs="Times New Roman"/>
          <w:sz w:val="24"/>
          <w:szCs w:val="24"/>
          <w:lang w:val="es-ES"/>
        </w:rPr>
        <w:t xml:space="preserve"> </w:t>
      </w:r>
      <w:r w:rsidR="00C84299">
        <w:rPr>
          <w:rFonts w:cs="Times New Roman"/>
          <w:sz w:val="24"/>
          <w:szCs w:val="24"/>
          <w:lang w:val="es-ES"/>
        </w:rPr>
        <w:t xml:space="preserve">Ripert y </w:t>
      </w:r>
      <w:r w:rsidR="005211CC" w:rsidRPr="005211CC">
        <w:rPr>
          <w:rFonts w:cs="Times New Roman"/>
          <w:i/>
          <w:iCs/>
          <w:sz w:val="24"/>
          <w:szCs w:val="24"/>
          <w:lang w:val="es-ES"/>
        </w:rPr>
        <w:t>Le Droit Maritime Français</w:t>
      </w:r>
      <w:r w:rsidR="005211CC">
        <w:rPr>
          <w:rFonts w:cs="Times New Roman"/>
          <w:sz w:val="24"/>
          <w:szCs w:val="24"/>
          <w:lang w:val="es-ES"/>
        </w:rPr>
        <w:t xml:space="preserve"> continúa en las mejores manos como instrumento </w:t>
      </w:r>
      <w:r w:rsidR="00C84299">
        <w:rPr>
          <w:rFonts w:cs="Times New Roman"/>
          <w:sz w:val="24"/>
          <w:szCs w:val="24"/>
          <w:lang w:val="es-ES"/>
        </w:rPr>
        <w:t>de referencia a nivel internacional. No queda más que felicitar a los colaboradores y editores a continuar en la misma ruta de exigencia y solvencia científica</w:t>
      </w:r>
      <w:r w:rsidR="005211CC">
        <w:rPr>
          <w:rFonts w:cs="Times New Roman"/>
          <w:sz w:val="24"/>
          <w:szCs w:val="24"/>
          <w:lang w:val="es-ES"/>
        </w:rPr>
        <w:t xml:space="preserve"> para el fomento y estudio del Derecho marítimo</w:t>
      </w:r>
      <w:r w:rsidR="00C84299">
        <w:rPr>
          <w:rFonts w:cs="Times New Roman"/>
          <w:sz w:val="24"/>
          <w:szCs w:val="24"/>
          <w:lang w:val="es-ES"/>
        </w:rPr>
        <w:t>. (E.S.N.).</w:t>
      </w:r>
    </w:p>
    <w:p w14:paraId="5ECF91BE" w14:textId="77777777" w:rsidR="00C84299" w:rsidRDefault="00C84299" w:rsidP="0036563D">
      <w:pPr>
        <w:jc w:val="both"/>
        <w:rPr>
          <w:rFonts w:cs="Times New Roman"/>
          <w:sz w:val="24"/>
          <w:szCs w:val="24"/>
          <w:lang w:val="es-ES"/>
        </w:rPr>
      </w:pPr>
    </w:p>
    <w:p w14:paraId="79FAEC19" w14:textId="6776D9EB" w:rsidR="00C84299" w:rsidRDefault="00C84299" w:rsidP="0036563D">
      <w:pPr>
        <w:jc w:val="both"/>
        <w:rPr>
          <w:rFonts w:cs="Times New Roman"/>
          <w:b/>
          <w:bCs/>
          <w:sz w:val="24"/>
          <w:szCs w:val="24"/>
          <w:lang w:val="es-ES"/>
        </w:rPr>
      </w:pPr>
      <w:r w:rsidRPr="00416CFA">
        <w:rPr>
          <w:rFonts w:cs="Times New Roman"/>
          <w:b/>
          <w:bCs/>
          <w:sz w:val="24"/>
          <w:szCs w:val="24"/>
          <w:lang w:val="es-ES"/>
        </w:rPr>
        <w:t>CONGRESO DEL 75 ANIVERSARIO DE LA ASOCIACION ESPAÑOLA DE DERECHO MARÍTIMO</w:t>
      </w:r>
    </w:p>
    <w:p w14:paraId="702A4CEE" w14:textId="02870CBC" w:rsidR="00416CFA" w:rsidRDefault="00416CFA" w:rsidP="0036563D">
      <w:pPr>
        <w:jc w:val="both"/>
        <w:rPr>
          <w:rFonts w:cs="Times New Roman"/>
          <w:sz w:val="24"/>
          <w:szCs w:val="24"/>
          <w:lang w:val="es-ES"/>
        </w:rPr>
      </w:pPr>
      <w:r>
        <w:rPr>
          <w:rFonts w:cs="Times New Roman"/>
          <w:sz w:val="24"/>
          <w:szCs w:val="24"/>
          <w:lang w:val="es-ES"/>
        </w:rPr>
        <w:t>Los días 29 y 30 de mayo de 2024, la Asociación Española de Derecho Marítima celebra el Congreso de su 75 Aniversario titulado “Navegando Juntos”. La apertura la realiza D. Gustavo Santana Hernández, Director General de la Marina Mercante y D. Álvaro Rodríguez Dapena, Presidente del Ente Público Puertos del Estado. El Congreso cuenta con 6 mesas tituladas “El régimen legal del contrato de transporte marítimo a debate a propósito del centenario de las Reglas de La Haya”, “Perspectivas jurídicas internacionales de los puertos del futuro”, “Cuestiones actuales sobre liquidación de siniestros y acciones de recobro en el ámbito del seguro marít</w:t>
      </w:r>
      <w:r w:rsidR="0063018B">
        <w:rPr>
          <w:rFonts w:cs="Times New Roman"/>
          <w:sz w:val="24"/>
          <w:szCs w:val="24"/>
          <w:lang w:val="es-ES"/>
        </w:rPr>
        <w:t>i</w:t>
      </w:r>
      <w:r>
        <w:rPr>
          <w:rFonts w:cs="Times New Roman"/>
          <w:sz w:val="24"/>
          <w:szCs w:val="24"/>
          <w:lang w:val="es-ES"/>
        </w:rPr>
        <w:t xml:space="preserve">mo”, “El accidente de Baltimore”, “Diez años de la Ley de navegación marítima” y “El sistema de Derecho internacional de la pesca marítima”. La clausura corresponde a D. Benito Núñez Quintanilla, Secretario General de Transportes, Aéreo y Marítimo y de D. Carlos López-Quiroga, Presidente de la AEDM y Socio de Uría Menéndez. </w:t>
      </w:r>
      <w:r w:rsidR="002477DE">
        <w:rPr>
          <w:rFonts w:cs="Times New Roman"/>
          <w:sz w:val="24"/>
          <w:szCs w:val="24"/>
          <w:lang w:val="es-ES"/>
        </w:rPr>
        <w:t xml:space="preserve">Se prevé la asistencia presencial y virtual. </w:t>
      </w:r>
      <w:r>
        <w:rPr>
          <w:rFonts w:cs="Times New Roman"/>
          <w:sz w:val="24"/>
          <w:szCs w:val="24"/>
          <w:lang w:val="es-ES"/>
        </w:rPr>
        <w:t>(E.S.N).</w:t>
      </w:r>
    </w:p>
    <w:p w14:paraId="20D6AF98" w14:textId="77777777" w:rsidR="00416CFA" w:rsidRDefault="00416CFA" w:rsidP="0036563D">
      <w:pPr>
        <w:jc w:val="both"/>
        <w:rPr>
          <w:rFonts w:cs="Times New Roman"/>
          <w:sz w:val="24"/>
          <w:szCs w:val="24"/>
          <w:lang w:val="es-ES"/>
        </w:rPr>
      </w:pPr>
    </w:p>
    <w:p w14:paraId="1858A441" w14:textId="7BD33369" w:rsidR="00416CFA" w:rsidRDefault="00416CFA" w:rsidP="0036563D">
      <w:pPr>
        <w:jc w:val="both"/>
        <w:rPr>
          <w:rFonts w:cs="Times New Roman"/>
          <w:b/>
          <w:bCs/>
          <w:sz w:val="24"/>
          <w:szCs w:val="24"/>
          <w:lang w:val="es-ES"/>
        </w:rPr>
      </w:pPr>
      <w:r w:rsidRPr="00416CFA">
        <w:rPr>
          <w:rFonts w:cs="Times New Roman"/>
          <w:b/>
          <w:bCs/>
          <w:sz w:val="24"/>
          <w:szCs w:val="24"/>
          <w:lang w:val="es-ES"/>
        </w:rPr>
        <w:t>CONGRESO DE CONDUCCIÓN AUTÓNOMA Y SEGURIDAD JURÍDICA DEL TRANSPORTE</w:t>
      </w:r>
      <w:r>
        <w:rPr>
          <w:rFonts w:cs="Times New Roman"/>
          <w:b/>
          <w:bCs/>
          <w:sz w:val="24"/>
          <w:szCs w:val="24"/>
          <w:lang w:val="es-ES"/>
        </w:rPr>
        <w:t xml:space="preserve">: </w:t>
      </w:r>
      <w:r w:rsidR="002477DE">
        <w:rPr>
          <w:rFonts w:cs="Times New Roman"/>
          <w:b/>
          <w:bCs/>
          <w:sz w:val="24"/>
          <w:szCs w:val="24"/>
          <w:lang w:val="es-ES"/>
        </w:rPr>
        <w:t xml:space="preserve">MESA DE </w:t>
      </w:r>
      <w:r>
        <w:rPr>
          <w:rFonts w:cs="Times New Roman"/>
          <w:b/>
          <w:bCs/>
          <w:sz w:val="24"/>
          <w:szCs w:val="24"/>
          <w:lang w:val="es-ES"/>
        </w:rPr>
        <w:t>BUQUES AUTÓNOMOS Y DE CONTROL REMOTO</w:t>
      </w:r>
    </w:p>
    <w:p w14:paraId="1076ABAD" w14:textId="01F1F838" w:rsidR="00416CFA" w:rsidRPr="002477DE" w:rsidRDefault="00416CFA" w:rsidP="00416CFA">
      <w:pPr>
        <w:jc w:val="both"/>
        <w:rPr>
          <w:rFonts w:cs="Times New Roman"/>
          <w:sz w:val="24"/>
          <w:szCs w:val="24"/>
          <w:lang w:val="es-ES"/>
        </w:rPr>
      </w:pPr>
      <w:r w:rsidRPr="002477DE">
        <w:rPr>
          <w:rFonts w:cs="Times New Roman"/>
          <w:sz w:val="24"/>
          <w:szCs w:val="24"/>
          <w:lang w:val="es-ES"/>
        </w:rPr>
        <w:t>Los días 6 y 7 de junio</w:t>
      </w:r>
      <w:r w:rsidR="002477DE">
        <w:rPr>
          <w:rFonts w:cs="Times New Roman"/>
          <w:sz w:val="24"/>
          <w:szCs w:val="24"/>
          <w:lang w:val="es-ES"/>
        </w:rPr>
        <w:t xml:space="preserve"> de 2024</w:t>
      </w:r>
      <w:r w:rsidRPr="002477DE">
        <w:rPr>
          <w:rFonts w:cs="Times New Roman"/>
          <w:sz w:val="24"/>
          <w:szCs w:val="24"/>
          <w:lang w:val="es-ES"/>
        </w:rPr>
        <w:t>, la Escola de Prevenció i Seguretat Integral (EPSI) de la Universitat Autònoma de Barcelona celebra en el campus de Bellaterra</w:t>
      </w:r>
      <w:r w:rsidR="002477DE">
        <w:rPr>
          <w:rFonts w:cs="Times New Roman"/>
          <w:sz w:val="24"/>
          <w:szCs w:val="24"/>
          <w:lang w:val="es-ES"/>
        </w:rPr>
        <w:t xml:space="preserve"> (</w:t>
      </w:r>
      <w:r w:rsidRPr="002477DE">
        <w:rPr>
          <w:rFonts w:cs="Times New Roman"/>
          <w:sz w:val="24"/>
          <w:szCs w:val="24"/>
          <w:lang w:val="es-ES"/>
        </w:rPr>
        <w:t>Barcelona) el Congreso Internacional sobre Conducción Autónoma y Seguridad Jurídica del Transporte</w:t>
      </w:r>
      <w:r w:rsidR="002477DE">
        <w:rPr>
          <w:rFonts w:cs="Times New Roman"/>
          <w:sz w:val="24"/>
          <w:szCs w:val="24"/>
          <w:lang w:val="es-ES"/>
        </w:rPr>
        <w:t xml:space="preserve">. </w:t>
      </w:r>
      <w:r w:rsidR="002477DE" w:rsidRPr="002477DE">
        <w:rPr>
          <w:rFonts w:cs="Times New Roman"/>
          <w:sz w:val="24"/>
          <w:szCs w:val="24"/>
          <w:lang w:val="es-ES"/>
        </w:rPr>
        <w:t xml:space="preserve">La inauguración irá a cargo de la directora de Prevención y Seguridad Integral-Escuela FUAB Formación, </w:t>
      </w:r>
      <w:r w:rsidR="002477DE">
        <w:rPr>
          <w:rFonts w:cs="Times New Roman"/>
          <w:sz w:val="24"/>
          <w:szCs w:val="24"/>
          <w:lang w:val="es-ES"/>
        </w:rPr>
        <w:t xml:space="preserve">Dª </w:t>
      </w:r>
      <w:r w:rsidR="002477DE" w:rsidRPr="002477DE">
        <w:rPr>
          <w:rFonts w:cs="Times New Roman"/>
          <w:sz w:val="24"/>
          <w:szCs w:val="24"/>
          <w:lang w:val="es-ES"/>
        </w:rPr>
        <w:t xml:space="preserve">Montserrat Iglesias-Lucía, mientras que </w:t>
      </w:r>
      <w:r w:rsidR="002477DE">
        <w:rPr>
          <w:rFonts w:cs="Times New Roman"/>
          <w:sz w:val="24"/>
          <w:szCs w:val="24"/>
          <w:lang w:val="es-ES"/>
        </w:rPr>
        <w:t xml:space="preserve">D. </w:t>
      </w:r>
      <w:r w:rsidR="002477DE" w:rsidRPr="002477DE">
        <w:rPr>
          <w:rFonts w:cs="Times New Roman"/>
          <w:sz w:val="24"/>
          <w:szCs w:val="24"/>
          <w:lang w:val="es-ES"/>
        </w:rPr>
        <w:t>Eliseo Sierra Noguero, investigador principal del proyecto Conducción Autónoma y Seguridad Jurídica del Transporte (ADLAW), financiado por el Ministerio de Ciencia e Innovación</w:t>
      </w:r>
      <w:r w:rsidR="002477DE">
        <w:rPr>
          <w:rFonts w:cs="Times New Roman"/>
          <w:sz w:val="24"/>
          <w:szCs w:val="24"/>
          <w:lang w:val="es-ES"/>
        </w:rPr>
        <w:t xml:space="preserve">, es </w:t>
      </w:r>
      <w:r w:rsidR="002477DE" w:rsidRPr="002477DE">
        <w:rPr>
          <w:rFonts w:cs="Times New Roman"/>
          <w:sz w:val="24"/>
          <w:szCs w:val="24"/>
          <w:lang w:val="es-ES"/>
        </w:rPr>
        <w:t xml:space="preserve">el responsable de la clausura del acto. </w:t>
      </w:r>
      <w:r w:rsidR="002477DE">
        <w:rPr>
          <w:rFonts w:cs="Times New Roman"/>
          <w:sz w:val="24"/>
          <w:szCs w:val="24"/>
          <w:lang w:val="es-ES"/>
        </w:rPr>
        <w:t xml:space="preserve">Cuenta con 6 paneles titulados “Ética y Derechos fundamentales y conducción autónoma; derecho a la intimidad y protección de datos”, “Planificación y controles administrativos de los coches autónomos. Movilidad conectada y cooperativa”; “Responsabilidad penal y civil derivada de la utilización de coches autónomos”, “Régimen de aseguramiento de los coches semiautónomos/automatizados y el riesgo de ataques cibernéticos”; y “Aeronaves no tripuladas y movilidad aérea urbana. Responsabilidad civil y seguro”. El último panel aborda la temática de “Buques autónomos: regulación, accidentes, responsabilidad y seguros”, moderado por D. Isidro Galobart. Cuenta con ponencias de D. Germán de Melo, D. Juan Pablo Rodríguez, D. Manuel Alba, D. José Antonio Pejovés, D. Albano Gilabert y D. Luis Pedrayes. Se realiza en </w:t>
      </w:r>
      <w:r w:rsidRPr="002477DE">
        <w:rPr>
          <w:rFonts w:cs="Times New Roman"/>
          <w:sz w:val="24"/>
          <w:szCs w:val="24"/>
          <w:lang w:val="es-ES"/>
        </w:rPr>
        <w:t>doble formato presencial e híbrido</w:t>
      </w:r>
      <w:r w:rsidR="002477DE">
        <w:rPr>
          <w:rFonts w:cs="Times New Roman"/>
          <w:sz w:val="24"/>
          <w:szCs w:val="24"/>
          <w:lang w:val="es-ES"/>
        </w:rPr>
        <w:t xml:space="preserve">. </w:t>
      </w:r>
      <w:r w:rsidR="002477DE" w:rsidRPr="002477DE">
        <w:rPr>
          <w:rFonts w:cs="Times New Roman"/>
          <w:sz w:val="24"/>
          <w:szCs w:val="24"/>
          <w:lang w:val="es-ES"/>
        </w:rPr>
        <w:t>(E.S.N.)</w:t>
      </w:r>
    </w:p>
    <w:sectPr w:rsidR="00416CFA" w:rsidRPr="002477D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E4B43"/>
    <w:multiLevelType w:val="multilevel"/>
    <w:tmpl w:val="F7DE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2963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63D"/>
    <w:rsid w:val="00012B0D"/>
    <w:rsid w:val="000463C2"/>
    <w:rsid w:val="00136DD6"/>
    <w:rsid w:val="002477DE"/>
    <w:rsid w:val="002B57D0"/>
    <w:rsid w:val="002D1FF8"/>
    <w:rsid w:val="002D2434"/>
    <w:rsid w:val="002D26BB"/>
    <w:rsid w:val="00301E85"/>
    <w:rsid w:val="00335E30"/>
    <w:rsid w:val="0036563D"/>
    <w:rsid w:val="00416CFA"/>
    <w:rsid w:val="004173E3"/>
    <w:rsid w:val="004451D7"/>
    <w:rsid w:val="004F7B88"/>
    <w:rsid w:val="005211CC"/>
    <w:rsid w:val="00565D81"/>
    <w:rsid w:val="005A6CAB"/>
    <w:rsid w:val="0063018B"/>
    <w:rsid w:val="00827273"/>
    <w:rsid w:val="00893D62"/>
    <w:rsid w:val="00900B96"/>
    <w:rsid w:val="00936DDD"/>
    <w:rsid w:val="009372FE"/>
    <w:rsid w:val="00B84FF3"/>
    <w:rsid w:val="00C81E23"/>
    <w:rsid w:val="00C84299"/>
    <w:rsid w:val="00CB0322"/>
    <w:rsid w:val="00D8451D"/>
    <w:rsid w:val="00DD0C8C"/>
    <w:rsid w:val="00E144B5"/>
    <w:rsid w:val="00EF19CC"/>
    <w:rsid w:val="00F81E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B5760"/>
  <w15:chartTrackingRefBased/>
  <w15:docId w15:val="{1388832C-B0FB-4EEC-88F4-BF282A643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B96"/>
    <w:rPr>
      <w:lang w:val="es-ES_tradnl"/>
    </w:rPr>
  </w:style>
  <w:style w:type="paragraph" w:styleId="Ttulo1">
    <w:name w:val="heading 1"/>
    <w:basedOn w:val="Normal"/>
    <w:next w:val="Normal"/>
    <w:link w:val="Ttulo1Car"/>
    <w:uiPriority w:val="9"/>
    <w:qFormat/>
    <w:rsid w:val="0036563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36563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36563D"/>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36563D"/>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Ttulo5">
    <w:name w:val="heading 5"/>
    <w:basedOn w:val="Normal"/>
    <w:next w:val="Normal"/>
    <w:link w:val="Ttulo5Car"/>
    <w:uiPriority w:val="9"/>
    <w:semiHidden/>
    <w:unhideWhenUsed/>
    <w:qFormat/>
    <w:rsid w:val="0036563D"/>
    <w:pPr>
      <w:keepNext/>
      <w:keepLines/>
      <w:spacing w:before="80" w:after="40"/>
      <w:outlineLvl w:val="4"/>
    </w:pPr>
    <w:rPr>
      <w:rFonts w:asciiTheme="minorHAnsi" w:eastAsiaTheme="majorEastAsia" w:hAnsiTheme="minorHAnsi" w:cstheme="majorBidi"/>
      <w:color w:val="2E74B5" w:themeColor="accent1" w:themeShade="BF"/>
    </w:rPr>
  </w:style>
  <w:style w:type="paragraph" w:styleId="Ttulo6">
    <w:name w:val="heading 6"/>
    <w:basedOn w:val="Normal"/>
    <w:next w:val="Normal"/>
    <w:link w:val="Ttulo6Car"/>
    <w:uiPriority w:val="9"/>
    <w:semiHidden/>
    <w:unhideWhenUsed/>
    <w:qFormat/>
    <w:rsid w:val="0036563D"/>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36563D"/>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36563D"/>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36563D"/>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Referència de nota a peu de pàgina1,sobrescrito"/>
    <w:basedOn w:val="Normal"/>
    <w:link w:val="TextonotapieCar"/>
    <w:uiPriority w:val="99"/>
    <w:unhideWhenUsed/>
    <w:qFormat/>
    <w:rsid w:val="00900B96"/>
    <w:pPr>
      <w:spacing w:after="0" w:line="240" w:lineRule="auto"/>
    </w:pPr>
    <w:rPr>
      <w:lang w:val="en-GB"/>
    </w:rPr>
  </w:style>
  <w:style w:type="character" w:customStyle="1" w:styleId="TextonotapieCar">
    <w:name w:val="Texto nota pie Car"/>
    <w:aliases w:val="Referència de nota a peu de pàgina1 Car,sobrescrito Car"/>
    <w:basedOn w:val="Fuentedeprrafopredeter"/>
    <w:link w:val="Textonotapie"/>
    <w:uiPriority w:val="99"/>
    <w:qFormat/>
    <w:rsid w:val="00900B96"/>
    <w:rPr>
      <w:sz w:val="20"/>
      <w:szCs w:val="20"/>
      <w:lang w:val="en-GB"/>
    </w:rPr>
  </w:style>
  <w:style w:type="character" w:styleId="nfasis">
    <w:name w:val="Emphasis"/>
    <w:basedOn w:val="Fuentedeprrafopredeter"/>
    <w:uiPriority w:val="20"/>
    <w:qFormat/>
    <w:rsid w:val="00900B96"/>
    <w:rPr>
      <w:i/>
      <w:iCs/>
    </w:rPr>
  </w:style>
  <w:style w:type="paragraph" w:styleId="Prrafodelista">
    <w:name w:val="List Paragraph"/>
    <w:basedOn w:val="Normal"/>
    <w:uiPriority w:val="34"/>
    <w:qFormat/>
    <w:rsid w:val="00900B96"/>
    <w:pPr>
      <w:ind w:left="720"/>
      <w:contextualSpacing/>
    </w:pPr>
  </w:style>
  <w:style w:type="character" w:customStyle="1" w:styleId="Ttulo1Car">
    <w:name w:val="Título 1 Car"/>
    <w:basedOn w:val="Fuentedeprrafopredeter"/>
    <w:link w:val="Ttulo1"/>
    <w:uiPriority w:val="9"/>
    <w:rsid w:val="0036563D"/>
    <w:rPr>
      <w:rFonts w:asciiTheme="majorHAnsi" w:eastAsiaTheme="majorEastAsia" w:hAnsiTheme="majorHAnsi" w:cstheme="majorBidi"/>
      <w:color w:val="2E74B5" w:themeColor="accent1" w:themeShade="BF"/>
      <w:sz w:val="40"/>
      <w:szCs w:val="40"/>
      <w:lang w:val="ca-ES"/>
    </w:rPr>
  </w:style>
  <w:style w:type="character" w:customStyle="1" w:styleId="Ttulo2Car">
    <w:name w:val="Título 2 Car"/>
    <w:basedOn w:val="Fuentedeprrafopredeter"/>
    <w:link w:val="Ttulo2"/>
    <w:uiPriority w:val="9"/>
    <w:semiHidden/>
    <w:rsid w:val="0036563D"/>
    <w:rPr>
      <w:rFonts w:asciiTheme="majorHAnsi" w:eastAsiaTheme="majorEastAsia" w:hAnsiTheme="majorHAnsi" w:cstheme="majorBidi"/>
      <w:color w:val="2E74B5" w:themeColor="accent1" w:themeShade="BF"/>
      <w:sz w:val="32"/>
      <w:szCs w:val="32"/>
      <w:lang w:val="ca-ES"/>
    </w:rPr>
  </w:style>
  <w:style w:type="character" w:customStyle="1" w:styleId="Ttulo3Car">
    <w:name w:val="Título 3 Car"/>
    <w:basedOn w:val="Fuentedeprrafopredeter"/>
    <w:link w:val="Ttulo3"/>
    <w:uiPriority w:val="9"/>
    <w:semiHidden/>
    <w:rsid w:val="0036563D"/>
    <w:rPr>
      <w:rFonts w:asciiTheme="minorHAnsi" w:eastAsiaTheme="majorEastAsia" w:hAnsiTheme="minorHAnsi" w:cstheme="majorBidi"/>
      <w:color w:val="2E74B5" w:themeColor="accent1" w:themeShade="BF"/>
      <w:sz w:val="28"/>
      <w:szCs w:val="28"/>
      <w:lang w:val="ca-ES"/>
    </w:rPr>
  </w:style>
  <w:style w:type="character" w:customStyle="1" w:styleId="Ttulo4Car">
    <w:name w:val="Título 4 Car"/>
    <w:basedOn w:val="Fuentedeprrafopredeter"/>
    <w:link w:val="Ttulo4"/>
    <w:uiPriority w:val="9"/>
    <w:semiHidden/>
    <w:rsid w:val="0036563D"/>
    <w:rPr>
      <w:rFonts w:asciiTheme="minorHAnsi" w:eastAsiaTheme="majorEastAsia" w:hAnsiTheme="minorHAnsi" w:cstheme="majorBidi"/>
      <w:i/>
      <w:iCs/>
      <w:color w:val="2E74B5" w:themeColor="accent1" w:themeShade="BF"/>
      <w:lang w:val="ca-ES"/>
    </w:rPr>
  </w:style>
  <w:style w:type="character" w:customStyle="1" w:styleId="Ttulo5Car">
    <w:name w:val="Título 5 Car"/>
    <w:basedOn w:val="Fuentedeprrafopredeter"/>
    <w:link w:val="Ttulo5"/>
    <w:uiPriority w:val="9"/>
    <w:semiHidden/>
    <w:rsid w:val="0036563D"/>
    <w:rPr>
      <w:rFonts w:asciiTheme="minorHAnsi" w:eastAsiaTheme="majorEastAsia" w:hAnsiTheme="minorHAnsi" w:cstheme="majorBidi"/>
      <w:color w:val="2E74B5" w:themeColor="accent1" w:themeShade="BF"/>
      <w:lang w:val="ca-ES"/>
    </w:rPr>
  </w:style>
  <w:style w:type="character" w:customStyle="1" w:styleId="Ttulo6Car">
    <w:name w:val="Título 6 Car"/>
    <w:basedOn w:val="Fuentedeprrafopredeter"/>
    <w:link w:val="Ttulo6"/>
    <w:uiPriority w:val="9"/>
    <w:semiHidden/>
    <w:rsid w:val="0036563D"/>
    <w:rPr>
      <w:rFonts w:asciiTheme="minorHAnsi" w:eastAsiaTheme="majorEastAsia" w:hAnsiTheme="minorHAnsi" w:cstheme="majorBidi"/>
      <w:i/>
      <w:iCs/>
      <w:color w:val="595959" w:themeColor="text1" w:themeTint="A6"/>
      <w:lang w:val="ca-ES"/>
    </w:rPr>
  </w:style>
  <w:style w:type="character" w:customStyle="1" w:styleId="Ttulo7Car">
    <w:name w:val="Título 7 Car"/>
    <w:basedOn w:val="Fuentedeprrafopredeter"/>
    <w:link w:val="Ttulo7"/>
    <w:uiPriority w:val="9"/>
    <w:semiHidden/>
    <w:rsid w:val="0036563D"/>
    <w:rPr>
      <w:rFonts w:asciiTheme="minorHAnsi" w:eastAsiaTheme="majorEastAsia" w:hAnsiTheme="minorHAnsi" w:cstheme="majorBidi"/>
      <w:color w:val="595959" w:themeColor="text1" w:themeTint="A6"/>
      <w:lang w:val="ca-ES"/>
    </w:rPr>
  </w:style>
  <w:style w:type="character" w:customStyle="1" w:styleId="Ttulo8Car">
    <w:name w:val="Título 8 Car"/>
    <w:basedOn w:val="Fuentedeprrafopredeter"/>
    <w:link w:val="Ttulo8"/>
    <w:uiPriority w:val="9"/>
    <w:semiHidden/>
    <w:rsid w:val="0036563D"/>
    <w:rPr>
      <w:rFonts w:asciiTheme="minorHAnsi" w:eastAsiaTheme="majorEastAsia" w:hAnsiTheme="minorHAnsi" w:cstheme="majorBidi"/>
      <w:i/>
      <w:iCs/>
      <w:color w:val="272727" w:themeColor="text1" w:themeTint="D8"/>
      <w:lang w:val="ca-ES"/>
    </w:rPr>
  </w:style>
  <w:style w:type="character" w:customStyle="1" w:styleId="Ttulo9Car">
    <w:name w:val="Título 9 Car"/>
    <w:basedOn w:val="Fuentedeprrafopredeter"/>
    <w:link w:val="Ttulo9"/>
    <w:uiPriority w:val="9"/>
    <w:semiHidden/>
    <w:rsid w:val="0036563D"/>
    <w:rPr>
      <w:rFonts w:asciiTheme="minorHAnsi" w:eastAsiaTheme="majorEastAsia" w:hAnsiTheme="minorHAnsi" w:cstheme="majorBidi"/>
      <w:color w:val="272727" w:themeColor="text1" w:themeTint="D8"/>
      <w:lang w:val="ca-ES"/>
    </w:rPr>
  </w:style>
  <w:style w:type="paragraph" w:styleId="Ttulo">
    <w:name w:val="Title"/>
    <w:basedOn w:val="Normal"/>
    <w:next w:val="Normal"/>
    <w:link w:val="TtuloCar"/>
    <w:uiPriority w:val="10"/>
    <w:qFormat/>
    <w:rsid w:val="003656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6563D"/>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36563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6563D"/>
    <w:rPr>
      <w:rFonts w:asciiTheme="minorHAnsi" w:eastAsiaTheme="majorEastAsia" w:hAnsiTheme="minorHAnsi"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36563D"/>
    <w:pPr>
      <w:spacing w:before="160"/>
      <w:jc w:val="center"/>
    </w:pPr>
    <w:rPr>
      <w:i/>
      <w:iCs/>
      <w:color w:val="404040" w:themeColor="text1" w:themeTint="BF"/>
    </w:rPr>
  </w:style>
  <w:style w:type="character" w:customStyle="1" w:styleId="CitaCar">
    <w:name w:val="Cita Car"/>
    <w:basedOn w:val="Fuentedeprrafopredeter"/>
    <w:link w:val="Cita"/>
    <w:uiPriority w:val="29"/>
    <w:rsid w:val="0036563D"/>
    <w:rPr>
      <w:i/>
      <w:iCs/>
      <w:color w:val="404040" w:themeColor="text1" w:themeTint="BF"/>
      <w:lang w:val="ca-ES"/>
    </w:rPr>
  </w:style>
  <w:style w:type="character" w:styleId="nfasisintenso">
    <w:name w:val="Intense Emphasis"/>
    <w:basedOn w:val="Fuentedeprrafopredeter"/>
    <w:uiPriority w:val="21"/>
    <w:qFormat/>
    <w:rsid w:val="0036563D"/>
    <w:rPr>
      <w:i/>
      <w:iCs/>
      <w:color w:val="2E74B5" w:themeColor="accent1" w:themeShade="BF"/>
    </w:rPr>
  </w:style>
  <w:style w:type="paragraph" w:styleId="Citadestacada">
    <w:name w:val="Intense Quote"/>
    <w:basedOn w:val="Normal"/>
    <w:next w:val="Normal"/>
    <w:link w:val="CitadestacadaCar"/>
    <w:uiPriority w:val="30"/>
    <w:qFormat/>
    <w:rsid w:val="0036563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36563D"/>
    <w:rPr>
      <w:i/>
      <w:iCs/>
      <w:color w:val="2E74B5" w:themeColor="accent1" w:themeShade="BF"/>
      <w:lang w:val="ca-ES"/>
    </w:rPr>
  </w:style>
  <w:style w:type="character" w:styleId="Referenciaintensa">
    <w:name w:val="Intense Reference"/>
    <w:basedOn w:val="Fuentedeprrafopredeter"/>
    <w:uiPriority w:val="32"/>
    <w:qFormat/>
    <w:rsid w:val="0036563D"/>
    <w:rPr>
      <w:b/>
      <w:bCs/>
      <w:smallCaps/>
      <w:color w:val="2E74B5" w:themeColor="accent1" w:themeShade="BF"/>
      <w:spacing w:val="5"/>
    </w:rPr>
  </w:style>
  <w:style w:type="paragraph" w:customStyle="1" w:styleId="titulo">
    <w:name w:val="titulo"/>
    <w:basedOn w:val="Normal"/>
    <w:rsid w:val="00F81EED"/>
    <w:pPr>
      <w:spacing w:before="100" w:beforeAutospacing="1" w:after="100" w:afterAutospacing="1" w:line="240" w:lineRule="auto"/>
    </w:pPr>
    <w:rPr>
      <w:rFonts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953837">
      <w:bodyDiv w:val="1"/>
      <w:marLeft w:val="0"/>
      <w:marRight w:val="0"/>
      <w:marTop w:val="0"/>
      <w:marBottom w:val="0"/>
      <w:divBdr>
        <w:top w:val="none" w:sz="0" w:space="0" w:color="auto"/>
        <w:left w:val="none" w:sz="0" w:space="0" w:color="auto"/>
        <w:bottom w:val="none" w:sz="0" w:space="0" w:color="auto"/>
        <w:right w:val="none" w:sz="0" w:space="0" w:color="auto"/>
      </w:divBdr>
    </w:div>
    <w:div w:id="78335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1891</Words>
  <Characters>10402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Eliseo Sierra Noguero</dc:creator>
  <cp:keywords/>
  <dc:description/>
  <cp:lastModifiedBy>Eliseo Sierra Noguero</cp:lastModifiedBy>
  <cp:revision>2</cp:revision>
  <dcterms:created xsi:type="dcterms:W3CDTF">2024-05-08T06:44:00Z</dcterms:created>
  <dcterms:modified xsi:type="dcterms:W3CDTF">2024-05-08T06:44:00Z</dcterms:modified>
</cp:coreProperties>
</file>