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Appendix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[Figures and tables]</w:t>
      </w:r>
    </w:p>
    <w:p w:rsidR="00000000" w:rsidDel="00000000" w:rsidP="00000000" w:rsidRDefault="00000000" w:rsidRPr="00000000" w14:paraId="0000000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Figure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Percentage of persons at risk of poverty and social exclusion (AROPE, 2015-2020)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  <w:drawing>
          <wp:inline distB="114300" distT="114300" distL="114300" distR="114300">
            <wp:extent cx="5731200" cy="48006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0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Source: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Eurostat, 2024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Percentage of persons at risk of poverty and social exclusion in Spain by household type (AROPE, 2008-2020)</w:t>
      </w:r>
    </w:p>
    <w:p w:rsidR="00000000" w:rsidDel="00000000" w:rsidP="00000000" w:rsidRDefault="00000000" w:rsidRPr="00000000" w14:paraId="0000000E">
      <w:pPr>
        <w:spacing w:after="20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</w:rPr>
        <w:drawing>
          <wp:inline distB="114300" distT="114300" distL="114300" distR="114300">
            <wp:extent cx="5400675" cy="34575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57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Source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Instituto Nacional de Estadística (INE). </w:t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The abbreviation ‘DC’ denotes ‘dependent children’. The Y axis represents the total percentage.</w:t>
      </w:r>
    </w:p>
    <w:p w:rsidR="00000000" w:rsidDel="00000000" w:rsidP="00000000" w:rsidRDefault="00000000" w:rsidRPr="00000000" w14:paraId="0000001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color w:val="0000f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Figure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Percentage of support for the ‘Ingreso Mínimo Vital’ by party family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5731200" cy="35179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Source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Centro de Investigaciones Sociológicas (May 2020).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Note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The Y variable is the percentage of voters against or in favor of the MVI. In “Left” I have included PSOE and Unidas Podemos. In “Right” I have included PP and Ciudadanos. “Regional left” comprises ERC, HB, BNG and Compromís. “Regional right”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includes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PNV and PDeCAT. “Radical right”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represents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only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Vox.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Figure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Timeline of the reform process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8116808" cy="515256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16808" cy="51525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  <w:sectPr>
          <w:type w:val="nextPage"/>
          <w:pgSz w:h="11909" w:w="16834" w:orient="landscape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Source: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Own elaboration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Actors’ acronyms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85"/>
        <w:gridCol w:w="5985"/>
        <w:gridCol w:w="1500"/>
        <w:tblGridChange w:id="0">
          <w:tblGrid>
            <w:gridCol w:w="1485"/>
            <w:gridCol w:w="5985"/>
            <w:gridCol w:w="15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Name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Institutional role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Acronym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shd w:fill="f3f3f3" w:val="clear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Interviewees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1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16th, 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  <w:rtl w:val="0"/>
              </w:rPr>
              <w:t xml:space="preserve">Former Minister of Health, Consumption and Social Welfare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2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16th, 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General Secretary of Inclusion and Social Welfare Objectives and Policies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3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24th, 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Regional Deputy/Minister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10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October 31th,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PP 1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23th, 2022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  <w:rtl w:val="0"/>
              </w:rPr>
              <w:t xml:space="preserve">Director of the Cabinet of the Secretary of State for Social Rights. Ministry of Social Rights and Agenda 2030.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 1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2nd, 2022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  <w:rtl w:val="0"/>
              </w:rPr>
              <w:t xml:space="preserve">Secretary of Social Protection and Public Policies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CC.OO (TU 1)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23th, 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GR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  <w:rtl w:val="0"/>
              </w:rPr>
              <w:t xml:space="preserve">Head of the Social Rights Area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UGT (TU 2)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July 5th, 2022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Online</w:t>
            </w:r>
          </w:p>
        </w:tc>
      </w:tr>
      <w:tr>
        <w:trPr>
          <w:cantSplit w:val="0"/>
          <w:trHeight w:val="104.941406249999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Head of Social Security and Equality areas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CEOE 1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June 26th, 2023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Online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highlight w:val="white"/>
                <w:rtl w:val="0"/>
              </w:rPr>
              <w:t xml:space="preserve">Political Advocacy and Legal Analysis Coordinator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Cáritas 1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24th, 2022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efefef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Interventions in Plenary Sessions in the Spanish Congress of Deputies, parliamentary hearings or parliamentary committees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Carlos Susías Rodado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Representative of the European Network for the Fight against Poverty and Social Exclusion in the Spanish State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EAPN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Simancas Simancas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Ramón Urbano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J.L. Escrivá Belmonte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Minister of Inclusion, Social Security and Migration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Pedro Sánchez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President of the Spanish Government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Montero Plaza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Minister of Finance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Carolina Darias San Sebastián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Minister of Territorial Policy and Civil Service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PSOE 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Alli Martínez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UPN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Joan Baldoví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Carles Campuzano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PDCat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Esteve Boadella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JxCat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Pablo Iglesias Turrión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Vice President of the Spanish Government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Segundo González García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Isabel Franco Carmona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UP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Toni Roldán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Del Campo Estaún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Giménez Giménez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Cs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Rufián Romero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ERC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Iñigo Barandiaran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PNV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Esteban Bravo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PNV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Oramas González-Moro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CC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López 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PP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Pilar Marcos Domínguez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PP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Ruíz Solás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Vox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Néstor Rego Candamil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BNG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Oskar Matute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EH-Bildu 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Isidro Martínez Oblanca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Deputy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FA 1</w:t>
            </w:r>
          </w:p>
        </w:tc>
      </w:tr>
    </w:tbl>
    <w:p w:rsidR="00000000" w:rsidDel="00000000" w:rsidP="00000000" w:rsidRDefault="00000000" w:rsidRPr="00000000" w14:paraId="000000B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Source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Own elaboration</w:t>
      </w:r>
    </w:p>
    <w:p w:rsidR="00000000" w:rsidDel="00000000" w:rsidP="00000000" w:rsidRDefault="00000000" w:rsidRPr="00000000" w14:paraId="000000B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Table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Political parties’ acronyms - ideology </w:t>
      </w:r>
    </w:p>
    <w:p w:rsidR="00000000" w:rsidDel="00000000" w:rsidP="00000000" w:rsidRDefault="00000000" w:rsidRPr="00000000" w14:paraId="000000B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265"/>
        <w:tblGridChange w:id="0">
          <w:tblGrid>
            <w:gridCol w:w="2865"/>
            <w:gridCol w:w="1665"/>
            <w:gridCol w:w="2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Spanish acronym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Party Family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Partido Socialista Obrero Español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PSOE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Center-left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Partido Popular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Center-right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Unidas Podemos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Left-wing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Radical-right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Esquerra Republicana de Catalunya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ERC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left-wing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Bloque Nacionalista Galego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left-wing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Compromís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left-wing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EH-Bildu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EH-Bildu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left-wing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Partido Socialista de Euskadi - Euskadiko Ezkerra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PSE-EE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Center-left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Candidatura d’Unitat Popular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left-wing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Partido Nacionalista Vasco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PNV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Coalición Canaria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Junts per Catalunya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JxCat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Partido Regionalista de Cantabria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Unión del Pueblo Navarro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UPN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Foro Asturias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Regional right-wing</w:t>
            </w:r>
          </w:p>
        </w:tc>
      </w:tr>
    </w:tbl>
    <w:p w:rsidR="00000000" w:rsidDel="00000000" w:rsidP="00000000" w:rsidRDefault="00000000" w:rsidRPr="00000000" w14:paraId="000000F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Source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Own elaboration</w:t>
      </w:r>
    </w:p>
    <w:p w:rsidR="00000000" w:rsidDel="00000000" w:rsidP="00000000" w:rsidRDefault="00000000" w:rsidRPr="00000000" w14:paraId="000000F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Table 3.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Main policy proposals on the field of minimum income schemes </w:t>
      </w:r>
    </w:p>
    <w:p w:rsidR="00000000" w:rsidDel="00000000" w:rsidP="00000000" w:rsidRDefault="00000000" w:rsidRPr="00000000" w14:paraId="000000F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2100"/>
        <w:gridCol w:w="2100"/>
        <w:gridCol w:w="2100"/>
        <w:gridCol w:w="2100"/>
        <w:tblGridChange w:id="0">
          <w:tblGrid>
            <w:gridCol w:w="2100"/>
            <w:gridCol w:w="2100"/>
            <w:gridCol w:w="2100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f3f3f3" w:val="clear"/>
                <w:rtl w:val="0"/>
              </w:rPr>
              <w:t xml:space="preserve">CCOO/UGT 2015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f3f3f3" w:val="clear"/>
                <w:rtl w:val="0"/>
              </w:rPr>
              <w:t xml:space="preserve">PSOE 2015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f3f3f3" w:val="clear"/>
                <w:rtl w:val="0"/>
              </w:rPr>
              <w:t xml:space="preserve">UP 2015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f3f3f3" w:val="clear"/>
                <w:rtl w:val="0"/>
              </w:rPr>
              <w:t xml:space="preserve">UP 2019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Policy proposal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Prestación de Ingresos Mínimos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(Minimum Income Provision)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Ingreso Mínimo Vital 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(Minimum Vital Income)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Renta garantizada + renta complementaria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(Guaranteed Minimum Income + Supplementary Income)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Prestación de suficiencia de ingresos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white"/>
                <w:rtl w:val="0"/>
              </w:rPr>
              <w:t xml:space="preserve">(Income Sufficiency Benefit)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Amount (single/two children)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426/426 + supplements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426/1008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1050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1100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Child supplement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(they refer to the Budget Law)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(separated subsidy for households in need)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(incorporated in the benefit by household type)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(increased child benefits: 100 eur/m per family; 125  eur/m for lone parents)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Quantitative target (households) in millions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0,7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3,3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3,6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Means-tested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75% of minimum wage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Income per person below the severe poverty threshold for household income, or the poverty threshold for child benefits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Household income below the guaranteed thresholds for each type of household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308.5714285714286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Household income below the guaranteed thresholds for each type of household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Work-related conditionality 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12 months registered as a job-seeker. Mandatory labour insertion programmes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Benefit linked to labour insertion and training programmes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Registered as a job-seeker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Work-in-benefit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No. Possibility for special cases (vulnerable individuals)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(a minimum of 250 eur/m and a maximum of 900)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Yes (minimum of 100 eur/m and maximum of 1200)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Age requirement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18-65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Not defined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Not defined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Emancipated underage individuals are included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Residence requirement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6 months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Not defined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Not defined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6 months</w:t>
            </w:r>
          </w:p>
        </w:tc>
      </w:tr>
    </w:tbl>
    <w:p w:rsidR="00000000" w:rsidDel="00000000" w:rsidP="00000000" w:rsidRDefault="00000000" w:rsidRPr="00000000" w14:paraId="00000133">
      <w:pPr>
        <w:spacing w:line="276" w:lineRule="auto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  <w:sectPr>
          <w:type w:val="nextPage"/>
          <w:pgSz w:h="11909" w:w="16834" w:orient="landscape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Source: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Noguera (2019)</w:t>
      </w:r>
    </w:p>
    <w:p w:rsidR="00000000" w:rsidDel="00000000" w:rsidP="00000000" w:rsidRDefault="00000000" w:rsidRPr="00000000" w14:paraId="0000013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240" w:before="240" w:line="276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="276" w:lineRule="auto"/>
        <w:jc w:val="both"/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480" w:lineRule="auto"/>
        <w:ind w:firstLine="720.000000000000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Light-regular.ttf"/><Relationship Id="rId2" Type="http://schemas.openxmlformats.org/officeDocument/2006/relationships/font" Target="fonts/RobotoLight-bold.ttf"/><Relationship Id="rId3" Type="http://schemas.openxmlformats.org/officeDocument/2006/relationships/font" Target="fonts/RobotoLight-italic.ttf"/><Relationship Id="rId4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