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89" w:rsidRPr="00497684" w:rsidRDefault="00C77AF2" w:rsidP="00F80D2E">
      <w:pPr>
        <w:spacing w:after="0"/>
        <w:jc w:val="both"/>
        <w:rPr>
          <w:rFonts w:ascii="Times New Roman" w:hAnsi="Times New Roman" w:cs="Times New Roman"/>
          <w:b/>
          <w:sz w:val="24"/>
          <w:szCs w:val="24"/>
        </w:rPr>
      </w:pPr>
      <w:r w:rsidRPr="00497684">
        <w:rPr>
          <w:rFonts w:ascii="Times New Roman" w:hAnsi="Times New Roman" w:cs="Times New Roman"/>
          <w:b/>
          <w:sz w:val="24"/>
          <w:szCs w:val="24"/>
        </w:rPr>
        <w:t xml:space="preserve">PROCESO DE EJECUCIÓN DE LA SENTENCIA DEL TRIBUNAL SUPREMO FRENTE AL </w:t>
      </w:r>
      <w:r w:rsidR="007549A1" w:rsidRPr="00497684">
        <w:rPr>
          <w:rFonts w:ascii="Times New Roman" w:hAnsi="Times New Roman" w:cs="Times New Roman"/>
          <w:b/>
          <w:sz w:val="24"/>
          <w:szCs w:val="24"/>
        </w:rPr>
        <w:t>CLUB</w:t>
      </w:r>
      <w:r w:rsidRPr="00497684">
        <w:rPr>
          <w:rFonts w:ascii="Times New Roman" w:hAnsi="Times New Roman" w:cs="Times New Roman"/>
          <w:b/>
          <w:sz w:val="24"/>
          <w:szCs w:val="24"/>
        </w:rPr>
        <w:t xml:space="preserve"> P&amp;I DEL BUQUE “PRESTIGE” EN EL REINO UNIDO</w:t>
      </w:r>
    </w:p>
    <w:p w:rsidR="00C77AF2" w:rsidRPr="00497684" w:rsidRDefault="00C77AF2" w:rsidP="00C77AF2">
      <w:pPr>
        <w:spacing w:after="0"/>
        <w:ind w:left="360"/>
        <w:jc w:val="both"/>
        <w:rPr>
          <w:rFonts w:ascii="Times New Roman" w:hAnsi="Times New Roman" w:cs="Times New Roman"/>
          <w:b/>
          <w:sz w:val="24"/>
          <w:szCs w:val="24"/>
        </w:rPr>
      </w:pPr>
    </w:p>
    <w:p w:rsidR="00C77AF2" w:rsidRPr="00497684" w:rsidRDefault="00C77AF2" w:rsidP="00F80D2E">
      <w:pPr>
        <w:spacing w:after="0"/>
        <w:jc w:val="both"/>
        <w:rPr>
          <w:rFonts w:ascii="Times New Roman" w:hAnsi="Times New Roman" w:cs="Times New Roman"/>
          <w:i/>
          <w:sz w:val="24"/>
          <w:szCs w:val="24"/>
        </w:rPr>
      </w:pPr>
      <w:r w:rsidRPr="00497684">
        <w:rPr>
          <w:rFonts w:ascii="Times New Roman" w:hAnsi="Times New Roman" w:cs="Times New Roman"/>
          <w:i/>
          <w:sz w:val="24"/>
          <w:szCs w:val="24"/>
        </w:rPr>
        <w:t>Eliseo Sierra Noguero</w:t>
      </w:r>
    </w:p>
    <w:p w:rsidR="00C77AF2" w:rsidRPr="00497684" w:rsidRDefault="00C77AF2" w:rsidP="00F80D2E">
      <w:pPr>
        <w:spacing w:after="0"/>
        <w:jc w:val="both"/>
        <w:rPr>
          <w:rFonts w:ascii="Times New Roman" w:hAnsi="Times New Roman" w:cs="Times New Roman"/>
          <w:i/>
          <w:sz w:val="24"/>
          <w:szCs w:val="24"/>
        </w:rPr>
      </w:pPr>
      <w:r w:rsidRPr="00497684">
        <w:rPr>
          <w:rFonts w:ascii="Times New Roman" w:hAnsi="Times New Roman" w:cs="Times New Roman"/>
          <w:i/>
          <w:sz w:val="24"/>
          <w:szCs w:val="24"/>
        </w:rPr>
        <w:t>Profesor Agregado de Derecho Mercantil</w:t>
      </w:r>
    </w:p>
    <w:p w:rsidR="00C77AF2" w:rsidRPr="00497684" w:rsidRDefault="00C77AF2" w:rsidP="00F80D2E">
      <w:pPr>
        <w:spacing w:after="0"/>
        <w:jc w:val="both"/>
        <w:rPr>
          <w:rFonts w:ascii="Times New Roman" w:hAnsi="Times New Roman" w:cs="Times New Roman"/>
          <w:i/>
          <w:sz w:val="24"/>
          <w:szCs w:val="24"/>
        </w:rPr>
      </w:pPr>
      <w:r w:rsidRPr="00497684">
        <w:rPr>
          <w:rFonts w:ascii="Times New Roman" w:hAnsi="Times New Roman" w:cs="Times New Roman"/>
          <w:i/>
          <w:sz w:val="24"/>
          <w:szCs w:val="24"/>
        </w:rPr>
        <w:t>Universidad Autónoma de Barcelona</w:t>
      </w:r>
    </w:p>
    <w:p w:rsidR="00C77AF2" w:rsidRPr="00497684" w:rsidRDefault="00C77AF2" w:rsidP="00240B01">
      <w:pPr>
        <w:spacing w:after="0"/>
        <w:ind w:left="360"/>
        <w:jc w:val="both"/>
        <w:rPr>
          <w:rFonts w:ascii="Times New Roman" w:hAnsi="Times New Roman" w:cs="Times New Roman"/>
          <w:b/>
          <w:sz w:val="24"/>
          <w:szCs w:val="24"/>
        </w:rPr>
      </w:pPr>
    </w:p>
    <w:p w:rsidR="00114244" w:rsidRPr="00497684" w:rsidRDefault="00C77AF2" w:rsidP="00114244">
      <w:pPr>
        <w:spacing w:after="0"/>
        <w:jc w:val="both"/>
        <w:rPr>
          <w:rFonts w:ascii="Times New Roman" w:hAnsi="Times New Roman" w:cs="Times New Roman"/>
          <w:sz w:val="20"/>
          <w:szCs w:val="20"/>
        </w:rPr>
      </w:pPr>
      <w:r w:rsidRPr="00497684">
        <w:rPr>
          <w:rFonts w:ascii="Times New Roman" w:hAnsi="Times New Roman" w:cs="Times New Roman"/>
          <w:b/>
          <w:sz w:val="20"/>
          <w:szCs w:val="20"/>
        </w:rPr>
        <w:t>Sumario</w:t>
      </w:r>
      <w:r w:rsidRPr="00497684">
        <w:rPr>
          <w:rFonts w:ascii="Times New Roman" w:hAnsi="Times New Roman" w:cs="Times New Roman"/>
          <w:sz w:val="20"/>
          <w:szCs w:val="20"/>
        </w:rPr>
        <w:t xml:space="preserve">: </w:t>
      </w:r>
      <w:r w:rsidR="00114244" w:rsidRPr="00497684">
        <w:rPr>
          <w:rFonts w:ascii="Times New Roman" w:hAnsi="Times New Roman" w:cs="Times New Roman"/>
          <w:sz w:val="20"/>
          <w:szCs w:val="20"/>
        </w:rPr>
        <w:t xml:space="preserve">1. Antecedentes de hecho y judiciales en España y en el Reino Unido del caso </w:t>
      </w:r>
      <w:r w:rsidR="00114244" w:rsidRPr="00497684">
        <w:rPr>
          <w:rFonts w:ascii="Times New Roman" w:hAnsi="Times New Roman" w:cs="Times New Roman"/>
          <w:i/>
          <w:sz w:val="20"/>
          <w:szCs w:val="20"/>
        </w:rPr>
        <w:t>Prestige.</w:t>
      </w:r>
      <w:r w:rsidR="00A77834" w:rsidRPr="00497684">
        <w:rPr>
          <w:rFonts w:ascii="Times New Roman" w:hAnsi="Times New Roman" w:cs="Times New Roman"/>
          <w:i/>
          <w:sz w:val="20"/>
          <w:szCs w:val="20"/>
        </w:rPr>
        <w:t xml:space="preserve"> </w:t>
      </w:r>
      <w:r w:rsidR="00114244" w:rsidRPr="00497684">
        <w:rPr>
          <w:rFonts w:ascii="Times New Roman" w:hAnsi="Times New Roman" w:cs="Times New Roman"/>
          <w:sz w:val="20"/>
          <w:szCs w:val="20"/>
        </w:rPr>
        <w:t xml:space="preserve">2. Solicitud de ejecución de la STS en el Reino Unido. Oposición del club P&amp;I en base a resolución judicial previa de ejecución de laudo arbitral. Cuestión prejudicial ante el TJUE. 3. Régimen jurídico. 3.1. Derecho internacional. 3.2. Derecho comunitario. 3.3. Derecho inglés: sec. 66 AA 1996 y jurisprudencia británica: el caso </w:t>
      </w:r>
      <w:r w:rsidR="00114244" w:rsidRPr="00497684">
        <w:rPr>
          <w:rFonts w:ascii="Times New Roman" w:hAnsi="Times New Roman" w:cs="Times New Roman"/>
          <w:i/>
          <w:sz w:val="20"/>
          <w:szCs w:val="20"/>
        </w:rPr>
        <w:t xml:space="preserve">West </w:t>
      </w:r>
      <w:proofErr w:type="spellStart"/>
      <w:r w:rsidR="00114244" w:rsidRPr="00497684">
        <w:rPr>
          <w:rFonts w:ascii="Times New Roman" w:hAnsi="Times New Roman" w:cs="Times New Roman"/>
          <w:i/>
          <w:sz w:val="20"/>
          <w:szCs w:val="20"/>
        </w:rPr>
        <w:t>Tankers</w:t>
      </w:r>
      <w:proofErr w:type="spellEnd"/>
      <w:r w:rsidR="00114244" w:rsidRPr="00497684">
        <w:rPr>
          <w:rFonts w:ascii="Times New Roman" w:hAnsi="Times New Roman" w:cs="Times New Roman"/>
          <w:i/>
          <w:sz w:val="20"/>
          <w:szCs w:val="20"/>
        </w:rPr>
        <w:t xml:space="preserve"> v. Allianz</w:t>
      </w:r>
      <w:r w:rsidR="00114244" w:rsidRPr="00497684">
        <w:rPr>
          <w:rFonts w:ascii="Times New Roman" w:hAnsi="Times New Roman" w:cs="Times New Roman"/>
          <w:sz w:val="20"/>
          <w:szCs w:val="20"/>
        </w:rPr>
        <w:t xml:space="preserve"> 2012 de ejecución judicial de un laudo arbitral meramente declarativo. 4. Sobre si la ejecución judicial de un laudo arbitral es una resolución ex art. 34(3) Reglamento 44/2001 e impedir el reconocimiento de una resolución extranjera dictada dentro del ámbito de aplicación material del Reglamento 44/2001</w:t>
      </w:r>
      <w:r w:rsidR="00E336C2" w:rsidRPr="00497684">
        <w:rPr>
          <w:rFonts w:ascii="Times New Roman" w:hAnsi="Times New Roman" w:cs="Times New Roman"/>
          <w:sz w:val="20"/>
          <w:szCs w:val="20"/>
        </w:rPr>
        <w:t xml:space="preserve">. </w:t>
      </w:r>
      <w:r w:rsidR="00CA708D" w:rsidRPr="00497684">
        <w:rPr>
          <w:rFonts w:ascii="Times New Roman" w:hAnsi="Times New Roman" w:cs="Times New Roman"/>
          <w:sz w:val="20"/>
          <w:szCs w:val="20"/>
        </w:rPr>
        <w:t>5. Libre circulación de resoluciones y p</w:t>
      </w:r>
      <w:r w:rsidR="00E336C2" w:rsidRPr="00497684">
        <w:rPr>
          <w:rFonts w:ascii="Times New Roman" w:hAnsi="Times New Roman" w:cs="Times New Roman"/>
          <w:sz w:val="20"/>
          <w:szCs w:val="20"/>
        </w:rPr>
        <w:t>rincipio de confianza mutua</w:t>
      </w:r>
      <w:r w:rsidR="00114244" w:rsidRPr="00497684">
        <w:rPr>
          <w:rFonts w:ascii="Times New Roman" w:hAnsi="Times New Roman" w:cs="Times New Roman"/>
          <w:sz w:val="20"/>
          <w:szCs w:val="20"/>
        </w:rPr>
        <w:t xml:space="preserve">. </w:t>
      </w:r>
      <w:r w:rsidR="00CA708D" w:rsidRPr="00497684">
        <w:rPr>
          <w:rFonts w:ascii="Times New Roman" w:hAnsi="Times New Roman" w:cs="Times New Roman"/>
          <w:sz w:val="20"/>
          <w:szCs w:val="20"/>
        </w:rPr>
        <w:t>6</w:t>
      </w:r>
      <w:r w:rsidR="00114244" w:rsidRPr="00497684">
        <w:rPr>
          <w:rFonts w:ascii="Times New Roman" w:hAnsi="Times New Roman" w:cs="Times New Roman"/>
          <w:sz w:val="20"/>
          <w:szCs w:val="20"/>
        </w:rPr>
        <w:t xml:space="preserve">. Sobre si cabe oponer el principio de la cosa juzgada y/o </w:t>
      </w:r>
      <w:proofErr w:type="spellStart"/>
      <w:r w:rsidR="00114244" w:rsidRPr="00497684">
        <w:rPr>
          <w:rFonts w:ascii="Times New Roman" w:hAnsi="Times New Roman" w:cs="Times New Roman"/>
          <w:sz w:val="20"/>
          <w:szCs w:val="20"/>
        </w:rPr>
        <w:t>inconciliabilidad</w:t>
      </w:r>
      <w:proofErr w:type="spellEnd"/>
      <w:r w:rsidR="00114244" w:rsidRPr="00497684">
        <w:rPr>
          <w:rFonts w:ascii="Times New Roman" w:hAnsi="Times New Roman" w:cs="Times New Roman"/>
          <w:sz w:val="20"/>
          <w:szCs w:val="20"/>
        </w:rPr>
        <w:t xml:space="preserve"> de resoluciones en el motivo de orden público interno del art. 34(1) Reglamento 44/2001 para denegar el reconocimiento de una resolución extranjera. </w:t>
      </w:r>
      <w:r w:rsidR="00CA708D" w:rsidRPr="00497684">
        <w:rPr>
          <w:rFonts w:ascii="Times New Roman" w:hAnsi="Times New Roman" w:cs="Times New Roman"/>
          <w:sz w:val="20"/>
          <w:szCs w:val="20"/>
        </w:rPr>
        <w:t>7</w:t>
      </w:r>
      <w:r w:rsidR="00114244" w:rsidRPr="00497684">
        <w:rPr>
          <w:rFonts w:ascii="Times New Roman" w:hAnsi="Times New Roman" w:cs="Times New Roman"/>
          <w:sz w:val="20"/>
          <w:szCs w:val="20"/>
        </w:rPr>
        <w:t xml:space="preserve">. Conclusiones. </w:t>
      </w:r>
    </w:p>
    <w:p w:rsidR="00114244" w:rsidRPr="00497684" w:rsidRDefault="00114244" w:rsidP="00240B01">
      <w:pPr>
        <w:spacing w:after="0"/>
        <w:ind w:left="360"/>
        <w:jc w:val="both"/>
        <w:rPr>
          <w:rFonts w:ascii="Times New Roman" w:hAnsi="Times New Roman" w:cs="Times New Roman"/>
          <w:b/>
          <w:sz w:val="24"/>
          <w:szCs w:val="24"/>
        </w:rPr>
      </w:pPr>
    </w:p>
    <w:p w:rsidR="00CE6BD3" w:rsidRPr="00497684" w:rsidRDefault="00CE6BD3" w:rsidP="00CE6BD3">
      <w:pPr>
        <w:spacing w:after="0"/>
        <w:jc w:val="both"/>
        <w:rPr>
          <w:rFonts w:ascii="Times New Roman" w:hAnsi="Times New Roman" w:cs="Times New Roman"/>
          <w:b/>
          <w:sz w:val="24"/>
          <w:szCs w:val="24"/>
        </w:rPr>
      </w:pPr>
      <w:r w:rsidRPr="00497684">
        <w:rPr>
          <w:rFonts w:ascii="Times New Roman" w:hAnsi="Times New Roman" w:cs="Times New Roman"/>
          <w:b/>
          <w:sz w:val="24"/>
          <w:szCs w:val="24"/>
        </w:rPr>
        <w:t xml:space="preserve">1. Antecedentes de hecho y judiciales en España y en el Reino Unido del caso </w:t>
      </w:r>
      <w:r w:rsidRPr="00497684">
        <w:rPr>
          <w:rFonts w:ascii="Times New Roman" w:hAnsi="Times New Roman" w:cs="Times New Roman"/>
          <w:b/>
          <w:i/>
          <w:sz w:val="24"/>
          <w:szCs w:val="24"/>
        </w:rPr>
        <w:t>Prestige</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propietario del buque petrolero “Prestige” era miembro y asegurado en condiciones </w:t>
      </w:r>
      <w:r w:rsidRPr="00497684">
        <w:rPr>
          <w:rFonts w:ascii="Times New Roman" w:hAnsi="Times New Roman" w:cs="Times New Roman"/>
          <w:i/>
          <w:sz w:val="24"/>
          <w:szCs w:val="24"/>
        </w:rPr>
        <w:t>Protection and Indemnity</w:t>
      </w:r>
      <w:r w:rsidRPr="00497684">
        <w:rPr>
          <w:rFonts w:ascii="Times New Roman" w:hAnsi="Times New Roman" w:cs="Times New Roman"/>
          <w:sz w:val="24"/>
          <w:szCs w:val="24"/>
        </w:rPr>
        <w:t xml:space="preserve"> (P&amp;I) en el club</w:t>
      </w:r>
      <w:bookmarkStart w:id="0" w:name="_Hlk75260229"/>
      <w:r w:rsidRPr="00497684">
        <w:rPr>
          <w:rFonts w:ascii="Times New Roman" w:hAnsi="Times New Roman" w:cs="Times New Roman"/>
          <w:sz w:val="24"/>
          <w:szCs w:val="24"/>
        </w:rPr>
        <w:t xml:space="preserve"> </w:t>
      </w:r>
      <w:r w:rsidRPr="00497684">
        <w:rPr>
          <w:rFonts w:ascii="Times New Roman" w:hAnsi="Times New Roman" w:cs="Times New Roman"/>
          <w:i/>
          <w:sz w:val="24"/>
          <w:szCs w:val="24"/>
        </w:rPr>
        <w:t>The London</w:t>
      </w:r>
      <w:r w:rsidR="00E811C9" w:rsidRPr="00497684">
        <w:rPr>
          <w:rFonts w:ascii="Times New Roman" w:hAnsi="Times New Roman" w:cs="Times New Roman"/>
          <w:i/>
          <w:sz w:val="24"/>
          <w:szCs w:val="24"/>
        </w:rPr>
        <w:t xml:space="preserve"> Steam-Ship Mutual Insurance Association Limited </w:t>
      </w:r>
      <w:r w:rsidR="00E811C9" w:rsidRPr="00497684">
        <w:rPr>
          <w:rFonts w:ascii="Times New Roman" w:hAnsi="Times New Roman" w:cs="Times New Roman"/>
          <w:sz w:val="24"/>
          <w:szCs w:val="24"/>
        </w:rPr>
        <w:t>(en adelante, club P&amp;I)</w:t>
      </w:r>
      <w:bookmarkEnd w:id="0"/>
      <w:r w:rsidRPr="00497684">
        <w:rPr>
          <w:rFonts w:ascii="Times New Roman" w:hAnsi="Times New Roman" w:cs="Times New Roman"/>
          <w:sz w:val="24"/>
          <w:szCs w:val="24"/>
        </w:rPr>
        <w:t xml:space="preserve">. </w:t>
      </w:r>
      <w:r w:rsidR="0082502E" w:rsidRPr="00497684">
        <w:rPr>
          <w:rFonts w:ascii="Times New Roman" w:hAnsi="Times New Roman" w:cs="Times New Roman"/>
          <w:sz w:val="24"/>
          <w:szCs w:val="24"/>
        </w:rPr>
        <w:t>El seguro P&amp;I</w:t>
      </w:r>
      <w:r w:rsidRPr="00497684">
        <w:rPr>
          <w:rFonts w:ascii="Times New Roman" w:hAnsi="Times New Roman" w:cs="Times New Roman"/>
          <w:sz w:val="24"/>
          <w:szCs w:val="24"/>
        </w:rPr>
        <w:t xml:space="preserve"> cubre ciertas responsabilidades civiles derivadas de la navegación del buque inscrito en el club P&amp;I, entre ellas</w:t>
      </w:r>
      <w:r w:rsidR="0063427B" w:rsidRPr="00497684">
        <w:rPr>
          <w:rFonts w:ascii="Times New Roman" w:hAnsi="Times New Roman" w:cs="Times New Roman"/>
          <w:sz w:val="24"/>
          <w:szCs w:val="24"/>
        </w:rPr>
        <w:t>,</w:t>
      </w:r>
      <w:r w:rsidRPr="00497684">
        <w:rPr>
          <w:rFonts w:ascii="Times New Roman" w:hAnsi="Times New Roman" w:cs="Times New Roman"/>
          <w:sz w:val="24"/>
          <w:szCs w:val="24"/>
        </w:rPr>
        <w:t xml:space="preserve"> la responsabilidad por contaminación de hidrocarburos</w:t>
      </w:r>
      <w:r w:rsidR="00E811C9" w:rsidRPr="00497684">
        <w:rPr>
          <w:rStyle w:val="Refernciadenotaapeudepgina"/>
          <w:rFonts w:ascii="Times New Roman" w:hAnsi="Times New Roman" w:cs="Times New Roman"/>
          <w:sz w:val="24"/>
          <w:szCs w:val="24"/>
        </w:rPr>
        <w:footnoteReference w:id="1"/>
      </w:r>
      <w:r w:rsidRPr="00497684">
        <w:rPr>
          <w:rFonts w:ascii="Times New Roman" w:hAnsi="Times New Roman" w:cs="Times New Roman"/>
          <w:sz w:val="24"/>
          <w:szCs w:val="24"/>
        </w:rPr>
        <w:t xml:space="preserve">. </w:t>
      </w:r>
    </w:p>
    <w:p w:rsidR="00E811C9"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Las reglas del seguro P&amp;I también contenían la cláusula, habitual en los mismos, de "pago previo" o </w:t>
      </w:r>
      <w:r w:rsidRPr="00497684">
        <w:rPr>
          <w:rFonts w:ascii="Times New Roman" w:hAnsi="Times New Roman" w:cs="Times New Roman"/>
          <w:i/>
          <w:sz w:val="24"/>
          <w:szCs w:val="24"/>
        </w:rPr>
        <w:t>pay to be paid</w:t>
      </w:r>
      <w:r w:rsidRPr="00497684">
        <w:rPr>
          <w:rFonts w:ascii="Times New Roman" w:hAnsi="Times New Roman" w:cs="Times New Roman"/>
          <w:sz w:val="24"/>
          <w:szCs w:val="24"/>
        </w:rPr>
        <w:t xml:space="preserve">, por la cual, si el miembro del club y asegurado incurre en responsabilidad civil frente a terceros, dentro del marco del contrato, tiene derecho a recuperar del club P&amp;I la indemnización efectivamente pagada al perjudicado.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La regla del pago previo tiene, entre otras, una excepción contractual precisamente para la responsabilidad derivada de la contaminación por hidrocarburos</w:t>
      </w:r>
      <w:r w:rsidR="0063427B" w:rsidRPr="00497684">
        <w:rPr>
          <w:rFonts w:ascii="Times New Roman" w:hAnsi="Times New Roman" w:cs="Times New Roman"/>
          <w:sz w:val="24"/>
          <w:szCs w:val="24"/>
        </w:rPr>
        <w:t xml:space="preserve">. Se </w:t>
      </w:r>
      <w:r w:rsidR="00E811C9" w:rsidRPr="00497684">
        <w:rPr>
          <w:rFonts w:ascii="Times New Roman" w:hAnsi="Times New Roman" w:cs="Times New Roman"/>
          <w:sz w:val="24"/>
          <w:szCs w:val="24"/>
        </w:rPr>
        <w:t>reconoce la acción directa del perjudicado contra el asegurador</w:t>
      </w:r>
      <w:r w:rsidR="00E811C9" w:rsidRPr="00497684">
        <w:rPr>
          <w:rStyle w:val="Refernciadenotaapeudepgina"/>
          <w:rFonts w:ascii="Times New Roman" w:hAnsi="Times New Roman" w:cs="Times New Roman"/>
          <w:sz w:val="24"/>
          <w:szCs w:val="24"/>
        </w:rPr>
        <w:footnoteReference w:id="2"/>
      </w:r>
      <w:r w:rsidRPr="00497684">
        <w:rPr>
          <w:rFonts w:ascii="Times New Roman" w:hAnsi="Times New Roman" w:cs="Times New Roman"/>
          <w:sz w:val="24"/>
          <w:szCs w:val="24"/>
        </w:rPr>
        <w:t xml:space="preserve">. </w:t>
      </w:r>
      <w:r w:rsidR="0082502E" w:rsidRPr="00497684">
        <w:rPr>
          <w:rFonts w:ascii="Times New Roman" w:hAnsi="Times New Roman" w:cs="Times New Roman"/>
          <w:sz w:val="24"/>
          <w:szCs w:val="24"/>
        </w:rPr>
        <w:t xml:space="preserve">Así está regulada en </w:t>
      </w:r>
      <w:r w:rsidRPr="00497684">
        <w:rPr>
          <w:rFonts w:ascii="Times New Roman" w:hAnsi="Times New Roman" w:cs="Times New Roman"/>
          <w:sz w:val="24"/>
          <w:szCs w:val="24"/>
        </w:rPr>
        <w:t>e</w:t>
      </w:r>
      <w:r w:rsidR="0082502E" w:rsidRPr="00497684">
        <w:rPr>
          <w:rFonts w:ascii="Times New Roman" w:hAnsi="Times New Roman" w:cs="Times New Roman"/>
          <w:sz w:val="24"/>
          <w:szCs w:val="24"/>
        </w:rPr>
        <w:t>l art. VII.8</w:t>
      </w:r>
      <w:r w:rsidRPr="00497684">
        <w:rPr>
          <w:rFonts w:ascii="Times New Roman" w:hAnsi="Times New Roman" w:cs="Times New Roman"/>
          <w:sz w:val="24"/>
          <w:szCs w:val="24"/>
        </w:rPr>
        <w:t xml:space="preserve"> del Convenio Internacional sobre Responsabilidad Civil por daños debidos a la Contaminación por Hidrocarburos, hecho en Bruselas el día 29 de noviembre de 1969, tal y como quedó enmendado por el Protocolo de 1992 (en adelante, CLC).</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Las reglas del seguro P&amp;I celebrado entre el propietario del buque "Prestige" y el club</w:t>
      </w:r>
      <w:r w:rsidR="0082502E" w:rsidRPr="00497684">
        <w:rPr>
          <w:rFonts w:ascii="Times New Roman" w:hAnsi="Times New Roman" w:cs="Times New Roman"/>
          <w:sz w:val="24"/>
          <w:szCs w:val="24"/>
        </w:rPr>
        <w:t xml:space="preserve"> P&amp;I</w:t>
      </w:r>
      <w:r w:rsidRPr="00497684">
        <w:rPr>
          <w:rFonts w:ascii="Times New Roman" w:hAnsi="Times New Roman" w:cs="Times New Roman"/>
          <w:sz w:val="24"/>
          <w:szCs w:val="24"/>
        </w:rPr>
        <w:t xml:space="preserve"> también contenían una cláusula de arbitraje, igualmente usual en estos contratos. </w:t>
      </w:r>
      <w:r w:rsidR="0082502E" w:rsidRPr="00497684">
        <w:rPr>
          <w:rFonts w:ascii="Times New Roman" w:hAnsi="Times New Roman" w:cs="Times New Roman"/>
          <w:sz w:val="24"/>
          <w:szCs w:val="24"/>
        </w:rPr>
        <w:t>C</w:t>
      </w:r>
      <w:r w:rsidRPr="00497684">
        <w:rPr>
          <w:rFonts w:ascii="Times New Roman" w:hAnsi="Times New Roman" w:cs="Times New Roman"/>
          <w:sz w:val="24"/>
          <w:szCs w:val="24"/>
        </w:rPr>
        <w:t xml:space="preserve">ualquier disputa entre el </w:t>
      </w:r>
      <w:r w:rsidR="0082502E" w:rsidRPr="00497684">
        <w:rPr>
          <w:rFonts w:ascii="Times New Roman" w:hAnsi="Times New Roman" w:cs="Times New Roman"/>
          <w:sz w:val="24"/>
          <w:szCs w:val="24"/>
        </w:rPr>
        <w:t>asegurado</w:t>
      </w:r>
      <w:r w:rsidRPr="00497684">
        <w:rPr>
          <w:rFonts w:ascii="Times New Roman" w:hAnsi="Times New Roman" w:cs="Times New Roman"/>
          <w:sz w:val="24"/>
          <w:szCs w:val="24"/>
        </w:rPr>
        <w:t xml:space="preserve"> y el asegurador en conexión con el seguro P&amp;I debía ser resuelta en arbitraje en Londres conforme al Derecho inglés.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w:t>
      </w:r>
      <w:r w:rsidR="00E811C9" w:rsidRPr="00497684">
        <w:rPr>
          <w:rFonts w:ascii="Times New Roman" w:hAnsi="Times New Roman" w:cs="Times New Roman"/>
          <w:sz w:val="24"/>
          <w:szCs w:val="24"/>
        </w:rPr>
        <w:t>estas condiciones de aseguramiento</w:t>
      </w:r>
      <w:r w:rsidR="0063427B" w:rsidRPr="00497684">
        <w:rPr>
          <w:rFonts w:ascii="Times New Roman" w:hAnsi="Times New Roman" w:cs="Times New Roman"/>
          <w:sz w:val="24"/>
          <w:szCs w:val="24"/>
        </w:rPr>
        <w:t xml:space="preserve"> P&amp;I</w:t>
      </w:r>
      <w:r w:rsidR="00E811C9" w:rsidRPr="00497684">
        <w:rPr>
          <w:rFonts w:ascii="Times New Roman" w:hAnsi="Times New Roman" w:cs="Times New Roman"/>
          <w:sz w:val="24"/>
          <w:szCs w:val="24"/>
        </w:rPr>
        <w:t xml:space="preserve">, en </w:t>
      </w:r>
      <w:r w:rsidRPr="00497684">
        <w:rPr>
          <w:rFonts w:ascii="Times New Roman" w:hAnsi="Times New Roman" w:cs="Times New Roman"/>
          <w:sz w:val="24"/>
          <w:szCs w:val="24"/>
        </w:rPr>
        <w:t>noviembre de 2002, el buque “Prestige” navegaba desde San Petersburgo hacia Gibraltar, donde seguiría viaje hacia Singapur u otro destino asiático</w:t>
      </w:r>
      <w:r w:rsidR="00E811C9" w:rsidRPr="00497684">
        <w:rPr>
          <w:rStyle w:val="Refernciadenotaapeudepgina"/>
          <w:rFonts w:ascii="Times New Roman" w:hAnsi="Times New Roman" w:cs="Times New Roman"/>
          <w:sz w:val="24"/>
          <w:szCs w:val="24"/>
        </w:rPr>
        <w:footnoteReference w:id="3"/>
      </w:r>
      <w:r w:rsidRPr="00497684">
        <w:rPr>
          <w:rFonts w:ascii="Times New Roman" w:hAnsi="Times New Roman" w:cs="Times New Roman"/>
          <w:sz w:val="24"/>
          <w:szCs w:val="24"/>
        </w:rPr>
        <w:t xml:space="preserve">. Llevaba a bordo unas 76.972 toneladas métricas de fueloil. Cerca del Cabo Fisterra (Galicia) sufrió daños y solicitó </w:t>
      </w:r>
      <w:r w:rsidR="0063427B" w:rsidRPr="00497684">
        <w:rPr>
          <w:rFonts w:ascii="Times New Roman" w:hAnsi="Times New Roman" w:cs="Times New Roman"/>
          <w:sz w:val="24"/>
          <w:szCs w:val="24"/>
        </w:rPr>
        <w:t>asistencia</w:t>
      </w:r>
      <w:r w:rsidRPr="00497684">
        <w:rPr>
          <w:rFonts w:ascii="Times New Roman" w:hAnsi="Times New Roman" w:cs="Times New Roman"/>
          <w:sz w:val="24"/>
          <w:szCs w:val="24"/>
        </w:rPr>
        <w:t xml:space="preserve">. Los intentos de salvamento fueron infructuosos y el 19 de noviembre, el buque "Prestige" se partió en dos y se hundió. </w:t>
      </w:r>
      <w:r w:rsidRPr="00497684">
        <w:rPr>
          <w:rFonts w:ascii="Times New Roman" w:hAnsi="Times New Roman" w:cs="Times New Roman"/>
          <w:sz w:val="24"/>
          <w:szCs w:val="24"/>
        </w:rPr>
        <w:lastRenderedPageBreak/>
        <w:t xml:space="preserve">Se produjo una contaminación catastrófica por hidrocarburos en el litoral cantábrico español y francés. </w:t>
      </w:r>
    </w:p>
    <w:p w:rsidR="00E811C9" w:rsidRPr="00497684" w:rsidRDefault="00CE6BD3" w:rsidP="00CE6BD3">
      <w:pPr>
        <w:tabs>
          <w:tab w:val="left" w:pos="993"/>
        </w:tabs>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Juzgado de Concurbión llevó la instrucción del procedimiento penal. </w:t>
      </w:r>
    </w:p>
    <w:p w:rsidR="00CE6BD3" w:rsidRPr="00497684" w:rsidRDefault="00CE6BD3" w:rsidP="00CE6BD3">
      <w:pPr>
        <w:tabs>
          <w:tab w:val="left" w:pos="993"/>
        </w:tabs>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29 de mayo de 2003, el club P&amp;I depositó un fondo de garantía de 22.777.986 euros. El depósito lo hizo en cumplimiento de lo dispuesto </w:t>
      </w:r>
      <w:r w:rsidR="00F93482" w:rsidRPr="00497684">
        <w:rPr>
          <w:rFonts w:ascii="Times New Roman" w:hAnsi="Times New Roman" w:cs="Times New Roman"/>
          <w:sz w:val="24"/>
          <w:szCs w:val="24"/>
        </w:rPr>
        <w:t xml:space="preserve">para el propietario-asegurado </w:t>
      </w:r>
      <w:r w:rsidRPr="00497684">
        <w:rPr>
          <w:rFonts w:ascii="Times New Roman" w:hAnsi="Times New Roman" w:cs="Times New Roman"/>
          <w:sz w:val="24"/>
          <w:szCs w:val="24"/>
        </w:rPr>
        <w:t>en el art. V.3 CLC según el cual "</w:t>
      </w:r>
      <w:r w:rsidRPr="00497684">
        <w:rPr>
          <w:rFonts w:ascii="Times New Roman" w:hAnsi="Times New Roman" w:cs="Times New Roman"/>
          <w:i/>
          <w:sz w:val="24"/>
          <w:szCs w:val="24"/>
        </w:rPr>
        <w:t>Para poder beneficiarse de la limitación estipulada en el párrafo 1 del presente artículo, el propietario tendrá que constituir un fondo, cuya suma total sea equivalente al límite de su responsabilidad</w:t>
      </w:r>
      <w:r w:rsidRPr="00497684">
        <w:rPr>
          <w:rFonts w:ascii="Times New Roman" w:hAnsi="Times New Roman" w:cs="Times New Roman"/>
          <w:sz w:val="24"/>
          <w:szCs w:val="24"/>
        </w:rPr>
        <w:t xml:space="preserve"> (...)". El club P&amp;I </w:t>
      </w:r>
      <w:r w:rsidR="00236FAE" w:rsidRPr="00497684">
        <w:rPr>
          <w:rFonts w:ascii="Times New Roman" w:hAnsi="Times New Roman" w:cs="Times New Roman"/>
          <w:sz w:val="24"/>
          <w:szCs w:val="24"/>
        </w:rPr>
        <w:t>n</w:t>
      </w:r>
      <w:r w:rsidR="0063427B" w:rsidRPr="00497684">
        <w:rPr>
          <w:rFonts w:ascii="Times New Roman" w:hAnsi="Times New Roman" w:cs="Times New Roman"/>
          <w:sz w:val="24"/>
          <w:szCs w:val="24"/>
        </w:rPr>
        <w:t>o</w:t>
      </w:r>
      <w:r w:rsidR="00236FAE" w:rsidRPr="00497684">
        <w:rPr>
          <w:rFonts w:ascii="Times New Roman" w:hAnsi="Times New Roman" w:cs="Times New Roman"/>
          <w:sz w:val="24"/>
          <w:szCs w:val="24"/>
        </w:rPr>
        <w:t xml:space="preserve"> ha discutido su</w:t>
      </w:r>
      <w:r w:rsidRPr="00497684">
        <w:rPr>
          <w:rFonts w:ascii="Times New Roman" w:hAnsi="Times New Roman" w:cs="Times New Roman"/>
          <w:sz w:val="24"/>
          <w:szCs w:val="24"/>
        </w:rPr>
        <w:t xml:space="preserve"> responsabilidad en lo que denomina "reclamaciones CLC" o </w:t>
      </w:r>
      <w:r w:rsidRPr="00497684">
        <w:rPr>
          <w:rFonts w:ascii="Times New Roman" w:hAnsi="Times New Roman" w:cs="Times New Roman"/>
          <w:i/>
          <w:sz w:val="24"/>
          <w:szCs w:val="24"/>
        </w:rPr>
        <w:t>CLC claims</w:t>
      </w:r>
      <w:r w:rsidRPr="00497684">
        <w:rPr>
          <w:rFonts w:ascii="Times New Roman" w:hAnsi="Times New Roman" w:cs="Times New Roman"/>
          <w:sz w:val="24"/>
          <w:szCs w:val="24"/>
        </w:rPr>
        <w:t>, esto es, la responsabilidad civil hasta el límite de indemnización que establece el Convenio CLC. No ha admitido, en cambio, su responsabilidad civil por el exceso de dicho límite de indemnización</w:t>
      </w:r>
      <w:r w:rsidR="00236FAE" w:rsidRPr="00497684">
        <w:rPr>
          <w:rFonts w:ascii="Times New Roman" w:hAnsi="Times New Roman" w:cs="Times New Roman"/>
          <w:sz w:val="24"/>
          <w:szCs w:val="24"/>
        </w:rPr>
        <w:t xml:space="preserve">, en especial, la resultante de la aplicación del art. 117 Código Penal, </w:t>
      </w:r>
      <w:r w:rsidR="0082502E" w:rsidRPr="00497684">
        <w:rPr>
          <w:rFonts w:ascii="Times New Roman" w:hAnsi="Times New Roman" w:cs="Times New Roman"/>
          <w:sz w:val="24"/>
          <w:szCs w:val="24"/>
        </w:rPr>
        <w:t>por la que le condenó finalmente el Tribunal Supremo español</w:t>
      </w:r>
      <w:r w:rsidRPr="00497684">
        <w:rPr>
          <w:rFonts w:ascii="Times New Roman" w:hAnsi="Times New Roman" w:cs="Times New Roman"/>
          <w:sz w:val="24"/>
          <w:szCs w:val="24"/>
        </w:rPr>
        <w:t>.</w:t>
      </w:r>
      <w:r w:rsidR="00A77834" w:rsidRPr="00497684">
        <w:rPr>
          <w:rFonts w:ascii="Times New Roman" w:hAnsi="Times New Roman" w:cs="Times New Roman"/>
          <w:sz w:val="24"/>
          <w:szCs w:val="24"/>
        </w:rPr>
        <w:t xml:space="preserve">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2010, terminada la instrucción, se inició el proceso declarativo penal ante la Audiencia Provincial de A Coruña. El capitán y el primer oficial fueron imputados por delito contra el medio ambiente, daños en espacios naturales protegidos y por desobediencia a la autoridad. También </w:t>
      </w:r>
      <w:r w:rsidR="00236FAE" w:rsidRPr="00497684">
        <w:rPr>
          <w:rFonts w:ascii="Times New Roman" w:hAnsi="Times New Roman" w:cs="Times New Roman"/>
          <w:sz w:val="24"/>
          <w:szCs w:val="24"/>
        </w:rPr>
        <w:t>fue imputado por delito contra el medio ambiente y daños en espacios naturales protegidos e</w:t>
      </w:r>
      <w:r w:rsidRPr="00497684">
        <w:rPr>
          <w:rFonts w:ascii="Times New Roman" w:hAnsi="Times New Roman" w:cs="Times New Roman"/>
          <w:sz w:val="24"/>
          <w:szCs w:val="24"/>
        </w:rPr>
        <w:t xml:space="preserve">l Director de la Marina Mercante, quien asumió por parte de la Administración española la dirección y </w:t>
      </w:r>
      <w:r w:rsidR="00236FAE" w:rsidRPr="00497684">
        <w:rPr>
          <w:rFonts w:ascii="Times New Roman" w:hAnsi="Times New Roman" w:cs="Times New Roman"/>
          <w:sz w:val="24"/>
          <w:szCs w:val="24"/>
        </w:rPr>
        <w:t xml:space="preserve">la </w:t>
      </w:r>
      <w:r w:rsidRPr="00497684">
        <w:rPr>
          <w:rFonts w:ascii="Times New Roman" w:hAnsi="Times New Roman" w:cs="Times New Roman"/>
          <w:sz w:val="24"/>
          <w:szCs w:val="24"/>
        </w:rPr>
        <w:t>responsabilidad de las operaciones de auxilio al buque y su alejamiento de la costa</w:t>
      </w:r>
      <w:r w:rsidR="00236FAE" w:rsidRPr="00497684">
        <w:rPr>
          <w:rFonts w:ascii="Times New Roman" w:hAnsi="Times New Roman" w:cs="Times New Roman"/>
          <w:sz w:val="24"/>
          <w:szCs w:val="24"/>
        </w:rPr>
        <w:t>.</w:t>
      </w:r>
      <w:r w:rsidRPr="00497684">
        <w:rPr>
          <w:rFonts w:ascii="Times New Roman" w:hAnsi="Times New Roman" w:cs="Times New Roman"/>
          <w:sz w:val="24"/>
          <w:szCs w:val="24"/>
        </w:rPr>
        <w:t xml:space="preserve">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La Audiencia Provincial de A Coruña juz</w:t>
      </w:r>
      <w:r w:rsidR="00236FAE" w:rsidRPr="00497684">
        <w:rPr>
          <w:rFonts w:ascii="Times New Roman" w:hAnsi="Times New Roman" w:cs="Times New Roman"/>
          <w:sz w:val="24"/>
          <w:szCs w:val="24"/>
        </w:rPr>
        <w:t>gó</w:t>
      </w:r>
      <w:r w:rsidRPr="00497684">
        <w:rPr>
          <w:rFonts w:ascii="Times New Roman" w:hAnsi="Times New Roman" w:cs="Times New Roman"/>
          <w:sz w:val="24"/>
          <w:szCs w:val="24"/>
        </w:rPr>
        <w:t xml:space="preserve"> conjuntamente la acción penal</w:t>
      </w:r>
      <w:r w:rsidR="00236FAE" w:rsidRPr="00497684">
        <w:rPr>
          <w:rFonts w:ascii="Times New Roman" w:hAnsi="Times New Roman" w:cs="Times New Roman"/>
          <w:sz w:val="24"/>
          <w:szCs w:val="24"/>
        </w:rPr>
        <w:t xml:space="preserve"> con</w:t>
      </w:r>
      <w:r w:rsidRPr="00497684">
        <w:rPr>
          <w:rFonts w:ascii="Times New Roman" w:hAnsi="Times New Roman" w:cs="Times New Roman"/>
          <w:sz w:val="24"/>
          <w:szCs w:val="24"/>
        </w:rPr>
        <w:t xml:space="preserve"> varias acciones civiles presentadas por numerosos afectados del desastre medioambiental. El principal reclamante era el Estado Español</w:t>
      </w:r>
      <w:r w:rsidR="0082502E" w:rsidRPr="00497684">
        <w:rPr>
          <w:rFonts w:ascii="Times New Roman" w:hAnsi="Times New Roman" w:cs="Times New Roman"/>
          <w:sz w:val="24"/>
          <w:szCs w:val="24"/>
        </w:rPr>
        <w:t xml:space="preserve"> (en adelante, España)</w:t>
      </w:r>
      <w:r w:rsidRPr="00497684">
        <w:rPr>
          <w:rFonts w:ascii="Times New Roman" w:hAnsi="Times New Roman" w:cs="Times New Roman"/>
          <w:sz w:val="24"/>
          <w:szCs w:val="24"/>
        </w:rPr>
        <w:t>, por gastos y daños propios y por subrogación en los derechos de otros afectados a quienes había pagado las indemnizaciones, así como el Estado Francés</w:t>
      </w:r>
      <w:r w:rsidR="0082502E" w:rsidRPr="00497684">
        <w:rPr>
          <w:rFonts w:ascii="Times New Roman" w:hAnsi="Times New Roman" w:cs="Times New Roman"/>
          <w:sz w:val="24"/>
          <w:szCs w:val="24"/>
        </w:rPr>
        <w:t xml:space="preserve"> (en adelante, Francia)</w:t>
      </w:r>
      <w:r w:rsidRPr="00497684">
        <w:rPr>
          <w:rFonts w:ascii="Times New Roman" w:hAnsi="Times New Roman" w:cs="Times New Roman"/>
          <w:sz w:val="24"/>
          <w:szCs w:val="24"/>
        </w:rPr>
        <w:t>, si bien en mucha menor cuantía. Las acciones civiles se fundamentaban en la responsabilidad civil prevista en el art. 117 Código Penal y se dirigieron contra el capitán, la tripulación, el propietario y el gestor del buque y el club P&amp;I. Éste fue debidamente emplazado a juicio, pero no se personó, aunque llevó la defensa jurídica del capitán del buque.</w:t>
      </w:r>
    </w:p>
    <w:p w:rsidR="00236FAE"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enero de 2012, el club P&amp;I comenzó sendos procedimientos arbitrales en Londres, uno contra España y otro contra Francia, para someter a arbitraje las reclamaciones de responsabilidad civil formuladas en su contra </w:t>
      </w:r>
      <w:r w:rsidR="00236FAE" w:rsidRPr="00497684">
        <w:rPr>
          <w:rFonts w:ascii="Times New Roman" w:hAnsi="Times New Roman" w:cs="Times New Roman"/>
          <w:sz w:val="24"/>
          <w:szCs w:val="24"/>
        </w:rPr>
        <w:t xml:space="preserve">en España </w:t>
      </w:r>
      <w:r w:rsidRPr="00497684">
        <w:rPr>
          <w:rFonts w:ascii="Times New Roman" w:hAnsi="Times New Roman" w:cs="Times New Roman"/>
          <w:sz w:val="24"/>
          <w:szCs w:val="24"/>
        </w:rPr>
        <w:t>y distintas de las reclamaciones CLC (</w:t>
      </w:r>
      <w:r w:rsidRPr="00497684">
        <w:rPr>
          <w:rFonts w:ascii="Times New Roman" w:hAnsi="Times New Roman" w:cs="Times New Roman"/>
          <w:i/>
          <w:sz w:val="24"/>
          <w:szCs w:val="24"/>
        </w:rPr>
        <w:t>non CLC-claims</w:t>
      </w:r>
      <w:r w:rsidRPr="00497684">
        <w:rPr>
          <w:rFonts w:ascii="Times New Roman" w:hAnsi="Times New Roman" w:cs="Times New Roman"/>
          <w:sz w:val="24"/>
          <w:szCs w:val="24"/>
        </w:rPr>
        <w:t xml:space="preserve">). España y Francia, respectivamente, no aceptaron participar en los arbitrajes. El club P&amp;I solicitó y obtuvo órdenes de un tribunal inglés, conforme a la sec. 18 </w:t>
      </w:r>
      <w:r w:rsidRPr="00497684">
        <w:rPr>
          <w:rFonts w:ascii="Times New Roman" w:hAnsi="Times New Roman" w:cs="Times New Roman"/>
          <w:i/>
          <w:sz w:val="24"/>
          <w:szCs w:val="24"/>
        </w:rPr>
        <w:t>A</w:t>
      </w:r>
      <w:r w:rsidR="0082502E" w:rsidRPr="00497684">
        <w:rPr>
          <w:rFonts w:ascii="Times New Roman" w:hAnsi="Times New Roman" w:cs="Times New Roman"/>
          <w:i/>
          <w:sz w:val="24"/>
          <w:szCs w:val="24"/>
        </w:rPr>
        <w:t xml:space="preserve">rbitration </w:t>
      </w:r>
      <w:r w:rsidRPr="00497684">
        <w:rPr>
          <w:rFonts w:ascii="Times New Roman" w:hAnsi="Times New Roman" w:cs="Times New Roman"/>
          <w:i/>
          <w:sz w:val="24"/>
          <w:szCs w:val="24"/>
        </w:rPr>
        <w:t>A</w:t>
      </w:r>
      <w:r w:rsidR="0082502E" w:rsidRPr="00497684">
        <w:rPr>
          <w:rFonts w:ascii="Times New Roman" w:hAnsi="Times New Roman" w:cs="Times New Roman"/>
          <w:i/>
          <w:sz w:val="24"/>
          <w:szCs w:val="24"/>
        </w:rPr>
        <w:t>ct</w:t>
      </w:r>
      <w:r w:rsidRPr="00497684">
        <w:rPr>
          <w:rFonts w:ascii="Times New Roman" w:hAnsi="Times New Roman" w:cs="Times New Roman"/>
          <w:i/>
          <w:sz w:val="24"/>
          <w:szCs w:val="24"/>
        </w:rPr>
        <w:t xml:space="preserve"> 1996</w:t>
      </w:r>
      <w:r w:rsidR="0082502E" w:rsidRPr="00497684">
        <w:rPr>
          <w:rFonts w:ascii="Times New Roman" w:hAnsi="Times New Roman" w:cs="Times New Roman"/>
          <w:sz w:val="24"/>
          <w:szCs w:val="24"/>
        </w:rPr>
        <w:t xml:space="preserve"> (en adelante, AA 1996)</w:t>
      </w:r>
      <w:r w:rsidRPr="00497684">
        <w:rPr>
          <w:rFonts w:ascii="Times New Roman" w:hAnsi="Times New Roman" w:cs="Times New Roman"/>
          <w:sz w:val="24"/>
          <w:szCs w:val="24"/>
        </w:rPr>
        <w:t xml:space="preserve">, para nombrar árbitro. En ambos procedimientos, el árbitro fue la misma persona.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Los laudos arbitrales </w:t>
      </w:r>
      <w:r w:rsidR="0082502E" w:rsidRPr="00497684">
        <w:rPr>
          <w:rFonts w:ascii="Times New Roman" w:hAnsi="Times New Roman" w:cs="Times New Roman"/>
          <w:sz w:val="24"/>
          <w:szCs w:val="24"/>
        </w:rPr>
        <w:t xml:space="preserve">del club P&amp;I </w:t>
      </w:r>
      <w:r w:rsidRPr="00497684">
        <w:rPr>
          <w:rFonts w:ascii="Times New Roman" w:hAnsi="Times New Roman" w:cs="Times New Roman"/>
          <w:sz w:val="24"/>
          <w:szCs w:val="24"/>
        </w:rPr>
        <w:t xml:space="preserve">contra España (13 febrero de 2013) y </w:t>
      </w:r>
      <w:r w:rsidR="0082502E" w:rsidRPr="00497684">
        <w:rPr>
          <w:rFonts w:ascii="Times New Roman" w:hAnsi="Times New Roman" w:cs="Times New Roman"/>
          <w:sz w:val="24"/>
          <w:szCs w:val="24"/>
        </w:rPr>
        <w:t xml:space="preserve">del club P&amp;I </w:t>
      </w:r>
      <w:r w:rsidRPr="00497684">
        <w:rPr>
          <w:rFonts w:ascii="Times New Roman" w:hAnsi="Times New Roman" w:cs="Times New Roman"/>
          <w:sz w:val="24"/>
          <w:szCs w:val="24"/>
        </w:rPr>
        <w:t xml:space="preserve">contra Francia (3 de julio de 2013), son sustancialmente idénticos y en los términos solicitados por el </w:t>
      </w:r>
      <w:r w:rsidR="0082502E" w:rsidRPr="00497684">
        <w:rPr>
          <w:rFonts w:ascii="Times New Roman" w:hAnsi="Times New Roman" w:cs="Times New Roman"/>
          <w:sz w:val="24"/>
          <w:szCs w:val="24"/>
        </w:rPr>
        <w:t>asegurador</w:t>
      </w:r>
      <w:r w:rsidRPr="00497684">
        <w:rPr>
          <w:rFonts w:ascii="Times New Roman" w:hAnsi="Times New Roman" w:cs="Times New Roman"/>
          <w:sz w:val="24"/>
          <w:szCs w:val="24"/>
        </w:rPr>
        <w:t xml:space="preserve">. </w:t>
      </w:r>
      <w:r w:rsidR="00236FAE" w:rsidRPr="00497684">
        <w:rPr>
          <w:rFonts w:ascii="Times New Roman" w:hAnsi="Times New Roman" w:cs="Times New Roman"/>
          <w:sz w:val="24"/>
          <w:szCs w:val="24"/>
        </w:rPr>
        <w:t>El árbitro único c</w:t>
      </w:r>
      <w:r w:rsidRPr="00497684">
        <w:rPr>
          <w:rFonts w:ascii="Times New Roman" w:hAnsi="Times New Roman" w:cs="Times New Roman"/>
          <w:sz w:val="24"/>
          <w:szCs w:val="24"/>
        </w:rPr>
        <w:t>onsider</w:t>
      </w:r>
      <w:r w:rsidR="00236FAE" w:rsidRPr="00497684">
        <w:rPr>
          <w:rFonts w:ascii="Times New Roman" w:hAnsi="Times New Roman" w:cs="Times New Roman"/>
          <w:sz w:val="24"/>
          <w:szCs w:val="24"/>
        </w:rPr>
        <w:t>ó</w:t>
      </w:r>
      <w:r w:rsidRPr="00497684">
        <w:rPr>
          <w:rFonts w:ascii="Times New Roman" w:hAnsi="Times New Roman" w:cs="Times New Roman"/>
          <w:sz w:val="24"/>
          <w:szCs w:val="24"/>
        </w:rPr>
        <w:t xml:space="preserve"> que se aplicaban las condiciones del contrato de seguro, especialmente, la cláusula de arbitraje en Londres, la cláusula de pago previo y la suma asegurada de 1,000</w:t>
      </w:r>
      <w:r w:rsidR="00E96FBA" w:rsidRPr="00497684">
        <w:rPr>
          <w:rFonts w:ascii="Times New Roman" w:hAnsi="Times New Roman" w:cs="Times New Roman"/>
          <w:sz w:val="24"/>
          <w:szCs w:val="24"/>
        </w:rPr>
        <w:t xml:space="preserve"> millones de</w:t>
      </w:r>
      <w:r w:rsidRPr="00497684">
        <w:rPr>
          <w:rFonts w:ascii="Times New Roman" w:hAnsi="Times New Roman" w:cs="Times New Roman"/>
          <w:sz w:val="24"/>
          <w:szCs w:val="24"/>
        </w:rPr>
        <w:t xml:space="preserve"> dólares norteamericanos por responsabilidad civil por contaminación de hidrocarburos</w:t>
      </w:r>
      <w:r w:rsidRPr="00497684">
        <w:rPr>
          <w:rStyle w:val="Refernciadenotaapeudepgina"/>
          <w:rFonts w:ascii="Times New Roman" w:hAnsi="Times New Roman" w:cs="Times New Roman"/>
          <w:sz w:val="24"/>
          <w:szCs w:val="24"/>
        </w:rPr>
        <w:footnoteReference w:id="4"/>
      </w:r>
      <w:r w:rsidRPr="00497684">
        <w:rPr>
          <w:rFonts w:ascii="Times New Roman" w:hAnsi="Times New Roman" w:cs="Times New Roman"/>
          <w:sz w:val="24"/>
          <w:szCs w:val="24"/>
        </w:rPr>
        <w:t>.</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marzo de 2013, el club P&amp;I solicitó la ejecución judicial de los dos laudos arbitrales conforme a la sec. 66 </w:t>
      </w:r>
      <w:r w:rsidR="00236FAE" w:rsidRPr="00497684">
        <w:rPr>
          <w:rFonts w:ascii="Times New Roman" w:hAnsi="Times New Roman" w:cs="Times New Roman"/>
          <w:sz w:val="24"/>
          <w:szCs w:val="24"/>
        </w:rPr>
        <w:t>AA 1996</w:t>
      </w:r>
      <w:r w:rsidRPr="00497684">
        <w:rPr>
          <w:rFonts w:ascii="Times New Roman" w:hAnsi="Times New Roman" w:cs="Times New Roman"/>
          <w:sz w:val="24"/>
          <w:szCs w:val="24"/>
        </w:rPr>
        <w:t>. España y Francia s</w:t>
      </w:r>
      <w:r w:rsidR="00236FAE" w:rsidRPr="00497684">
        <w:rPr>
          <w:rFonts w:ascii="Times New Roman" w:hAnsi="Times New Roman" w:cs="Times New Roman"/>
          <w:sz w:val="24"/>
          <w:szCs w:val="24"/>
        </w:rPr>
        <w:t>í s</w:t>
      </w:r>
      <w:r w:rsidRPr="00497684">
        <w:rPr>
          <w:rFonts w:ascii="Times New Roman" w:hAnsi="Times New Roman" w:cs="Times New Roman"/>
          <w:sz w:val="24"/>
          <w:szCs w:val="24"/>
        </w:rPr>
        <w:t xml:space="preserve">e personaron en el procedimiento </w:t>
      </w:r>
      <w:r w:rsidRPr="00497684">
        <w:rPr>
          <w:rFonts w:ascii="Times New Roman" w:hAnsi="Times New Roman" w:cs="Times New Roman"/>
          <w:sz w:val="24"/>
          <w:szCs w:val="24"/>
        </w:rPr>
        <w:lastRenderedPageBreak/>
        <w:t>judicial</w:t>
      </w:r>
      <w:r w:rsidR="00236FAE" w:rsidRPr="00497684">
        <w:rPr>
          <w:rFonts w:ascii="Times New Roman" w:hAnsi="Times New Roman" w:cs="Times New Roman"/>
          <w:sz w:val="24"/>
          <w:szCs w:val="24"/>
        </w:rPr>
        <w:t xml:space="preserve"> </w:t>
      </w:r>
      <w:r w:rsidR="0082502E" w:rsidRPr="00497684">
        <w:rPr>
          <w:rFonts w:ascii="Times New Roman" w:hAnsi="Times New Roman" w:cs="Times New Roman"/>
          <w:sz w:val="24"/>
          <w:szCs w:val="24"/>
        </w:rPr>
        <w:t xml:space="preserve">ante la </w:t>
      </w:r>
      <w:r w:rsidR="0082502E" w:rsidRPr="00497684">
        <w:rPr>
          <w:rFonts w:ascii="Times New Roman" w:hAnsi="Times New Roman" w:cs="Times New Roman"/>
          <w:i/>
          <w:sz w:val="24"/>
          <w:szCs w:val="24"/>
        </w:rPr>
        <w:t>High Court</w:t>
      </w:r>
      <w:r w:rsidR="0082502E" w:rsidRPr="00497684">
        <w:rPr>
          <w:rFonts w:ascii="Times New Roman" w:hAnsi="Times New Roman" w:cs="Times New Roman"/>
          <w:sz w:val="24"/>
          <w:szCs w:val="24"/>
        </w:rPr>
        <w:t xml:space="preserve"> </w:t>
      </w:r>
      <w:r w:rsidR="00236FAE" w:rsidRPr="00497684">
        <w:rPr>
          <w:rFonts w:ascii="Times New Roman" w:hAnsi="Times New Roman" w:cs="Times New Roman"/>
          <w:sz w:val="24"/>
          <w:szCs w:val="24"/>
        </w:rPr>
        <w:t xml:space="preserve">para oponerse a esta ejecución judicial de los laudos. </w:t>
      </w:r>
      <w:r w:rsidRPr="00497684">
        <w:rPr>
          <w:rFonts w:ascii="Times New Roman" w:hAnsi="Times New Roman" w:cs="Times New Roman"/>
          <w:sz w:val="24"/>
          <w:szCs w:val="24"/>
        </w:rPr>
        <w:t xml:space="preserve">España </w:t>
      </w:r>
      <w:r w:rsidR="00236FAE" w:rsidRPr="00497684">
        <w:rPr>
          <w:rFonts w:ascii="Times New Roman" w:hAnsi="Times New Roman" w:cs="Times New Roman"/>
          <w:sz w:val="24"/>
          <w:szCs w:val="24"/>
        </w:rPr>
        <w:t xml:space="preserve">también </w:t>
      </w:r>
      <w:r w:rsidRPr="00497684">
        <w:rPr>
          <w:rFonts w:ascii="Times New Roman" w:hAnsi="Times New Roman" w:cs="Times New Roman"/>
          <w:sz w:val="24"/>
          <w:szCs w:val="24"/>
        </w:rPr>
        <w:t xml:space="preserve">reclamó la inmunidad estatal.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22 de octubre de 2013, la </w:t>
      </w:r>
      <w:r w:rsidRPr="00497684">
        <w:rPr>
          <w:rFonts w:ascii="Times New Roman" w:hAnsi="Times New Roman" w:cs="Times New Roman"/>
          <w:i/>
          <w:sz w:val="24"/>
          <w:szCs w:val="24"/>
        </w:rPr>
        <w:t>High Court of Justice Queen's Bench Division Commercial Court</w:t>
      </w:r>
      <w:r w:rsidRPr="00497684">
        <w:rPr>
          <w:rFonts w:ascii="Times New Roman" w:hAnsi="Times New Roman" w:cs="Times New Roman"/>
          <w:sz w:val="24"/>
          <w:szCs w:val="24"/>
        </w:rPr>
        <w:t xml:space="preserve"> </w:t>
      </w:r>
      <w:r w:rsidR="0082502E" w:rsidRPr="00497684">
        <w:rPr>
          <w:rFonts w:ascii="Times New Roman" w:hAnsi="Times New Roman" w:cs="Times New Roman"/>
          <w:sz w:val="24"/>
          <w:szCs w:val="24"/>
        </w:rPr>
        <w:t xml:space="preserve">aceptó la solicitud del club P&amp;I y </w:t>
      </w:r>
      <w:r w:rsidRPr="00497684">
        <w:rPr>
          <w:rFonts w:ascii="Times New Roman" w:hAnsi="Times New Roman" w:cs="Times New Roman"/>
          <w:sz w:val="24"/>
          <w:szCs w:val="24"/>
        </w:rPr>
        <w:t>emitió una resolución de ejecución de los laudos</w:t>
      </w:r>
      <w:r w:rsidR="00236FAE" w:rsidRPr="00497684">
        <w:rPr>
          <w:rFonts w:ascii="Times New Roman" w:hAnsi="Times New Roman" w:cs="Times New Roman"/>
          <w:sz w:val="24"/>
          <w:szCs w:val="24"/>
        </w:rPr>
        <w:t xml:space="preserve">. </w:t>
      </w:r>
      <w:r w:rsidR="00F93482" w:rsidRPr="00497684">
        <w:rPr>
          <w:rFonts w:ascii="Times New Roman" w:hAnsi="Times New Roman" w:cs="Times New Roman"/>
          <w:sz w:val="24"/>
          <w:szCs w:val="24"/>
        </w:rPr>
        <w:t>É</w:t>
      </w:r>
      <w:r w:rsidR="0063427B" w:rsidRPr="00497684">
        <w:rPr>
          <w:rFonts w:ascii="Times New Roman" w:hAnsi="Times New Roman" w:cs="Times New Roman"/>
          <w:sz w:val="24"/>
          <w:szCs w:val="24"/>
        </w:rPr>
        <w:t xml:space="preserve">sta es la resolución judicial que ulteriormente será opuesta para negar el reconocimiento de la sentencia del Tribunal Supremo en el Reino Unido por parte del club P&amp;I. En </w:t>
      </w:r>
      <w:r w:rsidR="00236FAE" w:rsidRPr="00497684">
        <w:rPr>
          <w:rFonts w:ascii="Times New Roman" w:hAnsi="Times New Roman" w:cs="Times New Roman"/>
          <w:sz w:val="24"/>
          <w:szCs w:val="24"/>
        </w:rPr>
        <w:t>virtud</w:t>
      </w:r>
      <w:r w:rsidR="0063427B" w:rsidRPr="00497684">
        <w:rPr>
          <w:rFonts w:ascii="Times New Roman" w:hAnsi="Times New Roman" w:cs="Times New Roman"/>
          <w:sz w:val="24"/>
          <w:szCs w:val="24"/>
        </w:rPr>
        <w:t xml:space="preserve"> de la resolución judicial</w:t>
      </w:r>
      <w:r w:rsidR="00236FAE" w:rsidRPr="00497684">
        <w:rPr>
          <w:rFonts w:ascii="Times New Roman" w:hAnsi="Times New Roman" w:cs="Times New Roman"/>
          <w:sz w:val="24"/>
          <w:szCs w:val="24"/>
        </w:rPr>
        <w:t>, los laudos arbitrales contra España y Francia</w:t>
      </w:r>
      <w:r w:rsidR="0082502E" w:rsidRPr="00497684">
        <w:rPr>
          <w:rFonts w:ascii="Times New Roman" w:hAnsi="Times New Roman" w:cs="Times New Roman"/>
          <w:sz w:val="24"/>
          <w:szCs w:val="24"/>
        </w:rPr>
        <w:t>, aunque meramente declarativos,</w:t>
      </w:r>
      <w:r w:rsidRPr="00497684">
        <w:rPr>
          <w:rFonts w:ascii="Times New Roman" w:hAnsi="Times New Roman" w:cs="Times New Roman"/>
          <w:sz w:val="24"/>
          <w:szCs w:val="24"/>
        </w:rPr>
        <w:t xml:space="preserve"> </w:t>
      </w:r>
      <w:r w:rsidR="0082502E" w:rsidRPr="00497684">
        <w:rPr>
          <w:rFonts w:ascii="Times New Roman" w:hAnsi="Times New Roman" w:cs="Times New Roman"/>
          <w:sz w:val="24"/>
          <w:szCs w:val="24"/>
        </w:rPr>
        <w:t>fueron</w:t>
      </w:r>
      <w:r w:rsidRPr="00497684">
        <w:rPr>
          <w:rFonts w:ascii="Times New Roman" w:hAnsi="Times New Roman" w:cs="Times New Roman"/>
          <w:sz w:val="24"/>
          <w:szCs w:val="24"/>
        </w:rPr>
        <w:t xml:space="preserve"> ejecutados en la misma manera que una sentencia y con el mismo efecto conforme a la sec. 66 AA 1996</w:t>
      </w:r>
      <w:r w:rsidRPr="00497684">
        <w:rPr>
          <w:rStyle w:val="Refernciadenotaapeudepgina"/>
          <w:rFonts w:ascii="Times New Roman" w:hAnsi="Times New Roman" w:cs="Times New Roman"/>
          <w:sz w:val="24"/>
          <w:szCs w:val="24"/>
        </w:rPr>
        <w:footnoteReference w:id="5"/>
      </w:r>
      <w:r w:rsidRPr="00497684">
        <w:rPr>
          <w:rFonts w:ascii="Times New Roman" w:hAnsi="Times New Roman" w:cs="Times New Roman"/>
          <w:sz w:val="24"/>
          <w:szCs w:val="24"/>
        </w:rPr>
        <w:t xml:space="preserve">. </w:t>
      </w:r>
      <w:r w:rsidR="00236FAE" w:rsidRPr="00497684">
        <w:rPr>
          <w:rFonts w:ascii="Times New Roman" w:hAnsi="Times New Roman" w:cs="Times New Roman"/>
          <w:sz w:val="24"/>
          <w:szCs w:val="24"/>
        </w:rPr>
        <w:t xml:space="preserve">La </w:t>
      </w:r>
      <w:r w:rsidR="00236FAE" w:rsidRPr="00497684">
        <w:rPr>
          <w:rFonts w:ascii="Times New Roman" w:hAnsi="Times New Roman" w:cs="Times New Roman"/>
          <w:i/>
          <w:sz w:val="24"/>
          <w:szCs w:val="24"/>
        </w:rPr>
        <w:t>High Court</w:t>
      </w:r>
      <w:r w:rsidR="00236FAE" w:rsidRPr="00497684">
        <w:rPr>
          <w:rFonts w:ascii="Times New Roman" w:hAnsi="Times New Roman" w:cs="Times New Roman"/>
          <w:sz w:val="24"/>
          <w:szCs w:val="24"/>
        </w:rPr>
        <w:t xml:space="preserve"> ta</w:t>
      </w:r>
      <w:r w:rsidRPr="00497684">
        <w:rPr>
          <w:rFonts w:ascii="Times New Roman" w:hAnsi="Times New Roman" w:cs="Times New Roman"/>
          <w:sz w:val="24"/>
          <w:szCs w:val="24"/>
        </w:rPr>
        <w:t>mbién rechaz</w:t>
      </w:r>
      <w:r w:rsidR="00236FAE" w:rsidRPr="00497684">
        <w:rPr>
          <w:rFonts w:ascii="Times New Roman" w:hAnsi="Times New Roman" w:cs="Times New Roman"/>
          <w:sz w:val="24"/>
          <w:szCs w:val="24"/>
        </w:rPr>
        <w:t>ó</w:t>
      </w:r>
      <w:r w:rsidRPr="00497684">
        <w:rPr>
          <w:rFonts w:ascii="Times New Roman" w:hAnsi="Times New Roman" w:cs="Times New Roman"/>
          <w:sz w:val="24"/>
          <w:szCs w:val="24"/>
        </w:rPr>
        <w:t xml:space="preserve"> la inmunidad del Estado Español.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El 13 de noviembre de 2013, la Audiencia Provincial de A Coruña dictó sentencia</w:t>
      </w:r>
      <w:r w:rsidRPr="00497684">
        <w:rPr>
          <w:rStyle w:val="Refernciadenotaapeudepgina"/>
          <w:rFonts w:ascii="Times New Roman" w:hAnsi="Times New Roman" w:cs="Times New Roman"/>
          <w:sz w:val="24"/>
          <w:szCs w:val="24"/>
        </w:rPr>
        <w:footnoteReference w:id="6"/>
      </w:r>
      <w:r w:rsidR="00236FAE" w:rsidRPr="00497684">
        <w:rPr>
          <w:rFonts w:ascii="Times New Roman" w:hAnsi="Times New Roman" w:cs="Times New Roman"/>
          <w:sz w:val="24"/>
          <w:szCs w:val="24"/>
        </w:rPr>
        <w:t>. En cuanto a la responsabilidad penal, ab</w:t>
      </w:r>
      <w:r w:rsidRPr="00497684">
        <w:rPr>
          <w:rFonts w:ascii="Times New Roman" w:hAnsi="Times New Roman" w:cs="Times New Roman"/>
          <w:sz w:val="24"/>
          <w:szCs w:val="24"/>
        </w:rPr>
        <w:t>solvía al capitán</w:t>
      </w:r>
      <w:r w:rsidR="0082502E" w:rsidRPr="00497684">
        <w:rPr>
          <w:rFonts w:ascii="Times New Roman" w:hAnsi="Times New Roman" w:cs="Times New Roman"/>
          <w:sz w:val="24"/>
          <w:szCs w:val="24"/>
        </w:rPr>
        <w:t xml:space="preserve">, </w:t>
      </w:r>
      <w:r w:rsidRPr="00497684">
        <w:rPr>
          <w:rFonts w:ascii="Times New Roman" w:hAnsi="Times New Roman" w:cs="Times New Roman"/>
          <w:sz w:val="24"/>
          <w:szCs w:val="24"/>
        </w:rPr>
        <w:t xml:space="preserve">al jefe de máquinas del buque “Prestige” y al Director General de la Marina Mercante, de los delitos contra el medio ambiente. En cambio, consideró al capitán culpable de desobediencia a la Autoridad Marítima Española. </w:t>
      </w:r>
      <w:r w:rsidR="0082502E" w:rsidRPr="00497684">
        <w:rPr>
          <w:rFonts w:ascii="Times New Roman" w:hAnsi="Times New Roman" w:cs="Times New Roman"/>
          <w:sz w:val="24"/>
          <w:szCs w:val="24"/>
        </w:rPr>
        <w:t>Sorpresivamente</w:t>
      </w:r>
      <w:r w:rsidR="00236FAE" w:rsidRPr="00497684">
        <w:rPr>
          <w:rFonts w:ascii="Times New Roman" w:hAnsi="Times New Roman" w:cs="Times New Roman"/>
          <w:sz w:val="24"/>
          <w:szCs w:val="24"/>
        </w:rPr>
        <w:t>, n</w:t>
      </w:r>
      <w:r w:rsidRPr="00497684">
        <w:rPr>
          <w:rFonts w:ascii="Times New Roman" w:hAnsi="Times New Roman" w:cs="Times New Roman"/>
          <w:sz w:val="24"/>
          <w:szCs w:val="24"/>
        </w:rPr>
        <w:t xml:space="preserve">o hubo declaración de responsabilidad civil de ningún demandado, pues estimó que de la desobediencia del capitán no se derivaba o con el mismo no se habían causado los daños y perjuicios derivados del vertido.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En 2014, el capitán presentó recurso de casación ante el Tribunal Supremo por su condena por desobediencia. Otras partes del proceso, incluid</w:t>
      </w:r>
      <w:r w:rsidR="0082502E" w:rsidRPr="00497684">
        <w:rPr>
          <w:rFonts w:ascii="Times New Roman" w:hAnsi="Times New Roman" w:cs="Times New Roman"/>
          <w:sz w:val="24"/>
          <w:szCs w:val="24"/>
        </w:rPr>
        <w:t>o el Estado Español</w:t>
      </w:r>
      <w:r w:rsidRPr="00497684">
        <w:rPr>
          <w:rFonts w:ascii="Times New Roman" w:hAnsi="Times New Roman" w:cs="Times New Roman"/>
          <w:sz w:val="24"/>
          <w:szCs w:val="24"/>
        </w:rPr>
        <w:t xml:space="preserve">, también recurrieron por la absolución del capitán de </w:t>
      </w:r>
      <w:r w:rsidR="00236FAE" w:rsidRPr="00497684">
        <w:rPr>
          <w:rFonts w:ascii="Times New Roman" w:hAnsi="Times New Roman" w:cs="Times New Roman"/>
          <w:sz w:val="24"/>
          <w:szCs w:val="24"/>
        </w:rPr>
        <w:t xml:space="preserve">los </w:t>
      </w:r>
      <w:r w:rsidRPr="00497684">
        <w:rPr>
          <w:rFonts w:ascii="Times New Roman" w:hAnsi="Times New Roman" w:cs="Times New Roman"/>
          <w:sz w:val="24"/>
          <w:szCs w:val="24"/>
        </w:rPr>
        <w:t xml:space="preserve">otros delitos </w:t>
      </w:r>
      <w:r w:rsidR="00236FAE" w:rsidRPr="00497684">
        <w:rPr>
          <w:rFonts w:ascii="Times New Roman" w:hAnsi="Times New Roman" w:cs="Times New Roman"/>
          <w:sz w:val="24"/>
          <w:szCs w:val="24"/>
        </w:rPr>
        <w:t xml:space="preserve">de los que estaba imputado </w:t>
      </w:r>
      <w:r w:rsidRPr="00497684">
        <w:rPr>
          <w:rFonts w:ascii="Times New Roman" w:hAnsi="Times New Roman" w:cs="Times New Roman"/>
          <w:sz w:val="24"/>
          <w:szCs w:val="24"/>
        </w:rPr>
        <w:t xml:space="preserve">y por la </w:t>
      </w:r>
      <w:r w:rsidR="00236FAE" w:rsidRPr="00497684">
        <w:rPr>
          <w:rFonts w:ascii="Times New Roman" w:hAnsi="Times New Roman" w:cs="Times New Roman"/>
          <w:sz w:val="24"/>
          <w:szCs w:val="24"/>
        </w:rPr>
        <w:t>falta de declaración de responsabilidad civil</w:t>
      </w:r>
      <w:r w:rsidRPr="00497684">
        <w:rPr>
          <w:rFonts w:ascii="Times New Roman" w:hAnsi="Times New Roman" w:cs="Times New Roman"/>
          <w:sz w:val="24"/>
          <w:szCs w:val="24"/>
        </w:rPr>
        <w:t xml:space="preserve">.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1 de abril de 2015, la </w:t>
      </w:r>
      <w:r w:rsidRPr="00497684">
        <w:rPr>
          <w:rFonts w:ascii="Times New Roman" w:hAnsi="Times New Roman" w:cs="Times New Roman"/>
          <w:i/>
          <w:sz w:val="24"/>
          <w:szCs w:val="24"/>
        </w:rPr>
        <w:t>Court of Appeal</w:t>
      </w:r>
      <w:r w:rsidRPr="00497684">
        <w:rPr>
          <w:rStyle w:val="Refernciadenotaapeudepgina"/>
          <w:rFonts w:ascii="Times New Roman" w:hAnsi="Times New Roman" w:cs="Times New Roman"/>
          <w:sz w:val="24"/>
          <w:szCs w:val="24"/>
        </w:rPr>
        <w:footnoteReference w:id="7"/>
      </w:r>
      <w:r w:rsidRPr="00497684">
        <w:rPr>
          <w:rFonts w:ascii="Times New Roman" w:hAnsi="Times New Roman" w:cs="Times New Roman"/>
          <w:i/>
          <w:sz w:val="24"/>
          <w:szCs w:val="24"/>
        </w:rPr>
        <w:t xml:space="preserve"> </w:t>
      </w:r>
      <w:r w:rsidRPr="00497684">
        <w:rPr>
          <w:rFonts w:ascii="Times New Roman" w:hAnsi="Times New Roman" w:cs="Times New Roman"/>
          <w:sz w:val="24"/>
          <w:szCs w:val="24"/>
        </w:rPr>
        <w:t xml:space="preserve">confirmó la resolución de 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de 201</w:t>
      </w:r>
      <w:r w:rsidR="00236FAE" w:rsidRPr="00497684">
        <w:rPr>
          <w:rFonts w:ascii="Times New Roman" w:hAnsi="Times New Roman" w:cs="Times New Roman"/>
          <w:sz w:val="24"/>
          <w:szCs w:val="24"/>
        </w:rPr>
        <w:t>4,</w:t>
      </w:r>
      <w:r w:rsidRPr="00497684">
        <w:rPr>
          <w:rFonts w:ascii="Times New Roman" w:hAnsi="Times New Roman" w:cs="Times New Roman"/>
          <w:sz w:val="24"/>
          <w:szCs w:val="24"/>
        </w:rPr>
        <w:t xml:space="preserve"> por la cual se daba ejecución judicial a los laudos arbitrales contra España y Francia. Añadía además que el Estado Español había perdido la inmunidad estatal al someterse a los tribunales ingleses.</w:t>
      </w:r>
    </w:p>
    <w:p w:rsidR="00CE6BD3" w:rsidRPr="00497684" w:rsidRDefault="0082502E"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La sentencia de</w:t>
      </w:r>
      <w:r w:rsidR="00CE6BD3" w:rsidRPr="00497684">
        <w:rPr>
          <w:rFonts w:ascii="Times New Roman" w:hAnsi="Times New Roman" w:cs="Times New Roman"/>
          <w:sz w:val="24"/>
          <w:szCs w:val="24"/>
        </w:rPr>
        <w:t xml:space="preserve">l 14 de enero de 2016 </w:t>
      </w:r>
      <w:r w:rsidRPr="00497684">
        <w:rPr>
          <w:rFonts w:ascii="Times New Roman" w:hAnsi="Times New Roman" w:cs="Times New Roman"/>
          <w:sz w:val="24"/>
          <w:szCs w:val="24"/>
        </w:rPr>
        <w:t>d</w:t>
      </w:r>
      <w:r w:rsidR="00CE6BD3" w:rsidRPr="00497684">
        <w:rPr>
          <w:rFonts w:ascii="Times New Roman" w:hAnsi="Times New Roman" w:cs="Times New Roman"/>
          <w:sz w:val="24"/>
          <w:szCs w:val="24"/>
        </w:rPr>
        <w:t>el Tribunal Supremo, Sala de lo Penal</w:t>
      </w:r>
      <w:r w:rsidRPr="00497684">
        <w:rPr>
          <w:rFonts w:ascii="Times New Roman" w:hAnsi="Times New Roman" w:cs="Times New Roman"/>
          <w:sz w:val="24"/>
          <w:szCs w:val="24"/>
        </w:rPr>
        <w:t xml:space="preserve"> (en adelante, STS)</w:t>
      </w:r>
      <w:r w:rsidR="00CE6BD3" w:rsidRPr="00497684">
        <w:rPr>
          <w:rStyle w:val="Refernciadenotaapeudepgina"/>
          <w:rFonts w:ascii="Times New Roman" w:hAnsi="Times New Roman" w:cs="Times New Roman"/>
          <w:sz w:val="24"/>
          <w:szCs w:val="24"/>
        </w:rPr>
        <w:footnoteReference w:id="8"/>
      </w:r>
      <w:r w:rsidRPr="00497684">
        <w:rPr>
          <w:rFonts w:ascii="Times New Roman" w:hAnsi="Times New Roman" w:cs="Times New Roman"/>
          <w:sz w:val="24"/>
          <w:szCs w:val="24"/>
        </w:rPr>
        <w:t xml:space="preserve"> r</w:t>
      </w:r>
      <w:r w:rsidR="00236FAE" w:rsidRPr="00497684">
        <w:rPr>
          <w:rFonts w:ascii="Times New Roman" w:hAnsi="Times New Roman" w:cs="Times New Roman"/>
          <w:sz w:val="24"/>
          <w:szCs w:val="24"/>
        </w:rPr>
        <w:t>evoc</w:t>
      </w:r>
      <w:r w:rsidRPr="00497684">
        <w:rPr>
          <w:rFonts w:ascii="Times New Roman" w:hAnsi="Times New Roman" w:cs="Times New Roman"/>
          <w:sz w:val="24"/>
          <w:szCs w:val="24"/>
        </w:rPr>
        <w:t>a</w:t>
      </w:r>
      <w:r w:rsidR="00236FAE" w:rsidRPr="00497684">
        <w:rPr>
          <w:rFonts w:ascii="Times New Roman" w:hAnsi="Times New Roman" w:cs="Times New Roman"/>
          <w:sz w:val="24"/>
          <w:szCs w:val="24"/>
        </w:rPr>
        <w:t xml:space="preserve"> </w:t>
      </w:r>
      <w:r w:rsidR="00CE6BD3" w:rsidRPr="00497684">
        <w:rPr>
          <w:rFonts w:ascii="Times New Roman" w:hAnsi="Times New Roman" w:cs="Times New Roman"/>
          <w:sz w:val="24"/>
          <w:szCs w:val="24"/>
        </w:rPr>
        <w:t>la sentencia de la Audiencia Provincial de A Coruña</w:t>
      </w:r>
      <w:r w:rsidR="00236FAE" w:rsidRPr="00497684">
        <w:rPr>
          <w:rFonts w:ascii="Times New Roman" w:hAnsi="Times New Roman" w:cs="Times New Roman"/>
          <w:sz w:val="24"/>
          <w:szCs w:val="24"/>
        </w:rPr>
        <w:t xml:space="preserve"> de 2013</w:t>
      </w:r>
      <w:r w:rsidRPr="00497684">
        <w:rPr>
          <w:rFonts w:ascii="Times New Roman" w:hAnsi="Times New Roman" w:cs="Times New Roman"/>
          <w:sz w:val="24"/>
          <w:szCs w:val="24"/>
        </w:rPr>
        <w:t xml:space="preserve"> y</w:t>
      </w:r>
      <w:r w:rsidR="00CE6BD3" w:rsidRPr="00497684">
        <w:rPr>
          <w:rFonts w:ascii="Times New Roman" w:hAnsi="Times New Roman" w:cs="Times New Roman"/>
          <w:sz w:val="24"/>
          <w:szCs w:val="24"/>
        </w:rPr>
        <w:t xml:space="preserve"> conden</w:t>
      </w:r>
      <w:r w:rsidRPr="00497684">
        <w:rPr>
          <w:rFonts w:ascii="Times New Roman" w:hAnsi="Times New Roman" w:cs="Times New Roman"/>
          <w:sz w:val="24"/>
          <w:szCs w:val="24"/>
        </w:rPr>
        <w:t>a</w:t>
      </w:r>
      <w:r w:rsidR="00CE6BD3" w:rsidRPr="00497684">
        <w:rPr>
          <w:rFonts w:ascii="Times New Roman" w:hAnsi="Times New Roman" w:cs="Times New Roman"/>
          <w:sz w:val="24"/>
          <w:szCs w:val="24"/>
        </w:rPr>
        <w:t xml:space="preserve"> al capitán del buque por delito contra el medio ambiente de los arts. 325 y 331 Código Penal, en la modalidad agravada del art. 326(e). En cambio, el capitán </w:t>
      </w:r>
      <w:r w:rsidRPr="00497684">
        <w:rPr>
          <w:rFonts w:ascii="Times New Roman" w:hAnsi="Times New Roman" w:cs="Times New Roman"/>
          <w:sz w:val="24"/>
          <w:szCs w:val="24"/>
        </w:rPr>
        <w:t>queda</w:t>
      </w:r>
      <w:r w:rsidR="00CE6BD3" w:rsidRPr="00497684">
        <w:rPr>
          <w:rFonts w:ascii="Times New Roman" w:hAnsi="Times New Roman" w:cs="Times New Roman"/>
          <w:sz w:val="24"/>
          <w:szCs w:val="24"/>
        </w:rPr>
        <w:t xml:space="preserve"> absuelto del delito de desobediencia. </w:t>
      </w:r>
    </w:p>
    <w:p w:rsidR="00CE6BD3" w:rsidRPr="00497684" w:rsidRDefault="00CE6BD3" w:rsidP="00F93482">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Tribunal Supremo, </w:t>
      </w:r>
      <w:r w:rsidR="0082502E" w:rsidRPr="00497684">
        <w:rPr>
          <w:rFonts w:ascii="Times New Roman" w:hAnsi="Times New Roman" w:cs="Times New Roman"/>
          <w:sz w:val="24"/>
          <w:szCs w:val="24"/>
        </w:rPr>
        <w:t xml:space="preserve">además y </w:t>
      </w:r>
      <w:r w:rsidRPr="00497684">
        <w:rPr>
          <w:rFonts w:ascii="Times New Roman" w:hAnsi="Times New Roman" w:cs="Times New Roman"/>
          <w:sz w:val="24"/>
          <w:szCs w:val="24"/>
        </w:rPr>
        <w:t>a diferencia de la Audiencia Provincial de A Coruña, sí declar</w:t>
      </w:r>
      <w:r w:rsidR="00DF271D" w:rsidRPr="00497684">
        <w:rPr>
          <w:rFonts w:ascii="Times New Roman" w:hAnsi="Times New Roman" w:cs="Times New Roman"/>
          <w:sz w:val="24"/>
          <w:szCs w:val="24"/>
        </w:rPr>
        <w:t>a</w:t>
      </w:r>
      <w:r w:rsidRPr="00497684">
        <w:rPr>
          <w:rFonts w:ascii="Times New Roman" w:hAnsi="Times New Roman" w:cs="Times New Roman"/>
          <w:sz w:val="24"/>
          <w:szCs w:val="24"/>
        </w:rPr>
        <w:t xml:space="preserve"> la responsabilidad civil ilimitada del capitán y del propietario del buque. Respecto al club P&amp;I, el Tribunal Supremo </w:t>
      </w:r>
      <w:r w:rsidR="00F93482" w:rsidRPr="00497684">
        <w:rPr>
          <w:rFonts w:ascii="Times New Roman" w:hAnsi="Times New Roman" w:cs="Times New Roman"/>
          <w:sz w:val="24"/>
          <w:szCs w:val="24"/>
        </w:rPr>
        <w:t xml:space="preserve">lo condena como responsable civil directo en base al art. 117 Código Penal, según el cual "Los aseguradores que hubieren asumido el riesgo de las responsabilidades pecuniarias derivadas del uso o explotación de cualquier bien, empresa, industria o actividad, cuando, como consecuencia de un hecho previsto en este Código, se produzca el evento que determine el riesgo asegurado, serán responsables civiles directos hasta el límite de la indemnización legalmente establecida o convencionalmente pactada, sin perjuicio del derecho de repetición contra quien corresponda". En concreto, ha de pagar </w:t>
      </w:r>
      <w:r w:rsidRPr="00497684">
        <w:rPr>
          <w:rFonts w:ascii="Times New Roman" w:hAnsi="Times New Roman" w:cs="Times New Roman"/>
          <w:sz w:val="24"/>
          <w:szCs w:val="24"/>
        </w:rPr>
        <w:t xml:space="preserve">hasta el límite de </w:t>
      </w:r>
      <w:r w:rsidR="006A39A0" w:rsidRPr="00497684">
        <w:rPr>
          <w:rFonts w:ascii="Times New Roman" w:hAnsi="Times New Roman" w:cs="Times New Roman"/>
          <w:sz w:val="24"/>
          <w:szCs w:val="24"/>
        </w:rPr>
        <w:t>“</w:t>
      </w:r>
      <w:r w:rsidRPr="00497684">
        <w:rPr>
          <w:rFonts w:ascii="Times New Roman" w:hAnsi="Times New Roman" w:cs="Times New Roman"/>
          <w:i/>
          <w:sz w:val="24"/>
          <w:szCs w:val="24"/>
        </w:rPr>
        <w:t>1 billón de dólares</w:t>
      </w:r>
      <w:r w:rsidR="006A39A0" w:rsidRPr="00497684">
        <w:rPr>
          <w:rFonts w:ascii="Times New Roman" w:hAnsi="Times New Roman" w:cs="Times New Roman"/>
          <w:sz w:val="24"/>
          <w:szCs w:val="24"/>
        </w:rPr>
        <w:t>”</w:t>
      </w:r>
      <w:r w:rsidRPr="00497684">
        <w:rPr>
          <w:rFonts w:ascii="Times New Roman" w:hAnsi="Times New Roman" w:cs="Times New Roman"/>
          <w:sz w:val="24"/>
          <w:szCs w:val="24"/>
        </w:rPr>
        <w:t xml:space="preserve"> previsto en el contrato de seguro</w:t>
      </w:r>
      <w:r w:rsidR="0082502E" w:rsidRPr="00497684">
        <w:rPr>
          <w:rFonts w:ascii="Times New Roman" w:hAnsi="Times New Roman" w:cs="Times New Roman"/>
          <w:sz w:val="24"/>
          <w:szCs w:val="24"/>
        </w:rPr>
        <w:t xml:space="preserve"> P&amp;I</w:t>
      </w:r>
      <w:r w:rsidRPr="00497684">
        <w:rPr>
          <w:rFonts w:ascii="Times New Roman" w:hAnsi="Times New Roman" w:cs="Times New Roman"/>
          <w:sz w:val="24"/>
          <w:szCs w:val="24"/>
        </w:rPr>
        <w:t xml:space="preserve">. </w:t>
      </w:r>
      <w:r w:rsidR="006A39A0" w:rsidRPr="00497684">
        <w:rPr>
          <w:rFonts w:ascii="Times New Roman" w:hAnsi="Times New Roman" w:cs="Times New Roman"/>
          <w:sz w:val="24"/>
          <w:szCs w:val="24"/>
        </w:rPr>
        <w:t xml:space="preserve">El Tribunal Supremo añade que </w:t>
      </w:r>
      <w:r w:rsidRPr="00497684">
        <w:rPr>
          <w:rFonts w:ascii="Times New Roman" w:hAnsi="Times New Roman" w:cs="Times New Roman"/>
          <w:sz w:val="24"/>
          <w:szCs w:val="24"/>
        </w:rPr>
        <w:t>el asegurador había sido emplazado en forma y que optó por no comparecer. Indic</w:t>
      </w:r>
      <w:r w:rsidR="00DF271D" w:rsidRPr="00497684">
        <w:rPr>
          <w:rFonts w:ascii="Times New Roman" w:hAnsi="Times New Roman" w:cs="Times New Roman"/>
          <w:sz w:val="24"/>
          <w:szCs w:val="24"/>
        </w:rPr>
        <w:t>a también</w:t>
      </w:r>
      <w:r w:rsidRPr="00497684">
        <w:rPr>
          <w:rFonts w:ascii="Times New Roman" w:hAnsi="Times New Roman" w:cs="Times New Roman"/>
          <w:sz w:val="24"/>
          <w:szCs w:val="24"/>
        </w:rPr>
        <w:t xml:space="preserve"> que, al constituir el fondo de garantía, el club P&amp;I desbordó los términos del contrato de </w:t>
      </w:r>
      <w:r w:rsidR="00F93482" w:rsidRPr="00497684">
        <w:rPr>
          <w:rFonts w:ascii="Times New Roman" w:hAnsi="Times New Roman" w:cs="Times New Roman"/>
          <w:sz w:val="24"/>
          <w:szCs w:val="24"/>
        </w:rPr>
        <w:t>"</w:t>
      </w:r>
      <w:r w:rsidRPr="00497684">
        <w:rPr>
          <w:rFonts w:ascii="Times New Roman" w:hAnsi="Times New Roman" w:cs="Times New Roman"/>
          <w:sz w:val="24"/>
          <w:szCs w:val="24"/>
        </w:rPr>
        <w:t xml:space="preserve">pago previo". </w:t>
      </w:r>
      <w:bookmarkStart w:id="1" w:name="_Hlk75709227"/>
      <w:r w:rsidRPr="00497684">
        <w:rPr>
          <w:rFonts w:ascii="Times New Roman" w:hAnsi="Times New Roman" w:cs="Times New Roman"/>
          <w:sz w:val="24"/>
          <w:szCs w:val="24"/>
        </w:rPr>
        <w:t xml:space="preserve">El </w:t>
      </w:r>
      <w:r w:rsidRPr="00497684">
        <w:rPr>
          <w:rFonts w:ascii="Times New Roman" w:hAnsi="Times New Roman" w:cs="Times New Roman"/>
          <w:sz w:val="24"/>
          <w:szCs w:val="24"/>
        </w:rPr>
        <w:lastRenderedPageBreak/>
        <w:t>Tribunal Supremo también declara la responsabilidad objetiva, legal y tasada del Fondo Internacional de Indemnización de Daños debidos a la Contaminación por Hidrocarburos de 1992 (FIDAC)</w:t>
      </w:r>
      <w:bookmarkEnd w:id="1"/>
      <w:r w:rsidR="009638EE" w:rsidRPr="00497684">
        <w:rPr>
          <w:rFonts w:ascii="Times New Roman" w:hAnsi="Times New Roman" w:cs="Times New Roman"/>
          <w:sz w:val="24"/>
          <w:szCs w:val="24"/>
        </w:rPr>
        <w:t>, hasta el límite de indemnización previsto en el Convenio internacional sobre la constitución de un Fondo Internacional de indemnización de daños debidos a contaminación por hidrocarburos, de 1992 (en adelante, Convenio del Fondo).</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El 20 de mayo de 2016, el capitán formuló recurso de amparo ante el Tribunal Constitucional por supuesta vulneración de los derechos fundamentales y un derecho a un juicio justo. El 2 de marzo de 2017 el Tribunal Constitucional declaró tal recurso inadmisible. El 28 de julio de 2017, el capitán demandó a España ante el Tribunal Europeo de Derechos Humanos por vulneración de sus derechos humanos. Posteriormente, el 18 de enero de 2018, este Tribunal declaró inadmisible dicha demanda</w:t>
      </w:r>
      <w:r w:rsidRPr="00497684">
        <w:rPr>
          <w:rStyle w:val="Refernciadenotaapeudepgina"/>
          <w:rFonts w:ascii="Times New Roman" w:hAnsi="Times New Roman" w:cs="Times New Roman"/>
          <w:sz w:val="24"/>
          <w:szCs w:val="24"/>
        </w:rPr>
        <w:footnoteReference w:id="9"/>
      </w:r>
      <w:r w:rsidRPr="00497684">
        <w:rPr>
          <w:rFonts w:ascii="Times New Roman" w:hAnsi="Times New Roman" w:cs="Times New Roman"/>
          <w:sz w:val="24"/>
          <w:szCs w:val="24"/>
        </w:rPr>
        <w:t xml:space="preserve">. </w:t>
      </w:r>
    </w:p>
    <w:p w:rsidR="006A39A0" w:rsidRPr="00497684" w:rsidRDefault="006A39A0"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auto de </w:t>
      </w:r>
      <w:r w:rsidR="0063427B" w:rsidRPr="00497684">
        <w:rPr>
          <w:rFonts w:ascii="Times New Roman" w:hAnsi="Times New Roman" w:cs="Times New Roman"/>
          <w:sz w:val="24"/>
          <w:szCs w:val="24"/>
        </w:rPr>
        <w:t xml:space="preserve">la Audiencia Provincial de A Coruña de </w:t>
      </w:r>
      <w:r w:rsidRPr="00497684">
        <w:rPr>
          <w:rFonts w:ascii="Times New Roman" w:hAnsi="Times New Roman" w:cs="Times New Roman"/>
          <w:sz w:val="24"/>
          <w:szCs w:val="24"/>
        </w:rPr>
        <w:t>15 de noviembre de 2017 (rectificado por auto de 11 de enero de 2018) fij</w:t>
      </w:r>
      <w:r w:rsidR="0063427B" w:rsidRPr="00497684">
        <w:rPr>
          <w:rFonts w:ascii="Times New Roman" w:hAnsi="Times New Roman" w:cs="Times New Roman"/>
          <w:sz w:val="24"/>
          <w:szCs w:val="24"/>
        </w:rPr>
        <w:t>a</w:t>
      </w:r>
      <w:r w:rsidRPr="00497684">
        <w:rPr>
          <w:rFonts w:ascii="Times New Roman" w:hAnsi="Times New Roman" w:cs="Times New Roman"/>
          <w:sz w:val="24"/>
          <w:szCs w:val="24"/>
        </w:rPr>
        <w:t xml:space="preserve"> los términos de la indemnización de cada afectado</w:t>
      </w:r>
      <w:r w:rsidRPr="00497684">
        <w:rPr>
          <w:rStyle w:val="Refernciadenotaapeudepgina"/>
          <w:rFonts w:ascii="Times New Roman" w:hAnsi="Times New Roman" w:cs="Times New Roman"/>
          <w:sz w:val="24"/>
          <w:szCs w:val="24"/>
        </w:rPr>
        <w:footnoteReference w:id="10"/>
      </w:r>
      <w:r w:rsidRPr="00497684">
        <w:rPr>
          <w:rFonts w:ascii="Times New Roman" w:hAnsi="Times New Roman" w:cs="Times New Roman"/>
          <w:sz w:val="24"/>
          <w:szCs w:val="24"/>
        </w:rPr>
        <w:t xml:space="preserve">. </w:t>
      </w:r>
      <w:r w:rsidR="00DF271D" w:rsidRPr="00497684">
        <w:rPr>
          <w:rFonts w:ascii="Times New Roman" w:hAnsi="Times New Roman" w:cs="Times New Roman"/>
          <w:sz w:val="24"/>
          <w:szCs w:val="24"/>
        </w:rPr>
        <w:t xml:space="preserve">La </w:t>
      </w:r>
      <w:r w:rsidRPr="00497684">
        <w:rPr>
          <w:rFonts w:ascii="Times New Roman" w:hAnsi="Times New Roman" w:cs="Times New Roman"/>
          <w:sz w:val="24"/>
          <w:szCs w:val="24"/>
        </w:rPr>
        <w:t xml:space="preserve">STS </w:t>
      </w:r>
      <w:r w:rsidR="0063427B" w:rsidRPr="00497684">
        <w:rPr>
          <w:rFonts w:ascii="Times New Roman" w:hAnsi="Times New Roman" w:cs="Times New Roman"/>
          <w:sz w:val="24"/>
          <w:szCs w:val="24"/>
        </w:rPr>
        <w:t>indica</w:t>
      </w:r>
      <w:r w:rsidR="00CE6BD3" w:rsidRPr="00497684">
        <w:rPr>
          <w:rFonts w:ascii="Times New Roman" w:hAnsi="Times New Roman" w:cs="Times New Roman"/>
          <w:sz w:val="24"/>
          <w:szCs w:val="24"/>
        </w:rPr>
        <w:t xml:space="preserve"> los criterios de cálculo de las indemnizaciones, pero la cuantificación exacta para cada perjudicado qued</w:t>
      </w:r>
      <w:r w:rsidR="00DF271D" w:rsidRPr="00497684">
        <w:rPr>
          <w:rFonts w:ascii="Times New Roman" w:hAnsi="Times New Roman" w:cs="Times New Roman"/>
          <w:sz w:val="24"/>
          <w:szCs w:val="24"/>
        </w:rPr>
        <w:t>a</w:t>
      </w:r>
      <w:r w:rsidR="00CE6BD3" w:rsidRPr="00497684">
        <w:rPr>
          <w:rFonts w:ascii="Times New Roman" w:hAnsi="Times New Roman" w:cs="Times New Roman"/>
          <w:sz w:val="24"/>
          <w:szCs w:val="24"/>
        </w:rPr>
        <w:t xml:space="preserve"> para el proceso ejecutivo a seguir ante la Audiencia Provincial de A Coruña. El club P&amp;I sí </w:t>
      </w:r>
      <w:r w:rsidR="0063427B" w:rsidRPr="00497684">
        <w:rPr>
          <w:rFonts w:ascii="Times New Roman" w:hAnsi="Times New Roman" w:cs="Times New Roman"/>
          <w:sz w:val="24"/>
          <w:szCs w:val="24"/>
        </w:rPr>
        <w:t xml:space="preserve">ha </w:t>
      </w:r>
      <w:r w:rsidR="00CE6BD3" w:rsidRPr="00497684">
        <w:rPr>
          <w:rFonts w:ascii="Times New Roman" w:hAnsi="Times New Roman" w:cs="Times New Roman"/>
          <w:sz w:val="24"/>
          <w:szCs w:val="24"/>
        </w:rPr>
        <w:t>particip</w:t>
      </w:r>
      <w:r w:rsidR="0063427B" w:rsidRPr="00497684">
        <w:rPr>
          <w:rFonts w:ascii="Times New Roman" w:hAnsi="Times New Roman" w:cs="Times New Roman"/>
          <w:sz w:val="24"/>
          <w:szCs w:val="24"/>
        </w:rPr>
        <w:t>ado</w:t>
      </w:r>
      <w:r w:rsidR="00CE6BD3" w:rsidRPr="00497684">
        <w:rPr>
          <w:rFonts w:ascii="Times New Roman" w:hAnsi="Times New Roman" w:cs="Times New Roman"/>
          <w:sz w:val="24"/>
          <w:szCs w:val="24"/>
        </w:rPr>
        <w:t xml:space="preserve"> en esta cuantificación, si bien reservando sus derechos relacionados con el procedimiento inglés de ejecución del laudo arbitral.</w:t>
      </w:r>
      <w:r w:rsidR="00DF271D" w:rsidRPr="00497684">
        <w:rPr>
          <w:rFonts w:ascii="Times New Roman" w:hAnsi="Times New Roman" w:cs="Times New Roman"/>
          <w:sz w:val="24"/>
          <w:szCs w:val="24"/>
        </w:rPr>
        <w:t xml:space="preserve"> </w:t>
      </w:r>
      <w:r w:rsidR="00CE6BD3" w:rsidRPr="00497684">
        <w:rPr>
          <w:rFonts w:ascii="Times New Roman" w:hAnsi="Times New Roman" w:cs="Times New Roman"/>
          <w:sz w:val="24"/>
          <w:szCs w:val="24"/>
        </w:rPr>
        <w:t>Sin embargo, el Tribunal Supremo, mediante sentencia de 19 de diciembre de 2018</w:t>
      </w:r>
      <w:r w:rsidR="00CE6BD3" w:rsidRPr="00497684">
        <w:rPr>
          <w:rStyle w:val="Refernciadenotaapeudepgina"/>
          <w:rFonts w:ascii="Times New Roman" w:hAnsi="Times New Roman" w:cs="Times New Roman"/>
          <w:sz w:val="24"/>
          <w:szCs w:val="24"/>
        </w:rPr>
        <w:footnoteReference w:id="11"/>
      </w:r>
      <w:r w:rsidR="00CE6BD3" w:rsidRPr="00497684">
        <w:rPr>
          <w:rFonts w:ascii="Times New Roman" w:hAnsi="Times New Roman" w:cs="Times New Roman"/>
          <w:sz w:val="24"/>
          <w:szCs w:val="24"/>
        </w:rPr>
        <w:t xml:space="preserve"> anuló parcialmente</w:t>
      </w:r>
      <w:r w:rsidRPr="00497684">
        <w:rPr>
          <w:rFonts w:ascii="Times New Roman" w:hAnsi="Times New Roman" w:cs="Times New Roman"/>
          <w:sz w:val="24"/>
          <w:szCs w:val="24"/>
        </w:rPr>
        <w:t xml:space="preserve"> dicho auto</w:t>
      </w:r>
      <w:r w:rsidR="00CE6BD3" w:rsidRPr="00497684">
        <w:rPr>
          <w:rFonts w:ascii="Times New Roman" w:hAnsi="Times New Roman" w:cs="Times New Roman"/>
          <w:sz w:val="24"/>
          <w:szCs w:val="24"/>
        </w:rPr>
        <w:t>, con pronunciamientos que sustituyen lo dispuesto en</w:t>
      </w:r>
      <w:r w:rsidRPr="00497684">
        <w:rPr>
          <w:rFonts w:ascii="Times New Roman" w:hAnsi="Times New Roman" w:cs="Times New Roman"/>
          <w:sz w:val="24"/>
          <w:szCs w:val="24"/>
        </w:rPr>
        <w:t xml:space="preserve"> el mismo</w:t>
      </w:r>
      <w:r w:rsidR="00CE6BD3" w:rsidRPr="00497684">
        <w:rPr>
          <w:rFonts w:ascii="Times New Roman" w:hAnsi="Times New Roman" w:cs="Times New Roman"/>
          <w:sz w:val="24"/>
          <w:szCs w:val="24"/>
        </w:rPr>
        <w:t xml:space="preserve">. </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El 1 de marzo de 2019, la Audiencia Provincial de A Coruña cuantificó las indemnizaciones debidas al Estado Español en 2.355 millones de euros; al Estado francés, 61 millones de euros; al Gobierno de Galicia, 1,8 millones de euros; y, luego numerosas indemnizaciones de pequeña cuantía a favor de empresas de pesca, de turismo, así como municipios y consejos provinciales franceses.</w:t>
      </w:r>
    </w:p>
    <w:p w:rsidR="00CE6BD3" w:rsidRPr="00497684" w:rsidRDefault="00CE6BD3" w:rsidP="00CE6BD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relación al club P&amp;I, la ejecución se limita a 1 billón de dólares, correspondientes a 1.000 millones de dólares. </w:t>
      </w:r>
      <w:r w:rsidR="006A449D" w:rsidRPr="00497684">
        <w:rPr>
          <w:rFonts w:ascii="Times New Roman" w:hAnsi="Times New Roman" w:cs="Times New Roman"/>
          <w:sz w:val="24"/>
          <w:szCs w:val="24"/>
        </w:rPr>
        <w:t>En castellano, un billón corresponde a un millón de millones, expresándose por la unidad seguida de doce ceros. En cambio, la Real Academia de la Lengua Española aclara que, en Estados Unidos de Norteamérica, un billón significa mil millones, que se expresa por la unidad seguida de nueve ceros. El Tribunal Supremo quiso reproducir exactamente el término “</w:t>
      </w:r>
      <w:r w:rsidR="006A449D" w:rsidRPr="00497684">
        <w:rPr>
          <w:rFonts w:ascii="Times New Roman" w:hAnsi="Times New Roman" w:cs="Times New Roman"/>
          <w:i/>
          <w:sz w:val="24"/>
          <w:szCs w:val="24"/>
        </w:rPr>
        <w:t>one billion</w:t>
      </w:r>
      <w:r w:rsidR="006A449D" w:rsidRPr="00497684">
        <w:rPr>
          <w:rFonts w:ascii="Times New Roman" w:hAnsi="Times New Roman" w:cs="Times New Roman"/>
          <w:sz w:val="24"/>
          <w:szCs w:val="24"/>
        </w:rPr>
        <w:t xml:space="preserve">” de las reglas del seguro P&amp;I, </w:t>
      </w:r>
      <w:r w:rsidR="0063427B" w:rsidRPr="00497684">
        <w:rPr>
          <w:rFonts w:ascii="Times New Roman" w:hAnsi="Times New Roman" w:cs="Times New Roman"/>
          <w:sz w:val="24"/>
          <w:szCs w:val="24"/>
        </w:rPr>
        <w:t xml:space="preserve">que </w:t>
      </w:r>
      <w:r w:rsidR="006A449D" w:rsidRPr="00497684">
        <w:rPr>
          <w:rFonts w:ascii="Times New Roman" w:hAnsi="Times New Roman" w:cs="Times New Roman"/>
          <w:sz w:val="24"/>
          <w:szCs w:val="24"/>
        </w:rPr>
        <w:t xml:space="preserve">en todo caso se refiere a 1.000 millones de dólares. La Audiencia Provincial de A Coruña, en fase de ejecución, aclara que se trata de 1.000 millones de dólares. En concreto, </w:t>
      </w:r>
      <w:r w:rsidRPr="00497684">
        <w:rPr>
          <w:rFonts w:ascii="Times New Roman" w:hAnsi="Times New Roman" w:cs="Times New Roman"/>
          <w:sz w:val="24"/>
          <w:szCs w:val="24"/>
        </w:rPr>
        <w:t>fij</w:t>
      </w:r>
      <w:r w:rsidR="006A449D" w:rsidRPr="00497684">
        <w:rPr>
          <w:rFonts w:ascii="Times New Roman" w:hAnsi="Times New Roman" w:cs="Times New Roman"/>
          <w:sz w:val="24"/>
          <w:szCs w:val="24"/>
        </w:rPr>
        <w:t>a</w:t>
      </w:r>
      <w:r w:rsidRPr="00497684">
        <w:rPr>
          <w:rFonts w:ascii="Times New Roman" w:hAnsi="Times New Roman" w:cs="Times New Roman"/>
          <w:sz w:val="24"/>
          <w:szCs w:val="24"/>
        </w:rPr>
        <w:t xml:space="preserve"> el límite global en 855.493.575,65 euros</w:t>
      </w:r>
      <w:r w:rsidR="00DF271D" w:rsidRPr="00497684">
        <w:rPr>
          <w:rFonts w:ascii="Times New Roman" w:hAnsi="Times New Roman" w:cs="Times New Roman"/>
          <w:sz w:val="24"/>
          <w:szCs w:val="24"/>
        </w:rPr>
        <w:t>. Corresponde a</w:t>
      </w:r>
      <w:r w:rsidRPr="00497684">
        <w:rPr>
          <w:rFonts w:ascii="Times New Roman" w:hAnsi="Times New Roman" w:cs="Times New Roman"/>
          <w:sz w:val="24"/>
          <w:szCs w:val="24"/>
        </w:rPr>
        <w:t>l equivalente en euros de</w:t>
      </w:r>
      <w:r w:rsidR="00F93482" w:rsidRPr="00497684">
        <w:rPr>
          <w:rFonts w:ascii="Times New Roman" w:hAnsi="Times New Roman" w:cs="Times New Roman"/>
          <w:sz w:val="24"/>
          <w:szCs w:val="24"/>
        </w:rPr>
        <w:t xml:space="preserve"> 1.000 millones</w:t>
      </w:r>
      <w:r w:rsidRPr="00497684">
        <w:rPr>
          <w:rFonts w:ascii="Times New Roman" w:hAnsi="Times New Roman" w:cs="Times New Roman"/>
          <w:sz w:val="24"/>
          <w:szCs w:val="24"/>
        </w:rPr>
        <w:t xml:space="preserve"> de dólares, menos el fondo de garantía depositado ya por el club P&amp;I conforme al CLC</w:t>
      </w:r>
      <w:r w:rsidR="006A449D" w:rsidRPr="00497684">
        <w:rPr>
          <w:rFonts w:ascii="Times New Roman" w:hAnsi="Times New Roman" w:cs="Times New Roman"/>
          <w:sz w:val="24"/>
          <w:szCs w:val="24"/>
        </w:rPr>
        <w:t xml:space="preserve"> (22,7 millones de euros)</w:t>
      </w:r>
      <w:r w:rsidR="00DF271D" w:rsidRPr="00497684">
        <w:rPr>
          <w:rFonts w:ascii="Times New Roman" w:hAnsi="Times New Roman" w:cs="Times New Roman"/>
          <w:sz w:val="24"/>
          <w:szCs w:val="24"/>
        </w:rPr>
        <w:t>.</w:t>
      </w:r>
      <w:r w:rsidRPr="00497684">
        <w:rPr>
          <w:rFonts w:ascii="Times New Roman" w:hAnsi="Times New Roman" w:cs="Times New Roman"/>
          <w:sz w:val="24"/>
          <w:szCs w:val="24"/>
        </w:rPr>
        <w:t xml:space="preserve"> </w:t>
      </w:r>
    </w:p>
    <w:p w:rsidR="00385961" w:rsidRPr="00497684" w:rsidRDefault="00385961" w:rsidP="00DF271D">
      <w:pPr>
        <w:spacing w:after="0"/>
        <w:jc w:val="both"/>
        <w:rPr>
          <w:rFonts w:ascii="Times New Roman" w:hAnsi="Times New Roman" w:cs="Times New Roman"/>
          <w:sz w:val="24"/>
          <w:szCs w:val="24"/>
        </w:rPr>
      </w:pPr>
    </w:p>
    <w:p w:rsidR="00665AAD" w:rsidRPr="00497684" w:rsidRDefault="00385961" w:rsidP="00DF271D">
      <w:pPr>
        <w:spacing w:after="0"/>
        <w:jc w:val="both"/>
        <w:rPr>
          <w:rFonts w:ascii="Times New Roman" w:hAnsi="Times New Roman" w:cs="Times New Roman"/>
          <w:b/>
          <w:sz w:val="24"/>
          <w:szCs w:val="24"/>
        </w:rPr>
      </w:pPr>
      <w:r w:rsidRPr="00497684">
        <w:rPr>
          <w:rFonts w:ascii="Times New Roman" w:hAnsi="Times New Roman" w:cs="Times New Roman"/>
          <w:b/>
          <w:sz w:val="24"/>
          <w:szCs w:val="24"/>
        </w:rPr>
        <w:t>2. Solicitud de ejecución de la STS en el Reino Unido. Oposición del club P&amp;I en base a resolución judicial previa de ejecución de laudo arbitral</w:t>
      </w:r>
      <w:r w:rsidR="006A449D" w:rsidRPr="00497684">
        <w:rPr>
          <w:rFonts w:ascii="Times New Roman" w:hAnsi="Times New Roman" w:cs="Times New Roman"/>
          <w:b/>
          <w:sz w:val="24"/>
          <w:szCs w:val="24"/>
        </w:rPr>
        <w:t xml:space="preserve">. </w:t>
      </w:r>
      <w:r w:rsidRPr="00497684">
        <w:rPr>
          <w:rFonts w:ascii="Times New Roman" w:hAnsi="Times New Roman" w:cs="Times New Roman"/>
          <w:b/>
          <w:sz w:val="24"/>
          <w:szCs w:val="24"/>
        </w:rPr>
        <w:t>Cuestión prejudicial ante el TJUE</w:t>
      </w:r>
    </w:p>
    <w:p w:rsidR="00CA57AA" w:rsidRPr="00497684" w:rsidRDefault="00DF271D" w:rsidP="00DF271D">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26 de marzo de 2019, el Estado Español solicitó el reconocimiento y ejecución de la STS en el Reino Unido, donde el club P&amp;I tiene su domicilio social. Ello conforme al procedimiento previsto en los arts. 32 y ss. Reglamento (CE) nº 44/2001 del Consejo, de </w:t>
      </w:r>
      <w:r w:rsidRPr="00497684">
        <w:rPr>
          <w:rFonts w:ascii="Times New Roman" w:hAnsi="Times New Roman" w:cs="Times New Roman"/>
          <w:sz w:val="24"/>
          <w:szCs w:val="24"/>
        </w:rPr>
        <w:lastRenderedPageBreak/>
        <w:t>22 de diciembre de 2000, relativo a la competencia judicial, el reconocimiento y la ejecución de resoluciones judiciales en materia civil y mercantil (en adelante, Reglamento 44/2001 o Bruselas I)</w:t>
      </w:r>
      <w:r w:rsidRPr="00497684">
        <w:rPr>
          <w:rStyle w:val="Refernciadenotaapeudepgina"/>
          <w:rFonts w:ascii="Times New Roman" w:hAnsi="Times New Roman" w:cs="Times New Roman"/>
          <w:sz w:val="24"/>
          <w:szCs w:val="24"/>
        </w:rPr>
        <w:footnoteReference w:id="12"/>
      </w:r>
      <w:r w:rsidRPr="00497684">
        <w:rPr>
          <w:rFonts w:ascii="Times New Roman" w:hAnsi="Times New Roman" w:cs="Times New Roman"/>
          <w:sz w:val="24"/>
          <w:szCs w:val="24"/>
        </w:rPr>
        <w:t>. Actualmente está derogado y sustituido por el nuevo Reglamento (UE) 1215/2012 (Bruselas I bis</w:t>
      </w:r>
      <w:r w:rsidRPr="00497684">
        <w:rPr>
          <w:rStyle w:val="Refernciadenotaapeudepgina"/>
          <w:rFonts w:ascii="Times New Roman" w:hAnsi="Times New Roman" w:cs="Times New Roman"/>
          <w:sz w:val="24"/>
          <w:szCs w:val="24"/>
        </w:rPr>
        <w:footnoteReference w:id="13"/>
      </w:r>
      <w:r w:rsidRPr="00497684">
        <w:rPr>
          <w:rFonts w:ascii="Times New Roman" w:hAnsi="Times New Roman" w:cs="Times New Roman"/>
          <w:sz w:val="24"/>
          <w:szCs w:val="24"/>
        </w:rPr>
        <w:t xml:space="preserve">), pero resulta aplicable por ser la norma en vigor en el momento del accidente. </w:t>
      </w:r>
    </w:p>
    <w:p w:rsidR="00EA294D" w:rsidRPr="00497684" w:rsidRDefault="00DF271D" w:rsidP="00DF271D">
      <w:pPr>
        <w:spacing w:after="0"/>
        <w:jc w:val="both"/>
        <w:rPr>
          <w:rFonts w:ascii="Times New Roman" w:hAnsi="Times New Roman" w:cs="Times New Roman"/>
          <w:sz w:val="24"/>
          <w:szCs w:val="24"/>
        </w:rPr>
      </w:pPr>
      <w:r w:rsidRPr="00497684">
        <w:rPr>
          <w:rFonts w:ascii="Times New Roman" w:hAnsi="Times New Roman" w:cs="Times New Roman"/>
          <w:sz w:val="24"/>
          <w:szCs w:val="24"/>
        </w:rPr>
        <w:t>La STS se enmarca entre las resoluciones susceptibles de reconocimiento en los otros Estados miembros de la Unión Europea, conforme al art. 32 Reglamento 44/2001</w:t>
      </w:r>
      <w:r w:rsidRPr="00497684">
        <w:rPr>
          <w:rStyle w:val="Refernciadenotaapeudepgina"/>
          <w:rFonts w:ascii="Times New Roman" w:hAnsi="Times New Roman" w:cs="Times New Roman"/>
          <w:sz w:val="24"/>
          <w:szCs w:val="24"/>
        </w:rPr>
        <w:footnoteReference w:id="14"/>
      </w:r>
      <w:r w:rsidRPr="00497684">
        <w:rPr>
          <w:rFonts w:ascii="Times New Roman" w:hAnsi="Times New Roman" w:cs="Times New Roman"/>
          <w:sz w:val="24"/>
          <w:szCs w:val="24"/>
        </w:rPr>
        <w:t xml:space="preserve">. </w:t>
      </w:r>
      <w:r w:rsidR="00571FAB" w:rsidRPr="00497684">
        <w:rPr>
          <w:rFonts w:ascii="Times New Roman" w:hAnsi="Times New Roman" w:cs="Times New Roman"/>
          <w:sz w:val="24"/>
          <w:szCs w:val="24"/>
        </w:rPr>
        <w:t>El art. 1.1</w:t>
      </w:r>
      <w:r w:rsidRPr="00497684">
        <w:rPr>
          <w:rFonts w:ascii="Times New Roman" w:hAnsi="Times New Roman" w:cs="Times New Roman"/>
          <w:sz w:val="24"/>
          <w:szCs w:val="24"/>
        </w:rPr>
        <w:t xml:space="preserve"> Reglamento 44/2001 </w:t>
      </w:r>
      <w:r w:rsidR="00571FAB" w:rsidRPr="00497684">
        <w:rPr>
          <w:rFonts w:ascii="Times New Roman" w:hAnsi="Times New Roman" w:cs="Times New Roman"/>
          <w:sz w:val="24"/>
          <w:szCs w:val="24"/>
        </w:rPr>
        <w:t xml:space="preserve">dispone que </w:t>
      </w:r>
      <w:r w:rsidRPr="00497684">
        <w:rPr>
          <w:rFonts w:ascii="Times New Roman" w:hAnsi="Times New Roman" w:cs="Times New Roman"/>
          <w:color w:val="000000"/>
          <w:sz w:val="24"/>
          <w:szCs w:val="24"/>
          <w:shd w:val="clear" w:color="auto" w:fill="FFFFFF"/>
        </w:rPr>
        <w:t xml:space="preserve">se aplica en materia civil y mercantil. También </w:t>
      </w:r>
      <w:r w:rsidRPr="00497684">
        <w:rPr>
          <w:rFonts w:ascii="Times New Roman" w:hAnsi="Times New Roman" w:cs="Times New Roman"/>
          <w:sz w:val="24"/>
          <w:szCs w:val="24"/>
        </w:rPr>
        <w:t>la jurisprudencia consolidada del Tribunal de Justicia de la Unión Europea (TJUE)</w:t>
      </w:r>
      <w:r w:rsidR="00571FAB" w:rsidRPr="00497684">
        <w:rPr>
          <w:rFonts w:ascii="Times New Roman" w:hAnsi="Times New Roman" w:cs="Times New Roman"/>
          <w:sz w:val="24"/>
          <w:szCs w:val="24"/>
        </w:rPr>
        <w:t xml:space="preserve"> establece que, </w:t>
      </w:r>
      <w:r w:rsidRPr="00497684">
        <w:rPr>
          <w:rFonts w:ascii="Times New Roman" w:hAnsi="Times New Roman" w:cs="Times New Roman"/>
          <w:sz w:val="24"/>
          <w:szCs w:val="24"/>
        </w:rPr>
        <w:t>para determinar si un litigio está incluido en el ámbito de aplicación, únicamente debe tenerse en cuenta el objeto de dicho litigio (</w:t>
      </w:r>
      <w:r w:rsidRPr="00497684">
        <w:rPr>
          <w:rFonts w:ascii="Times New Roman" w:hAnsi="Times New Roman" w:cs="Times New Roman"/>
          <w:i/>
          <w:sz w:val="24"/>
          <w:szCs w:val="24"/>
        </w:rPr>
        <w:t>subject matter</w:t>
      </w:r>
      <w:r w:rsidRPr="00497684">
        <w:rPr>
          <w:rFonts w:ascii="Times New Roman" w:hAnsi="Times New Roman" w:cs="Times New Roman"/>
          <w:sz w:val="24"/>
          <w:szCs w:val="24"/>
        </w:rPr>
        <w:t>)</w:t>
      </w:r>
      <w:r w:rsidRPr="00497684">
        <w:rPr>
          <w:rStyle w:val="Refernciadenotaapeudepgina"/>
          <w:rFonts w:ascii="Times New Roman" w:hAnsi="Times New Roman" w:cs="Times New Roman"/>
          <w:sz w:val="24"/>
          <w:szCs w:val="24"/>
        </w:rPr>
        <w:footnoteReference w:id="15"/>
      </w:r>
      <w:r w:rsidRPr="00497684">
        <w:rPr>
          <w:rFonts w:ascii="Times New Roman" w:hAnsi="Times New Roman" w:cs="Times New Roman"/>
          <w:sz w:val="24"/>
          <w:szCs w:val="24"/>
        </w:rPr>
        <w:t>. Más específicamente, el TJUE aclara que la inclusión en el ámbito de aplicación viene determinada no por su propia naturaleza, sino por la naturaleza de los derechos cuya salvaguardia garantizan</w:t>
      </w:r>
      <w:r w:rsidRPr="00497684">
        <w:rPr>
          <w:rStyle w:val="Refernciadenotaapeudepgina"/>
          <w:rFonts w:ascii="Times New Roman" w:hAnsi="Times New Roman" w:cs="Times New Roman"/>
          <w:sz w:val="24"/>
          <w:szCs w:val="24"/>
        </w:rPr>
        <w:footnoteReference w:id="16"/>
      </w:r>
      <w:r w:rsidRPr="00497684">
        <w:rPr>
          <w:rFonts w:ascii="Times New Roman" w:hAnsi="Times New Roman" w:cs="Times New Roman"/>
          <w:sz w:val="24"/>
          <w:szCs w:val="24"/>
        </w:rPr>
        <w:t>. En el caso analizado, se trata de una sentencia judicial dictada en un Estado Parte y sobre materia civil y mercantil. Aunque emitida por el Tribunal Supremo, Sala de lo Penal, resuelve una cuestión de naturaleza civil, como es la reclamación dineraria de los perjudicados o de quien se ha subrogado en sus derechos frente al capitán, al propietario del buque y su asegurador de responsabilidad civil. En este sentido, la responsabilidad civil derivada del art. 117 del Código Penal tiene la misma naturaleza civil que la acción directa prevista en el art. 76 Ley 50/1980, de 8 de octubre, de contrato de seguro, contra el asegurador de responsabilidad civil. El propio art. 11 Reglamento 44/2001 prevé la acción directa contra el asegurador de responsabilidad civil.</w:t>
      </w:r>
    </w:p>
    <w:p w:rsidR="00DF271D" w:rsidRPr="00497684" w:rsidRDefault="00DF271D" w:rsidP="00DF271D">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28 de mayo de 2019, 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resolvió sobre la solicitud de ejecución presentada por el Estado Español conforme a los arts. 33 y siguientes del Reglamento 44/2001 emitiendo una orden de registro de la ejecución en Inglaterra</w:t>
      </w:r>
      <w:r w:rsidRPr="00497684">
        <w:rPr>
          <w:rStyle w:val="Refernciadenotaapeudepgina"/>
          <w:rFonts w:ascii="Times New Roman" w:hAnsi="Times New Roman" w:cs="Times New Roman"/>
          <w:sz w:val="24"/>
          <w:szCs w:val="24"/>
        </w:rPr>
        <w:footnoteReference w:id="17"/>
      </w:r>
      <w:r w:rsidRPr="00497684">
        <w:rPr>
          <w:rFonts w:ascii="Times New Roman" w:hAnsi="Times New Roman" w:cs="Times New Roman"/>
          <w:sz w:val="24"/>
          <w:szCs w:val="24"/>
        </w:rPr>
        <w:t xml:space="preserve">. El club </w:t>
      </w:r>
      <w:r w:rsidR="00516C13" w:rsidRPr="00497684">
        <w:rPr>
          <w:rFonts w:ascii="Times New Roman" w:hAnsi="Times New Roman" w:cs="Times New Roman"/>
          <w:sz w:val="24"/>
          <w:szCs w:val="24"/>
        </w:rPr>
        <w:t xml:space="preserve">P&amp;I </w:t>
      </w:r>
      <w:r w:rsidRPr="00497684">
        <w:rPr>
          <w:rFonts w:ascii="Times New Roman" w:hAnsi="Times New Roman" w:cs="Times New Roman"/>
          <w:sz w:val="24"/>
          <w:szCs w:val="24"/>
        </w:rPr>
        <w:t>hizo uso de la facultad del art. 43 Reglamento 44/2001 y recurrió la orden de ejecución. Alegaba que la sentencia española era i</w:t>
      </w:r>
      <w:r w:rsidR="00516C13" w:rsidRPr="00497684">
        <w:rPr>
          <w:rFonts w:ascii="Times New Roman" w:hAnsi="Times New Roman" w:cs="Times New Roman"/>
          <w:sz w:val="24"/>
          <w:szCs w:val="24"/>
        </w:rPr>
        <w:t>n</w:t>
      </w:r>
      <w:r w:rsidRPr="00497684">
        <w:rPr>
          <w:rFonts w:ascii="Times New Roman" w:hAnsi="Times New Roman" w:cs="Times New Roman"/>
          <w:sz w:val="24"/>
          <w:szCs w:val="24"/>
        </w:rPr>
        <w:t xml:space="preserve">conciliable, según el art. 34(3) Reglamento 44/2001, con la resolución de 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de 2014 de ejecución del laudo, y confirmada por la </w:t>
      </w:r>
      <w:r w:rsidRPr="00497684">
        <w:rPr>
          <w:rFonts w:ascii="Times New Roman" w:hAnsi="Times New Roman" w:cs="Times New Roman"/>
          <w:i/>
          <w:sz w:val="24"/>
          <w:szCs w:val="24"/>
        </w:rPr>
        <w:t>Court of Appeal</w:t>
      </w:r>
      <w:r w:rsidRPr="00497684">
        <w:rPr>
          <w:rFonts w:ascii="Times New Roman" w:hAnsi="Times New Roman" w:cs="Times New Roman"/>
          <w:sz w:val="24"/>
          <w:szCs w:val="24"/>
        </w:rPr>
        <w:t xml:space="preserve"> en 2015. El club P&amp;I también se opuso por entender que el reconocimiento de la </w:t>
      </w:r>
      <w:r w:rsidR="00516C13" w:rsidRPr="00497684">
        <w:rPr>
          <w:rFonts w:ascii="Times New Roman" w:hAnsi="Times New Roman" w:cs="Times New Roman"/>
          <w:sz w:val="24"/>
          <w:szCs w:val="24"/>
        </w:rPr>
        <w:t>STS</w:t>
      </w:r>
      <w:r w:rsidRPr="00497684">
        <w:rPr>
          <w:rFonts w:ascii="Times New Roman" w:hAnsi="Times New Roman" w:cs="Times New Roman"/>
          <w:sz w:val="24"/>
          <w:szCs w:val="24"/>
        </w:rPr>
        <w:t xml:space="preserve"> supondría una vulneración del orden público inglés, en particular de la regla de la </w:t>
      </w:r>
      <w:r w:rsidRPr="00497684">
        <w:rPr>
          <w:rFonts w:ascii="Times New Roman" w:hAnsi="Times New Roman" w:cs="Times New Roman"/>
          <w:i/>
          <w:sz w:val="24"/>
          <w:szCs w:val="24"/>
        </w:rPr>
        <w:t xml:space="preserve">res judicata </w:t>
      </w:r>
      <w:r w:rsidRPr="00497684">
        <w:rPr>
          <w:rFonts w:ascii="Times New Roman" w:hAnsi="Times New Roman" w:cs="Times New Roman"/>
          <w:sz w:val="24"/>
          <w:szCs w:val="24"/>
        </w:rPr>
        <w:t xml:space="preserve">y/o de los derechos humanos, </w:t>
      </w:r>
      <w:r w:rsidR="00516C13" w:rsidRPr="00497684">
        <w:rPr>
          <w:rFonts w:ascii="Times New Roman" w:hAnsi="Times New Roman" w:cs="Times New Roman"/>
          <w:sz w:val="24"/>
          <w:szCs w:val="24"/>
        </w:rPr>
        <w:t>de modo que</w:t>
      </w:r>
      <w:r w:rsidRPr="00497684">
        <w:rPr>
          <w:rFonts w:ascii="Times New Roman" w:hAnsi="Times New Roman" w:cs="Times New Roman"/>
          <w:sz w:val="24"/>
          <w:szCs w:val="24"/>
        </w:rPr>
        <w:t xml:space="preserve"> no cabía el reconocimiento de la </w:t>
      </w:r>
      <w:r w:rsidR="00516C13" w:rsidRPr="00497684">
        <w:rPr>
          <w:rFonts w:ascii="Times New Roman" w:hAnsi="Times New Roman" w:cs="Times New Roman"/>
          <w:sz w:val="24"/>
          <w:szCs w:val="24"/>
        </w:rPr>
        <w:t>STS</w:t>
      </w:r>
      <w:r w:rsidRPr="00497684">
        <w:rPr>
          <w:rFonts w:ascii="Times New Roman" w:hAnsi="Times New Roman" w:cs="Times New Roman"/>
          <w:sz w:val="24"/>
          <w:szCs w:val="24"/>
        </w:rPr>
        <w:t xml:space="preserve"> conforme al art. 34(1) Reglamento 44/2001.</w:t>
      </w:r>
    </w:p>
    <w:p w:rsidR="00DF271D" w:rsidRPr="00497684" w:rsidRDefault="00DF271D" w:rsidP="00DF271D">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Además, el club P&amp;I ha formulado varias reclamaciones contra España y Francia en el Reino Unido, por intentar el reconocimiento de la sentencia española y por incumplimiento de la obligación de someter las reclamaciones a arbitraje. El club P&amp;I exige daños y perjuicios, con la finalidad de que se </w:t>
      </w:r>
      <w:r w:rsidR="00EA294D" w:rsidRPr="00497684">
        <w:rPr>
          <w:rFonts w:ascii="Times New Roman" w:hAnsi="Times New Roman" w:cs="Times New Roman"/>
          <w:sz w:val="24"/>
          <w:szCs w:val="24"/>
        </w:rPr>
        <w:t xml:space="preserve">le </w:t>
      </w:r>
      <w:r w:rsidRPr="00497684">
        <w:rPr>
          <w:rFonts w:ascii="Times New Roman" w:hAnsi="Times New Roman" w:cs="Times New Roman"/>
          <w:sz w:val="24"/>
          <w:szCs w:val="24"/>
        </w:rPr>
        <w:t xml:space="preserve">compense </w:t>
      </w:r>
      <w:r w:rsidR="00EA294D" w:rsidRPr="00497684">
        <w:rPr>
          <w:rFonts w:ascii="Times New Roman" w:hAnsi="Times New Roman" w:cs="Times New Roman"/>
          <w:sz w:val="24"/>
          <w:szCs w:val="24"/>
        </w:rPr>
        <w:t xml:space="preserve">por </w:t>
      </w:r>
      <w:r w:rsidRPr="00497684">
        <w:rPr>
          <w:rFonts w:ascii="Times New Roman" w:hAnsi="Times New Roman" w:cs="Times New Roman"/>
          <w:sz w:val="24"/>
          <w:szCs w:val="24"/>
        </w:rPr>
        <w:t xml:space="preserve">lo que en Inglaterra o en cualquier otro lugar puedan suponer la ejecución de la </w:t>
      </w:r>
      <w:r w:rsidR="00516C13" w:rsidRPr="00497684">
        <w:rPr>
          <w:rFonts w:ascii="Times New Roman" w:hAnsi="Times New Roman" w:cs="Times New Roman"/>
          <w:sz w:val="24"/>
          <w:szCs w:val="24"/>
        </w:rPr>
        <w:t>STS</w:t>
      </w:r>
      <w:r w:rsidRPr="00497684">
        <w:rPr>
          <w:rFonts w:ascii="Times New Roman" w:hAnsi="Times New Roman" w:cs="Times New Roman"/>
          <w:sz w:val="24"/>
          <w:szCs w:val="24"/>
        </w:rPr>
        <w:t xml:space="preserve">. Como resultado de estas reclamaciones, de momento, mediante sentencia de la </w:t>
      </w:r>
      <w:r w:rsidRPr="00497684">
        <w:rPr>
          <w:rFonts w:ascii="Times New Roman" w:hAnsi="Times New Roman" w:cs="Times New Roman"/>
          <w:i/>
          <w:sz w:val="24"/>
          <w:szCs w:val="24"/>
        </w:rPr>
        <w:t>High Court of Justice Queen's Bench Division Commercial Cour</w:t>
      </w:r>
      <w:r w:rsidR="000B5899" w:rsidRPr="00497684">
        <w:rPr>
          <w:rFonts w:ascii="Times New Roman" w:hAnsi="Times New Roman" w:cs="Times New Roman"/>
          <w:i/>
          <w:sz w:val="24"/>
          <w:szCs w:val="24"/>
        </w:rPr>
        <w:t>t</w:t>
      </w:r>
      <w:r w:rsidRPr="00497684">
        <w:rPr>
          <w:rFonts w:ascii="Times New Roman" w:hAnsi="Times New Roman" w:cs="Times New Roman"/>
          <w:sz w:val="24"/>
          <w:szCs w:val="24"/>
        </w:rPr>
        <w:t xml:space="preserve"> de 18 de junio de 2020, se procedió a nombrar un </w:t>
      </w:r>
      <w:r w:rsidRPr="00497684">
        <w:rPr>
          <w:rFonts w:ascii="Times New Roman" w:hAnsi="Times New Roman" w:cs="Times New Roman"/>
          <w:sz w:val="24"/>
          <w:szCs w:val="24"/>
        </w:rPr>
        <w:lastRenderedPageBreak/>
        <w:t>árbitro</w:t>
      </w:r>
      <w:r w:rsidRPr="00497684">
        <w:rPr>
          <w:rStyle w:val="Refernciadenotaapeudepgina"/>
          <w:rFonts w:ascii="Times New Roman" w:hAnsi="Times New Roman" w:cs="Times New Roman"/>
          <w:sz w:val="24"/>
          <w:szCs w:val="24"/>
        </w:rPr>
        <w:footnoteReference w:id="18"/>
      </w:r>
      <w:r w:rsidRPr="00497684">
        <w:rPr>
          <w:rFonts w:ascii="Times New Roman" w:hAnsi="Times New Roman" w:cs="Times New Roman"/>
          <w:sz w:val="24"/>
          <w:szCs w:val="24"/>
        </w:rPr>
        <w:t>, y mediante sentencia de 24 de julio de 2020 se ha afirmado que España y Francia no tienen inmunidad estatal</w:t>
      </w:r>
      <w:r w:rsidRPr="00497684">
        <w:rPr>
          <w:rStyle w:val="Refernciadenotaapeudepgina"/>
          <w:rFonts w:ascii="Times New Roman" w:hAnsi="Times New Roman" w:cs="Times New Roman"/>
          <w:sz w:val="24"/>
          <w:szCs w:val="24"/>
        </w:rPr>
        <w:footnoteReference w:id="19"/>
      </w:r>
      <w:r w:rsidRPr="00497684">
        <w:rPr>
          <w:rFonts w:ascii="Times New Roman" w:hAnsi="Times New Roman" w:cs="Times New Roman"/>
          <w:sz w:val="24"/>
          <w:szCs w:val="24"/>
        </w:rPr>
        <w:t xml:space="preserve">. </w:t>
      </w:r>
    </w:p>
    <w:p w:rsidR="003036B3" w:rsidRPr="00497684" w:rsidRDefault="00DF271D" w:rsidP="00571FAB">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3 de noviembre de 2020, España solicitó ante 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la presentación de una cuestión preliminar ante el T</w:t>
      </w:r>
      <w:r w:rsidR="00571FAB" w:rsidRPr="00497684">
        <w:rPr>
          <w:rFonts w:ascii="Times New Roman" w:hAnsi="Times New Roman" w:cs="Times New Roman"/>
          <w:sz w:val="24"/>
          <w:szCs w:val="24"/>
        </w:rPr>
        <w:t>JUE</w:t>
      </w:r>
      <w:r w:rsidRPr="00497684">
        <w:rPr>
          <w:rFonts w:ascii="Times New Roman" w:hAnsi="Times New Roman" w:cs="Times New Roman"/>
          <w:sz w:val="24"/>
          <w:szCs w:val="24"/>
        </w:rPr>
        <w:t>.</w:t>
      </w:r>
      <w:r w:rsidR="00571FAB" w:rsidRPr="00497684">
        <w:rPr>
          <w:rFonts w:ascii="Times New Roman" w:hAnsi="Times New Roman" w:cs="Times New Roman"/>
          <w:sz w:val="24"/>
          <w:szCs w:val="24"/>
        </w:rPr>
        <w:t xml:space="preserve"> H</w:t>
      </w:r>
      <w:r w:rsidR="003036B3" w:rsidRPr="00497684">
        <w:rPr>
          <w:rFonts w:ascii="Times New Roman" w:hAnsi="Times New Roman" w:cs="Times New Roman"/>
          <w:sz w:val="24"/>
          <w:szCs w:val="24"/>
        </w:rPr>
        <w:t xml:space="preserve">a </w:t>
      </w:r>
      <w:r w:rsidR="00571FAB" w:rsidRPr="00497684">
        <w:rPr>
          <w:rFonts w:ascii="Times New Roman" w:hAnsi="Times New Roman" w:cs="Times New Roman"/>
          <w:sz w:val="24"/>
          <w:szCs w:val="24"/>
        </w:rPr>
        <w:t xml:space="preserve">sido aceptado y la </w:t>
      </w:r>
      <w:r w:rsidR="003036B3" w:rsidRPr="00497684">
        <w:rPr>
          <w:rFonts w:ascii="Times New Roman" w:hAnsi="Times New Roman" w:cs="Times New Roman"/>
          <w:i/>
          <w:sz w:val="24"/>
          <w:szCs w:val="24"/>
        </w:rPr>
        <w:t xml:space="preserve">High </w:t>
      </w:r>
      <w:proofErr w:type="spellStart"/>
      <w:r w:rsidR="003036B3" w:rsidRPr="00497684">
        <w:rPr>
          <w:rFonts w:ascii="Times New Roman" w:hAnsi="Times New Roman" w:cs="Times New Roman"/>
          <w:i/>
          <w:sz w:val="24"/>
          <w:szCs w:val="24"/>
        </w:rPr>
        <w:t>Court</w:t>
      </w:r>
      <w:proofErr w:type="spellEnd"/>
      <w:r w:rsidR="003036B3" w:rsidRPr="00497684">
        <w:rPr>
          <w:rFonts w:ascii="Times New Roman" w:hAnsi="Times New Roman" w:cs="Times New Roman"/>
          <w:sz w:val="24"/>
          <w:szCs w:val="24"/>
        </w:rPr>
        <w:t xml:space="preserve"> </w:t>
      </w:r>
      <w:r w:rsidR="00571FAB" w:rsidRPr="00497684">
        <w:rPr>
          <w:rFonts w:ascii="Times New Roman" w:hAnsi="Times New Roman" w:cs="Times New Roman"/>
          <w:sz w:val="24"/>
          <w:szCs w:val="24"/>
        </w:rPr>
        <w:t xml:space="preserve">la planteó el </w:t>
      </w:r>
      <w:r w:rsidR="00BE26BC" w:rsidRPr="00497684">
        <w:rPr>
          <w:rFonts w:ascii="Times New Roman" w:hAnsi="Times New Roman" w:cs="Times New Roman"/>
          <w:sz w:val="24"/>
          <w:szCs w:val="24"/>
        </w:rPr>
        <w:t>20 de diciembre de 2020</w:t>
      </w:r>
      <w:r w:rsidR="00571FAB" w:rsidRPr="00497684">
        <w:rPr>
          <w:rFonts w:ascii="Times New Roman" w:hAnsi="Times New Roman" w:cs="Times New Roman"/>
          <w:sz w:val="24"/>
          <w:szCs w:val="24"/>
        </w:rPr>
        <w:t xml:space="preserve"> con las siguientes preguntas</w:t>
      </w:r>
      <w:r w:rsidR="000624AB" w:rsidRPr="00497684">
        <w:rPr>
          <w:rFonts w:ascii="Times New Roman" w:hAnsi="Times New Roman" w:cs="Times New Roman"/>
          <w:sz w:val="24"/>
          <w:szCs w:val="24"/>
          <w:vertAlign w:val="superscript"/>
        </w:rPr>
        <w:footnoteReference w:id="20"/>
      </w:r>
      <w:r w:rsidR="00571FAB" w:rsidRPr="00497684">
        <w:rPr>
          <w:rFonts w:ascii="Times New Roman" w:hAnsi="Times New Roman" w:cs="Times New Roman"/>
          <w:sz w:val="24"/>
          <w:szCs w:val="24"/>
        </w:rPr>
        <w:t>:</w:t>
      </w:r>
    </w:p>
    <w:p w:rsidR="00BE26BC" w:rsidRPr="00497684" w:rsidRDefault="00240B01" w:rsidP="00F80D2E">
      <w:pPr>
        <w:spacing w:after="0"/>
        <w:jc w:val="both"/>
        <w:rPr>
          <w:rFonts w:ascii="Times New Roman" w:hAnsi="Times New Roman" w:cs="Times New Roman"/>
          <w:sz w:val="24"/>
          <w:szCs w:val="24"/>
        </w:rPr>
      </w:pPr>
      <w:bookmarkStart w:id="3" w:name="_Hlk75265648"/>
      <w:r w:rsidRPr="00497684">
        <w:rPr>
          <w:rFonts w:ascii="Times New Roman" w:hAnsi="Times New Roman" w:cs="Times New Roman"/>
          <w:i/>
          <w:sz w:val="24"/>
          <w:szCs w:val="24"/>
        </w:rPr>
        <w:t xml:space="preserve">1. </w:t>
      </w:r>
      <w:r w:rsidR="00BE26BC" w:rsidRPr="00497684">
        <w:rPr>
          <w:rFonts w:ascii="Times New Roman" w:hAnsi="Times New Roman" w:cs="Times New Roman"/>
          <w:i/>
          <w:sz w:val="24"/>
          <w:szCs w:val="24"/>
        </w:rPr>
        <w:t>Habida cuenta de la naturaleza de las cuestiones que debe resolver el órgano jurisdiccional nacional al decidir si dicta resolución judicial en los términos de un laudo arbitral con arreglo al artículo 66 de la Arbitration Act 1996 [Ley de Arbitraje de 1996], ¿puede una resolución judicial dictada en virtud de esta disposición constituir una «resolución» pertinente del Estado miembro requerido a los efectos del artículo 34, apartado 3, del Reglamento (CE) n.o 44/2001?</w:t>
      </w:r>
      <w:r w:rsidR="00BE26BC" w:rsidRPr="00497684">
        <w:rPr>
          <w:rFonts w:ascii="Times New Roman" w:hAnsi="Times New Roman" w:cs="Times New Roman"/>
          <w:sz w:val="24"/>
          <w:szCs w:val="24"/>
        </w:rPr>
        <w:t xml:space="preserve"> </w:t>
      </w:r>
    </w:p>
    <w:p w:rsidR="00BE26BC" w:rsidRPr="00497684" w:rsidRDefault="00240B01" w:rsidP="00F80D2E">
      <w:pPr>
        <w:spacing w:after="0"/>
        <w:jc w:val="both"/>
        <w:rPr>
          <w:rFonts w:ascii="Times New Roman" w:hAnsi="Times New Roman" w:cs="Times New Roman"/>
          <w:i/>
          <w:sz w:val="24"/>
          <w:szCs w:val="24"/>
        </w:rPr>
      </w:pPr>
      <w:bookmarkStart w:id="4" w:name="_Hlk75267364"/>
      <w:bookmarkStart w:id="5" w:name="_Hlk75267078"/>
      <w:bookmarkEnd w:id="3"/>
      <w:r w:rsidRPr="00497684">
        <w:rPr>
          <w:rFonts w:ascii="Times New Roman" w:hAnsi="Times New Roman" w:cs="Times New Roman"/>
          <w:i/>
          <w:sz w:val="24"/>
          <w:szCs w:val="24"/>
        </w:rPr>
        <w:t xml:space="preserve">2. </w:t>
      </w:r>
      <w:r w:rsidR="00BE26BC" w:rsidRPr="00497684">
        <w:rPr>
          <w:rFonts w:ascii="Times New Roman" w:hAnsi="Times New Roman" w:cs="Times New Roman"/>
          <w:i/>
          <w:sz w:val="24"/>
          <w:szCs w:val="24"/>
        </w:rPr>
        <w:t xml:space="preserve">Habida cuenta de que una resolución judicial dictada en los términos de un laudo arbitral, como la dictada con arreglo al artículo 66 de la Arbitration Act 1996 [Ley de Arbitraje de 1996], no está comprendida en el ámbito de aplicación material del Reglamento n.o 44/2001 en virtud de la excepción del arbitraje de su artículo 1, apartado 2, letra d), </w:t>
      </w:r>
      <w:bookmarkEnd w:id="4"/>
      <w:r w:rsidR="00BE26BC" w:rsidRPr="00497684">
        <w:rPr>
          <w:rFonts w:ascii="Times New Roman" w:hAnsi="Times New Roman" w:cs="Times New Roman"/>
          <w:i/>
          <w:sz w:val="24"/>
          <w:szCs w:val="24"/>
        </w:rPr>
        <w:t xml:space="preserve">¿puede tal resolución judicial constituir una «resolución» pertinente </w:t>
      </w:r>
      <w:bookmarkEnd w:id="5"/>
      <w:r w:rsidR="00BE26BC" w:rsidRPr="00497684">
        <w:rPr>
          <w:rFonts w:ascii="Times New Roman" w:hAnsi="Times New Roman" w:cs="Times New Roman"/>
          <w:i/>
          <w:sz w:val="24"/>
          <w:szCs w:val="24"/>
        </w:rPr>
        <w:t>del Estado miembro requerido a los efectos del artículo 34, apartado 3, del Reglamento n.o 44/2001?</w:t>
      </w:r>
    </w:p>
    <w:p w:rsidR="00A37A54" w:rsidRPr="00497684" w:rsidRDefault="00240B01" w:rsidP="00F80D2E">
      <w:pPr>
        <w:spacing w:after="0"/>
        <w:jc w:val="both"/>
        <w:rPr>
          <w:rFonts w:ascii="Times New Roman" w:hAnsi="Times New Roman" w:cs="Times New Roman"/>
          <w:i/>
          <w:sz w:val="24"/>
          <w:szCs w:val="24"/>
        </w:rPr>
      </w:pPr>
      <w:r w:rsidRPr="00497684">
        <w:rPr>
          <w:rFonts w:ascii="Times New Roman" w:hAnsi="Times New Roman" w:cs="Times New Roman"/>
          <w:i/>
          <w:sz w:val="24"/>
          <w:szCs w:val="24"/>
        </w:rPr>
        <w:t xml:space="preserve">3. </w:t>
      </w:r>
      <w:r w:rsidR="00BE26BC" w:rsidRPr="00497684">
        <w:rPr>
          <w:rFonts w:ascii="Times New Roman" w:hAnsi="Times New Roman" w:cs="Times New Roman"/>
          <w:i/>
          <w:sz w:val="24"/>
          <w:szCs w:val="24"/>
        </w:rPr>
        <w:t>En el supuesto de que el artículo 34, apartado 3, del Reglamento n.o 44/2001 no sea de aplicación, si el reconocimiento y la ejecución de una resolución dictada en otro Estado miembro fuesen contrarios al orden público nacional del Estado miembro requerido, con fundamento en que ello vulneraría el principio de fuerza de cosa juzgada en virtud de un laudo arbitral nacional anterior o de una resolución judicial nacional anterior dictada en los términos del laudo por el órgano jurisdiccional del Estado miembro requerido, ¿cabría invocar el apartado 1 del artículo 34 del Reglamento n.o 44/2001 como motivo para denegar el reconocimiento o la ejecución, o se oponen a ello los apartados 3 y 4 del artículo 34 de dicho Reglamento al establecer motivos tasados por los que la fuerza de cosa juzgada y/o la inconciliabilidad pueden impedir el reconocimiento y la ejecución de una resolución incluida en dicho Reglamento?</w:t>
      </w:r>
    </w:p>
    <w:p w:rsidR="00EA294D" w:rsidRPr="00497684" w:rsidRDefault="00EA294D" w:rsidP="00EA294D">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 </w:t>
      </w:r>
      <w:r w:rsidRPr="00497684">
        <w:rPr>
          <w:rFonts w:ascii="Times New Roman" w:hAnsi="Times New Roman" w:cs="Times New Roman"/>
          <w:i/>
          <w:sz w:val="24"/>
          <w:szCs w:val="24"/>
        </w:rPr>
        <w:t xml:space="preserve">High </w:t>
      </w:r>
      <w:proofErr w:type="spellStart"/>
      <w:r w:rsidRPr="00497684">
        <w:rPr>
          <w:rFonts w:ascii="Times New Roman" w:hAnsi="Times New Roman" w:cs="Times New Roman"/>
          <w:i/>
          <w:sz w:val="24"/>
          <w:szCs w:val="24"/>
        </w:rPr>
        <w:t>Court</w:t>
      </w:r>
      <w:proofErr w:type="spellEnd"/>
      <w:r w:rsidRPr="00497684">
        <w:rPr>
          <w:rFonts w:ascii="Times New Roman" w:hAnsi="Times New Roman" w:cs="Times New Roman"/>
          <w:sz w:val="24"/>
          <w:szCs w:val="24"/>
        </w:rPr>
        <w:t xml:space="preserve"> autorizó al club a apelar ante la </w:t>
      </w:r>
      <w:proofErr w:type="spellStart"/>
      <w:r w:rsidRPr="00497684">
        <w:rPr>
          <w:rFonts w:ascii="Times New Roman" w:hAnsi="Times New Roman" w:cs="Times New Roman"/>
          <w:i/>
          <w:sz w:val="24"/>
          <w:szCs w:val="24"/>
        </w:rPr>
        <w:t>Court</w:t>
      </w:r>
      <w:proofErr w:type="spellEnd"/>
      <w:r w:rsidRPr="00497684">
        <w:rPr>
          <w:rFonts w:ascii="Times New Roman" w:hAnsi="Times New Roman" w:cs="Times New Roman"/>
          <w:i/>
          <w:sz w:val="24"/>
          <w:szCs w:val="24"/>
        </w:rPr>
        <w:t xml:space="preserve"> of Appeal</w:t>
      </w:r>
      <w:r w:rsidRPr="00497684">
        <w:rPr>
          <w:rFonts w:ascii="Times New Roman" w:hAnsi="Times New Roman" w:cs="Times New Roman"/>
          <w:sz w:val="24"/>
          <w:szCs w:val="24"/>
        </w:rPr>
        <w:t xml:space="preserve"> la presentación de dicha cuestión preliminar, si bien no se ha resuelto todavía.</w:t>
      </w:r>
    </w:p>
    <w:p w:rsidR="00EA294D" w:rsidRPr="00497684" w:rsidRDefault="00571FAB" w:rsidP="00EA294D">
      <w:pPr>
        <w:spacing w:after="0"/>
        <w:jc w:val="both"/>
        <w:rPr>
          <w:rFonts w:ascii="Times New Roman" w:hAnsi="Times New Roman" w:cs="Times New Roman"/>
          <w:sz w:val="24"/>
          <w:szCs w:val="24"/>
        </w:rPr>
      </w:pPr>
      <w:r w:rsidRPr="00497684">
        <w:rPr>
          <w:rFonts w:ascii="Times New Roman" w:hAnsi="Times New Roman" w:cs="Times New Roman"/>
          <w:sz w:val="24"/>
          <w:szCs w:val="24"/>
        </w:rPr>
        <w:t>M</w:t>
      </w:r>
      <w:r w:rsidR="00EA294D" w:rsidRPr="00497684">
        <w:rPr>
          <w:rFonts w:ascii="Times New Roman" w:hAnsi="Times New Roman" w:cs="Times New Roman"/>
          <w:sz w:val="24"/>
          <w:szCs w:val="24"/>
        </w:rPr>
        <w:t xml:space="preserve">ediante sentencia de 12 de mayo de 2021, la </w:t>
      </w:r>
      <w:r w:rsidR="00EA294D" w:rsidRPr="00497684">
        <w:rPr>
          <w:rFonts w:ascii="Times New Roman" w:hAnsi="Times New Roman" w:cs="Times New Roman"/>
          <w:i/>
          <w:sz w:val="24"/>
          <w:szCs w:val="24"/>
        </w:rPr>
        <w:t xml:space="preserve">High </w:t>
      </w:r>
      <w:proofErr w:type="spellStart"/>
      <w:r w:rsidR="00EA294D" w:rsidRPr="00497684">
        <w:rPr>
          <w:rFonts w:ascii="Times New Roman" w:hAnsi="Times New Roman" w:cs="Times New Roman"/>
          <w:i/>
          <w:sz w:val="24"/>
          <w:szCs w:val="24"/>
        </w:rPr>
        <w:t>Court</w:t>
      </w:r>
      <w:proofErr w:type="spellEnd"/>
      <w:r w:rsidR="00EA294D" w:rsidRPr="00497684">
        <w:rPr>
          <w:rFonts w:ascii="Times New Roman" w:hAnsi="Times New Roman" w:cs="Times New Roman"/>
          <w:i/>
          <w:sz w:val="24"/>
          <w:szCs w:val="24"/>
        </w:rPr>
        <w:t xml:space="preserve"> </w:t>
      </w:r>
      <w:r w:rsidR="00EA294D" w:rsidRPr="00497684">
        <w:rPr>
          <w:rFonts w:ascii="Times New Roman" w:hAnsi="Times New Roman" w:cs="Times New Roman"/>
          <w:sz w:val="24"/>
          <w:szCs w:val="24"/>
        </w:rPr>
        <w:t>rechazó la solicitud del club P&amp;I de no reconocer la sentencia española por razón de vulneración de los derechos fundamentales del capitán del buque conforme al art. 34(1) Reglamento 44/2001</w:t>
      </w:r>
      <w:r w:rsidR="00EA294D" w:rsidRPr="00497684">
        <w:rPr>
          <w:rStyle w:val="Refernciadenotaapeudepgina"/>
          <w:rFonts w:ascii="Times New Roman" w:hAnsi="Times New Roman" w:cs="Times New Roman"/>
          <w:sz w:val="24"/>
          <w:szCs w:val="24"/>
        </w:rPr>
        <w:footnoteReference w:id="21"/>
      </w:r>
      <w:r w:rsidR="00EA294D" w:rsidRPr="00497684">
        <w:rPr>
          <w:rFonts w:ascii="Times New Roman" w:hAnsi="Times New Roman" w:cs="Times New Roman"/>
          <w:sz w:val="24"/>
          <w:szCs w:val="24"/>
        </w:rPr>
        <w:t xml:space="preserve">. </w:t>
      </w:r>
    </w:p>
    <w:p w:rsidR="005D77D6" w:rsidRPr="00497684" w:rsidRDefault="005D77D6" w:rsidP="00F80D2E">
      <w:pPr>
        <w:pStyle w:val="Pargrafdellista"/>
        <w:spacing w:after="0"/>
        <w:ind w:left="0"/>
        <w:jc w:val="both"/>
        <w:rPr>
          <w:rFonts w:ascii="Times New Roman" w:hAnsi="Times New Roman" w:cs="Times New Roman"/>
          <w:sz w:val="24"/>
          <w:szCs w:val="24"/>
        </w:rPr>
      </w:pPr>
    </w:p>
    <w:p w:rsidR="005D77D6" w:rsidRPr="00497684" w:rsidRDefault="002600D5" w:rsidP="00F80D2E">
      <w:pPr>
        <w:spacing w:after="0"/>
        <w:jc w:val="both"/>
        <w:rPr>
          <w:rFonts w:ascii="Times New Roman" w:hAnsi="Times New Roman" w:cs="Times New Roman"/>
          <w:b/>
          <w:sz w:val="24"/>
          <w:szCs w:val="24"/>
        </w:rPr>
      </w:pPr>
      <w:r w:rsidRPr="00497684">
        <w:rPr>
          <w:rFonts w:ascii="Times New Roman" w:hAnsi="Times New Roman" w:cs="Times New Roman"/>
          <w:b/>
          <w:sz w:val="24"/>
          <w:szCs w:val="24"/>
        </w:rPr>
        <w:t>3</w:t>
      </w:r>
      <w:r w:rsidR="00240B01" w:rsidRPr="00497684">
        <w:rPr>
          <w:rFonts w:ascii="Times New Roman" w:hAnsi="Times New Roman" w:cs="Times New Roman"/>
          <w:b/>
          <w:sz w:val="24"/>
          <w:szCs w:val="24"/>
        </w:rPr>
        <w:t xml:space="preserve">. </w:t>
      </w:r>
      <w:r w:rsidR="005D77D6" w:rsidRPr="00497684">
        <w:rPr>
          <w:rFonts w:ascii="Times New Roman" w:hAnsi="Times New Roman" w:cs="Times New Roman"/>
          <w:b/>
          <w:sz w:val="24"/>
          <w:szCs w:val="24"/>
        </w:rPr>
        <w:t>Régimen jurídico</w:t>
      </w:r>
    </w:p>
    <w:p w:rsidR="00240B01" w:rsidRPr="00497684" w:rsidRDefault="00240B01" w:rsidP="00F80D2E">
      <w:pPr>
        <w:spacing w:after="0"/>
        <w:jc w:val="both"/>
        <w:rPr>
          <w:rFonts w:ascii="Times New Roman" w:hAnsi="Times New Roman" w:cs="Times New Roman"/>
          <w:b/>
          <w:sz w:val="24"/>
          <w:szCs w:val="24"/>
        </w:rPr>
      </w:pPr>
    </w:p>
    <w:p w:rsidR="005D77D6" w:rsidRPr="00497684" w:rsidRDefault="002600D5" w:rsidP="00F80D2E">
      <w:pPr>
        <w:spacing w:after="0"/>
        <w:jc w:val="both"/>
        <w:rPr>
          <w:rFonts w:ascii="Times New Roman" w:hAnsi="Times New Roman" w:cs="Times New Roman"/>
          <w:b/>
          <w:sz w:val="24"/>
          <w:szCs w:val="24"/>
        </w:rPr>
      </w:pPr>
      <w:r w:rsidRPr="00497684">
        <w:rPr>
          <w:rFonts w:ascii="Times New Roman" w:hAnsi="Times New Roman" w:cs="Times New Roman"/>
          <w:b/>
          <w:sz w:val="24"/>
          <w:szCs w:val="24"/>
        </w:rPr>
        <w:t>3</w:t>
      </w:r>
      <w:r w:rsidR="00240B01" w:rsidRPr="00497684">
        <w:rPr>
          <w:rFonts w:ascii="Times New Roman" w:hAnsi="Times New Roman" w:cs="Times New Roman"/>
          <w:b/>
          <w:sz w:val="24"/>
          <w:szCs w:val="24"/>
        </w:rPr>
        <w:t xml:space="preserve">.1. </w:t>
      </w:r>
      <w:r w:rsidR="005D77D6" w:rsidRPr="00497684">
        <w:rPr>
          <w:rFonts w:ascii="Times New Roman" w:hAnsi="Times New Roman" w:cs="Times New Roman"/>
          <w:b/>
          <w:sz w:val="24"/>
          <w:szCs w:val="24"/>
        </w:rPr>
        <w:t>Derecho internacional</w:t>
      </w:r>
    </w:p>
    <w:p w:rsidR="005D77D6" w:rsidRPr="00497684" w:rsidRDefault="00240B0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art. II(3) </w:t>
      </w:r>
      <w:r w:rsidR="005D77D6" w:rsidRPr="00497684">
        <w:rPr>
          <w:rFonts w:ascii="Times New Roman" w:hAnsi="Times New Roman" w:cs="Times New Roman"/>
          <w:sz w:val="24"/>
          <w:szCs w:val="24"/>
        </w:rPr>
        <w:t>Convenio sobre reconocimiento y ejecución de sentencias arbitrales extranjeras, hecho en Nueva York el 10 de junio de 1958 (CNY)</w:t>
      </w:r>
      <w:r w:rsidR="005D77D6" w:rsidRPr="00497684">
        <w:rPr>
          <w:rStyle w:val="Refernciadenotaapeudepgina"/>
          <w:rFonts w:ascii="Times New Roman" w:hAnsi="Times New Roman" w:cs="Times New Roman"/>
          <w:sz w:val="24"/>
          <w:szCs w:val="24"/>
        </w:rPr>
        <w:footnoteReference w:id="22"/>
      </w:r>
      <w:bookmarkStart w:id="6" w:name="_Hlk75111037"/>
      <w:r w:rsidRPr="00497684">
        <w:rPr>
          <w:rFonts w:ascii="Times New Roman" w:hAnsi="Times New Roman" w:cs="Times New Roman"/>
          <w:sz w:val="24"/>
          <w:szCs w:val="24"/>
        </w:rPr>
        <w:t xml:space="preserve"> d</w:t>
      </w:r>
      <w:r w:rsidR="005D77D6" w:rsidRPr="00497684">
        <w:rPr>
          <w:rFonts w:ascii="Times New Roman" w:hAnsi="Times New Roman" w:cs="Times New Roman"/>
          <w:sz w:val="24"/>
          <w:szCs w:val="24"/>
        </w:rPr>
        <w:t>ispone: “</w:t>
      </w:r>
      <w:r w:rsidR="005D77D6" w:rsidRPr="00497684">
        <w:rPr>
          <w:rFonts w:ascii="Times New Roman" w:hAnsi="Times New Roman" w:cs="Times New Roman"/>
          <w:i/>
          <w:sz w:val="24"/>
          <w:szCs w:val="24"/>
        </w:rPr>
        <w:t xml:space="preserve">El Tribunal de uno de los Estados Contratantes al que se someta un litigio respecto del cual las partes hayan concluido un acuerdo en el sentido del presente artículo, remitirá a las partes al </w:t>
      </w:r>
      <w:r w:rsidR="005D77D6" w:rsidRPr="00497684">
        <w:rPr>
          <w:rFonts w:ascii="Times New Roman" w:hAnsi="Times New Roman" w:cs="Times New Roman"/>
          <w:i/>
          <w:sz w:val="24"/>
          <w:szCs w:val="24"/>
        </w:rPr>
        <w:lastRenderedPageBreak/>
        <w:t>arbitraje, a instancia de una de ellas, a menos que compruebe que dicho acuerdo es nulo, ineficaz o inaplicable</w:t>
      </w:r>
      <w:r w:rsidR="005D77D6" w:rsidRPr="00497684">
        <w:rPr>
          <w:rFonts w:ascii="Times New Roman" w:hAnsi="Times New Roman" w:cs="Times New Roman"/>
          <w:sz w:val="24"/>
          <w:szCs w:val="24"/>
        </w:rPr>
        <w:t>”.</w:t>
      </w:r>
    </w:p>
    <w:bookmarkEnd w:id="6"/>
    <w:p w:rsidR="005D77D6" w:rsidRPr="00497684" w:rsidRDefault="005D77D6" w:rsidP="00F80D2E">
      <w:pPr>
        <w:spacing w:after="0"/>
        <w:jc w:val="both"/>
        <w:rPr>
          <w:rFonts w:ascii="Times New Roman" w:hAnsi="Times New Roman" w:cs="Times New Roman"/>
          <w:b/>
          <w:sz w:val="24"/>
          <w:szCs w:val="24"/>
        </w:rPr>
      </w:pPr>
    </w:p>
    <w:p w:rsidR="005D77D6" w:rsidRPr="00497684" w:rsidRDefault="002600D5" w:rsidP="00F80D2E">
      <w:pPr>
        <w:spacing w:after="0"/>
        <w:jc w:val="both"/>
        <w:rPr>
          <w:rFonts w:ascii="Times New Roman" w:hAnsi="Times New Roman" w:cs="Times New Roman"/>
          <w:b/>
          <w:sz w:val="24"/>
          <w:szCs w:val="24"/>
        </w:rPr>
      </w:pPr>
      <w:r w:rsidRPr="00497684">
        <w:rPr>
          <w:rFonts w:ascii="Times New Roman" w:hAnsi="Times New Roman" w:cs="Times New Roman"/>
          <w:b/>
          <w:sz w:val="24"/>
          <w:szCs w:val="24"/>
        </w:rPr>
        <w:t>3</w:t>
      </w:r>
      <w:r w:rsidR="00240B01" w:rsidRPr="00497684">
        <w:rPr>
          <w:rFonts w:ascii="Times New Roman" w:hAnsi="Times New Roman" w:cs="Times New Roman"/>
          <w:b/>
          <w:sz w:val="24"/>
          <w:szCs w:val="24"/>
        </w:rPr>
        <w:t xml:space="preserve">.2. </w:t>
      </w:r>
      <w:r w:rsidR="005D77D6" w:rsidRPr="00497684">
        <w:rPr>
          <w:rFonts w:ascii="Times New Roman" w:hAnsi="Times New Roman" w:cs="Times New Roman"/>
          <w:b/>
          <w:sz w:val="24"/>
          <w:szCs w:val="24"/>
        </w:rPr>
        <w:t>Derecho comunitario</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El apartado n. 25 del Preámbulo del Reglamento 44/2001 establece que “</w:t>
      </w:r>
      <w:r w:rsidRPr="00497684">
        <w:rPr>
          <w:rFonts w:ascii="Times New Roman" w:hAnsi="Times New Roman" w:cs="Times New Roman"/>
          <w:i/>
          <w:sz w:val="24"/>
          <w:szCs w:val="24"/>
        </w:rPr>
        <w:t>El respeto de los compromisos internacionales contraídos por los Estados miembros justifican que el presente Reglamento no afecte a los convenios en los que son parte los Estados miembros y se refieren a materias especiales</w:t>
      </w:r>
      <w:r w:rsidRPr="00497684">
        <w:rPr>
          <w:rFonts w:ascii="Times New Roman" w:hAnsi="Times New Roman" w:cs="Times New Roman"/>
          <w:sz w:val="24"/>
          <w:szCs w:val="24"/>
        </w:rPr>
        <w:t>”.</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El art. 1(1) del Reglamento 44/2001 señala que: “</w:t>
      </w:r>
      <w:r w:rsidRPr="00497684">
        <w:rPr>
          <w:rFonts w:ascii="Times New Roman" w:hAnsi="Times New Roman" w:cs="Times New Roman"/>
          <w:i/>
          <w:sz w:val="24"/>
          <w:szCs w:val="24"/>
        </w:rPr>
        <w:t>El presente Reglamento se aplicará en materia civil y mercantil con independencia de la naturaleza del órgano jurisdiccional. No incluirá, en particular, las materias fiscal, aduanera y administrativa</w:t>
      </w:r>
      <w:r w:rsidRPr="00497684">
        <w:rPr>
          <w:rFonts w:ascii="Times New Roman" w:hAnsi="Times New Roman" w:cs="Times New Roman"/>
          <w:sz w:val="24"/>
          <w:szCs w:val="24"/>
        </w:rPr>
        <w:t>”. El art. 1(2) del mismo Reglamento dispone que “</w:t>
      </w:r>
      <w:r w:rsidRPr="00497684">
        <w:rPr>
          <w:rFonts w:ascii="Times New Roman" w:hAnsi="Times New Roman" w:cs="Times New Roman"/>
          <w:i/>
          <w:sz w:val="24"/>
          <w:szCs w:val="24"/>
        </w:rPr>
        <w:t>Se excluirá del ámbito de aplicación del presente Reglamento: (…) (d) arbitraje</w:t>
      </w:r>
      <w:r w:rsidRPr="00497684">
        <w:rPr>
          <w:rFonts w:ascii="Times New Roman" w:hAnsi="Times New Roman" w:cs="Times New Roman"/>
          <w:sz w:val="24"/>
          <w:szCs w:val="24"/>
        </w:rPr>
        <w:t>”.</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El art. 8 del Reglamento 44/2001 establece que “</w:t>
      </w:r>
      <w:r w:rsidRPr="00497684">
        <w:rPr>
          <w:rFonts w:ascii="Times New Roman" w:hAnsi="Times New Roman" w:cs="Times New Roman"/>
          <w:i/>
          <w:sz w:val="24"/>
          <w:szCs w:val="24"/>
        </w:rPr>
        <w:t>En materia de seguros, se determinará la competencia con arreglo a las disposiciones de la presente sección, sin perjuicio de lo dispuesto en el artículo 4 y en el punto 5 del artículo 5</w:t>
      </w:r>
      <w:r w:rsidRPr="00497684">
        <w:rPr>
          <w:rFonts w:ascii="Times New Roman" w:hAnsi="Times New Roman" w:cs="Times New Roman"/>
          <w:sz w:val="24"/>
          <w:szCs w:val="24"/>
        </w:rPr>
        <w:t>”.</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El art. 10 Reglamento 44/2001 señala que “</w:t>
      </w:r>
      <w:r w:rsidRPr="00497684">
        <w:rPr>
          <w:rFonts w:ascii="Times New Roman" w:hAnsi="Times New Roman" w:cs="Times New Roman"/>
          <w:i/>
          <w:sz w:val="24"/>
          <w:szCs w:val="24"/>
        </w:rPr>
        <w:t>El asegurador podrá, además, ser demandado ante el tribunal del lugar en que se hubiere producido el hecho dañoso cuando se tratare de seguros de responsabilidad o de seguros relativos a inmuebles</w:t>
      </w:r>
      <w:r w:rsidRPr="00497684">
        <w:rPr>
          <w:rFonts w:ascii="Times New Roman" w:hAnsi="Times New Roman" w:cs="Times New Roman"/>
          <w:sz w:val="24"/>
          <w:szCs w:val="24"/>
        </w:rPr>
        <w:t>”.</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art. 11 Reglamento 44/2001 indica que “1. </w:t>
      </w:r>
      <w:r w:rsidRPr="00497684">
        <w:rPr>
          <w:rFonts w:ascii="Times New Roman" w:hAnsi="Times New Roman" w:cs="Times New Roman"/>
          <w:i/>
          <w:sz w:val="24"/>
          <w:szCs w:val="24"/>
        </w:rPr>
        <w:t>En materia de seguros de responsabilidad civil, el asegurador podrá ser demandado ante el tribunal que conociere de la acción de la persona perjudicada contra el asegurado, cuando la ley de este tribunal lo permitiere</w:t>
      </w:r>
      <w:r w:rsidRPr="00497684">
        <w:rPr>
          <w:rFonts w:ascii="Times New Roman" w:hAnsi="Times New Roman" w:cs="Times New Roman"/>
          <w:sz w:val="24"/>
          <w:szCs w:val="24"/>
        </w:rPr>
        <w:t xml:space="preserve">. </w:t>
      </w:r>
      <w:r w:rsidRPr="00497684">
        <w:rPr>
          <w:rFonts w:ascii="Times New Roman" w:hAnsi="Times New Roman" w:cs="Times New Roman"/>
          <w:i/>
          <w:sz w:val="24"/>
          <w:szCs w:val="24"/>
        </w:rPr>
        <w:t>2. Las disposiciones de los artículos 8, 9 y 10 serán aplicables en los casos de acción directa entablada por la persona perjudicada contra el asegurador cuando la acción directa fuere posible</w:t>
      </w:r>
      <w:r w:rsidRPr="00497684">
        <w:rPr>
          <w:rFonts w:ascii="Times New Roman" w:hAnsi="Times New Roman" w:cs="Times New Roman"/>
          <w:sz w:val="24"/>
          <w:szCs w:val="24"/>
        </w:rPr>
        <w:t>”.</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El art. 32 Reglamento 44/2001 indica que “</w:t>
      </w:r>
      <w:r w:rsidRPr="00497684">
        <w:rPr>
          <w:rFonts w:ascii="Times New Roman" w:hAnsi="Times New Roman" w:cs="Times New Roman"/>
          <w:i/>
          <w:sz w:val="24"/>
          <w:szCs w:val="24"/>
        </w:rPr>
        <w:t>Se entenderá por "resolución", a los efectos del presente Reglamento, cualquier decisión adoptada por un tribunal de un Estado miembro con independencia de la denominación que recibiere, tal como auto, sentencia, providencia o mandamiento de ejecución, así como el acto por el cual el secretario judicial liquidare las costas del proceso</w:t>
      </w:r>
      <w:r w:rsidRPr="00497684">
        <w:rPr>
          <w:rFonts w:ascii="Times New Roman" w:hAnsi="Times New Roman" w:cs="Times New Roman"/>
          <w:sz w:val="24"/>
          <w:szCs w:val="24"/>
        </w:rPr>
        <w:t>”.</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El art. 33 Reglamento 44/2001 establece que “</w:t>
      </w:r>
      <w:r w:rsidRPr="00497684">
        <w:rPr>
          <w:rFonts w:ascii="Times New Roman" w:hAnsi="Times New Roman" w:cs="Times New Roman"/>
          <w:i/>
          <w:sz w:val="24"/>
          <w:szCs w:val="24"/>
        </w:rPr>
        <w:t>Las resoluciones dictadas en un Estado miembro serán reconocidas en los demás Estados miembros, sin que fuere necesario recurrir a procedimiento alguno</w:t>
      </w:r>
      <w:r w:rsidRPr="00497684">
        <w:rPr>
          <w:rFonts w:ascii="Times New Roman" w:hAnsi="Times New Roman" w:cs="Times New Roman"/>
          <w:sz w:val="24"/>
          <w:szCs w:val="24"/>
        </w:rPr>
        <w:t xml:space="preserve">. </w:t>
      </w:r>
      <w:r w:rsidRPr="00497684">
        <w:rPr>
          <w:rFonts w:ascii="Times New Roman" w:hAnsi="Times New Roman" w:cs="Times New Roman"/>
          <w:i/>
          <w:sz w:val="24"/>
          <w:szCs w:val="24"/>
        </w:rPr>
        <w:t>2. En caso de oposición, cualquier parte interesada que invocare el reconocimiento a título principal podrá solicitar, por el procedimiento previsto en las secciones 2 y 3 del presente capítulo, que se reconozca la resolución</w:t>
      </w:r>
      <w:r w:rsidRPr="00497684">
        <w:rPr>
          <w:rFonts w:ascii="Times New Roman" w:hAnsi="Times New Roman" w:cs="Times New Roman"/>
          <w:sz w:val="24"/>
          <w:szCs w:val="24"/>
        </w:rPr>
        <w:t>”.</w:t>
      </w:r>
    </w:p>
    <w:p w:rsidR="005D77D6"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art. 34 del Reglamento 44/2001 </w:t>
      </w:r>
      <w:bookmarkStart w:id="7" w:name="_Hlk75259571"/>
      <w:r w:rsidRPr="00497684">
        <w:rPr>
          <w:rFonts w:ascii="Times New Roman" w:hAnsi="Times New Roman" w:cs="Times New Roman"/>
          <w:sz w:val="24"/>
          <w:szCs w:val="24"/>
        </w:rPr>
        <w:t>dispone que: “</w:t>
      </w:r>
      <w:r w:rsidRPr="00497684">
        <w:rPr>
          <w:rFonts w:ascii="Times New Roman" w:hAnsi="Times New Roman" w:cs="Times New Roman"/>
          <w:i/>
          <w:sz w:val="24"/>
          <w:szCs w:val="24"/>
        </w:rPr>
        <w:t>Las decisiones no se reconocerán: 1) si el reconocimiento fuere manifiestamente contrario al orden público del Estado miembro requerido.</w:t>
      </w:r>
      <w:r w:rsidRPr="00497684">
        <w:rPr>
          <w:rFonts w:ascii="Times New Roman" w:hAnsi="Times New Roman" w:cs="Times New Roman"/>
          <w:sz w:val="24"/>
          <w:szCs w:val="24"/>
        </w:rPr>
        <w:t xml:space="preserve"> (…) </w:t>
      </w:r>
      <w:r w:rsidRPr="00497684">
        <w:rPr>
          <w:rFonts w:ascii="Times New Roman" w:hAnsi="Times New Roman" w:cs="Times New Roman"/>
          <w:i/>
          <w:sz w:val="24"/>
          <w:szCs w:val="24"/>
        </w:rPr>
        <w:t>3) si la resolución fuere inconciliable con una resolución dictada entre las mismas partes en el Estado miembro requerido</w:t>
      </w:r>
      <w:r w:rsidRPr="00497684">
        <w:rPr>
          <w:rFonts w:ascii="Times New Roman" w:hAnsi="Times New Roman" w:cs="Times New Roman"/>
          <w:sz w:val="24"/>
          <w:szCs w:val="24"/>
        </w:rPr>
        <w:t>”.</w:t>
      </w:r>
    </w:p>
    <w:bookmarkEnd w:id="7"/>
    <w:p w:rsidR="005D77D6" w:rsidRPr="00497684" w:rsidRDefault="005D77D6" w:rsidP="00F80D2E">
      <w:pPr>
        <w:spacing w:after="0"/>
        <w:jc w:val="both"/>
        <w:rPr>
          <w:rFonts w:ascii="Times New Roman" w:hAnsi="Times New Roman" w:cs="Times New Roman"/>
          <w:b/>
          <w:sz w:val="24"/>
          <w:szCs w:val="24"/>
        </w:rPr>
      </w:pPr>
    </w:p>
    <w:p w:rsidR="005D77D6" w:rsidRPr="00497684" w:rsidRDefault="002600D5" w:rsidP="00F80D2E">
      <w:pPr>
        <w:spacing w:after="0"/>
        <w:jc w:val="both"/>
        <w:rPr>
          <w:rFonts w:ascii="Times New Roman" w:hAnsi="Times New Roman" w:cs="Times New Roman"/>
          <w:b/>
          <w:sz w:val="24"/>
          <w:szCs w:val="24"/>
        </w:rPr>
      </w:pPr>
      <w:r w:rsidRPr="00497684">
        <w:rPr>
          <w:rFonts w:ascii="Times New Roman" w:hAnsi="Times New Roman" w:cs="Times New Roman"/>
          <w:b/>
          <w:sz w:val="24"/>
          <w:szCs w:val="24"/>
        </w:rPr>
        <w:t>3</w:t>
      </w:r>
      <w:r w:rsidR="00240B01" w:rsidRPr="00497684">
        <w:rPr>
          <w:rFonts w:ascii="Times New Roman" w:hAnsi="Times New Roman" w:cs="Times New Roman"/>
          <w:b/>
          <w:sz w:val="24"/>
          <w:szCs w:val="24"/>
        </w:rPr>
        <w:t xml:space="preserve">.3. </w:t>
      </w:r>
      <w:r w:rsidR="005D77D6" w:rsidRPr="00497684">
        <w:rPr>
          <w:rFonts w:ascii="Times New Roman" w:hAnsi="Times New Roman" w:cs="Times New Roman"/>
          <w:b/>
          <w:sz w:val="24"/>
          <w:szCs w:val="24"/>
        </w:rPr>
        <w:t>Derecho inglés</w:t>
      </w:r>
      <w:r w:rsidR="00516C13" w:rsidRPr="00497684">
        <w:rPr>
          <w:rFonts w:ascii="Times New Roman" w:hAnsi="Times New Roman" w:cs="Times New Roman"/>
          <w:b/>
          <w:sz w:val="24"/>
          <w:szCs w:val="24"/>
        </w:rPr>
        <w:t xml:space="preserve">: sec. 66 AA 1996 y jurisprudencia británica: el caso </w:t>
      </w:r>
      <w:r w:rsidR="00516C13" w:rsidRPr="00497684">
        <w:rPr>
          <w:rFonts w:ascii="Times New Roman" w:hAnsi="Times New Roman" w:cs="Times New Roman"/>
          <w:b/>
          <w:i/>
          <w:sz w:val="24"/>
          <w:szCs w:val="24"/>
        </w:rPr>
        <w:t xml:space="preserve">West </w:t>
      </w:r>
      <w:proofErr w:type="spellStart"/>
      <w:r w:rsidR="00516C13" w:rsidRPr="00497684">
        <w:rPr>
          <w:rFonts w:ascii="Times New Roman" w:hAnsi="Times New Roman" w:cs="Times New Roman"/>
          <w:b/>
          <w:i/>
          <w:sz w:val="24"/>
          <w:szCs w:val="24"/>
        </w:rPr>
        <w:t>Tankers</w:t>
      </w:r>
      <w:proofErr w:type="spellEnd"/>
      <w:r w:rsidR="00516C13" w:rsidRPr="00497684">
        <w:rPr>
          <w:rFonts w:ascii="Times New Roman" w:hAnsi="Times New Roman" w:cs="Times New Roman"/>
          <w:b/>
          <w:i/>
          <w:sz w:val="24"/>
          <w:szCs w:val="24"/>
        </w:rPr>
        <w:t xml:space="preserve"> </w:t>
      </w:r>
      <w:r w:rsidR="00114244" w:rsidRPr="00497684">
        <w:rPr>
          <w:rFonts w:ascii="Times New Roman" w:hAnsi="Times New Roman" w:cs="Times New Roman"/>
          <w:b/>
          <w:i/>
          <w:sz w:val="24"/>
          <w:szCs w:val="24"/>
        </w:rPr>
        <w:t>v. Allianz</w:t>
      </w:r>
      <w:r w:rsidR="00114244" w:rsidRPr="00497684">
        <w:rPr>
          <w:rFonts w:ascii="Times New Roman" w:hAnsi="Times New Roman" w:cs="Times New Roman"/>
          <w:b/>
          <w:sz w:val="24"/>
          <w:szCs w:val="24"/>
        </w:rPr>
        <w:t xml:space="preserve"> </w:t>
      </w:r>
      <w:r w:rsidR="00516C13" w:rsidRPr="00497684">
        <w:rPr>
          <w:rFonts w:ascii="Times New Roman" w:hAnsi="Times New Roman" w:cs="Times New Roman"/>
          <w:b/>
          <w:sz w:val="24"/>
          <w:szCs w:val="24"/>
        </w:rPr>
        <w:t>2012 de ejecución judicial de un laudo arbitral meramente declarativo</w:t>
      </w:r>
    </w:p>
    <w:p w:rsidR="00240B01" w:rsidRPr="00497684" w:rsidRDefault="005D77D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 sección 66 </w:t>
      </w:r>
      <w:r w:rsidR="000B5899" w:rsidRPr="00497684">
        <w:rPr>
          <w:rFonts w:ascii="Times New Roman" w:hAnsi="Times New Roman" w:cs="Times New Roman"/>
          <w:sz w:val="24"/>
          <w:szCs w:val="24"/>
        </w:rPr>
        <w:t>AA</w:t>
      </w:r>
      <w:r w:rsidRPr="00497684">
        <w:rPr>
          <w:rFonts w:ascii="Times New Roman" w:hAnsi="Times New Roman" w:cs="Times New Roman"/>
          <w:i/>
          <w:sz w:val="24"/>
          <w:szCs w:val="24"/>
        </w:rPr>
        <w:t xml:space="preserve"> 1996</w:t>
      </w:r>
      <w:r w:rsidR="000B5899" w:rsidRPr="00497684">
        <w:rPr>
          <w:rFonts w:ascii="Times New Roman" w:hAnsi="Times New Roman" w:cs="Times New Roman"/>
          <w:i/>
          <w:sz w:val="24"/>
          <w:szCs w:val="24"/>
        </w:rPr>
        <w:t>,</w:t>
      </w:r>
      <w:r w:rsidRPr="00497684">
        <w:rPr>
          <w:rFonts w:ascii="Times New Roman" w:hAnsi="Times New Roman" w:cs="Times New Roman"/>
          <w:sz w:val="24"/>
          <w:szCs w:val="24"/>
        </w:rPr>
        <w:t xml:space="preserve"> titulad</w:t>
      </w:r>
      <w:r w:rsidR="000B5899" w:rsidRPr="00497684">
        <w:rPr>
          <w:rFonts w:ascii="Times New Roman" w:hAnsi="Times New Roman" w:cs="Times New Roman"/>
          <w:sz w:val="24"/>
          <w:szCs w:val="24"/>
        </w:rPr>
        <w:t>a</w:t>
      </w:r>
      <w:r w:rsidRPr="00497684">
        <w:rPr>
          <w:rFonts w:ascii="Times New Roman" w:hAnsi="Times New Roman" w:cs="Times New Roman"/>
          <w:sz w:val="24"/>
          <w:szCs w:val="24"/>
        </w:rPr>
        <w:t xml:space="preserve"> “Ejecución del laudo”</w:t>
      </w:r>
      <w:r w:rsidR="000B5899" w:rsidRPr="00497684">
        <w:rPr>
          <w:rFonts w:ascii="Times New Roman" w:hAnsi="Times New Roman" w:cs="Times New Roman"/>
          <w:sz w:val="24"/>
          <w:szCs w:val="24"/>
        </w:rPr>
        <w:t>,</w:t>
      </w:r>
      <w:r w:rsidRPr="00497684">
        <w:rPr>
          <w:rFonts w:ascii="Times New Roman" w:hAnsi="Times New Roman" w:cs="Times New Roman"/>
          <w:sz w:val="24"/>
          <w:szCs w:val="24"/>
        </w:rPr>
        <w:t xml:space="preserve"> dispone que: </w:t>
      </w:r>
      <w:r w:rsidRPr="00497684">
        <w:rPr>
          <w:rFonts w:ascii="Times New Roman" w:hAnsi="Times New Roman" w:cs="Times New Roman"/>
          <w:i/>
          <w:sz w:val="24"/>
          <w:szCs w:val="24"/>
        </w:rPr>
        <w:t>“(1) Un laudo emitido por un tribunal arbitral conforme a un acuerdo arbitral puede, con permiso del tribunal, puede ser ejecutado de la misma manera como una decisión u orden del tribunal jurisdiccional con el mismo efecto. (2) Cuando se conceda tal permiso, se podrá dictar una decisión judicial en los términos del laudo arbitral</w:t>
      </w:r>
      <w:r w:rsidRPr="00497684">
        <w:rPr>
          <w:rFonts w:ascii="Times New Roman" w:hAnsi="Times New Roman" w:cs="Times New Roman"/>
          <w:sz w:val="24"/>
          <w:szCs w:val="24"/>
        </w:rPr>
        <w:t>”.</w:t>
      </w:r>
    </w:p>
    <w:p w:rsidR="00516C13" w:rsidRPr="00497684" w:rsidRDefault="00516C13" w:rsidP="00516C13">
      <w:pPr>
        <w:spacing w:after="0"/>
        <w:jc w:val="both"/>
        <w:rPr>
          <w:rFonts w:ascii="Times New Roman" w:hAnsi="Times New Roman" w:cs="Times New Roman"/>
          <w:sz w:val="24"/>
          <w:szCs w:val="24"/>
        </w:rPr>
      </w:pPr>
      <w:r w:rsidRPr="00497684">
        <w:rPr>
          <w:rFonts w:ascii="Times New Roman" w:hAnsi="Times New Roman" w:cs="Times New Roman"/>
          <w:sz w:val="24"/>
          <w:szCs w:val="24"/>
        </w:rPr>
        <w:lastRenderedPageBreak/>
        <w:t xml:space="preserve">Además del Derecho positivo, hay también que traer a colación la jurisprudencia británica de interés para la cuestión prejudicial, utilizada por 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en 2014 para ejecutar judicialmente el laudo arbitral. </w:t>
      </w:r>
      <w:r w:rsidR="00EA294D" w:rsidRPr="00497684">
        <w:rPr>
          <w:rFonts w:ascii="Times New Roman" w:hAnsi="Times New Roman" w:cs="Times New Roman"/>
          <w:sz w:val="24"/>
          <w:szCs w:val="24"/>
        </w:rPr>
        <w:t>L</w:t>
      </w:r>
      <w:r w:rsidRPr="00497684">
        <w:rPr>
          <w:rFonts w:ascii="Times New Roman" w:hAnsi="Times New Roman" w:cs="Times New Roman"/>
          <w:sz w:val="24"/>
          <w:szCs w:val="24"/>
        </w:rPr>
        <w:t xml:space="preserve">a </w:t>
      </w:r>
      <w:r w:rsidRPr="00497684">
        <w:rPr>
          <w:rFonts w:ascii="Times New Roman" w:hAnsi="Times New Roman" w:cs="Times New Roman"/>
          <w:i/>
          <w:sz w:val="24"/>
          <w:szCs w:val="24"/>
        </w:rPr>
        <w:t>High</w:t>
      </w:r>
      <w:r w:rsidRPr="00497684">
        <w:rPr>
          <w:rFonts w:ascii="Times New Roman" w:hAnsi="Times New Roman" w:cs="Times New Roman"/>
          <w:sz w:val="24"/>
          <w:szCs w:val="24"/>
        </w:rPr>
        <w:t xml:space="preserve"> </w:t>
      </w:r>
      <w:proofErr w:type="spellStart"/>
      <w:r w:rsidRPr="00497684">
        <w:rPr>
          <w:rFonts w:ascii="Times New Roman" w:hAnsi="Times New Roman" w:cs="Times New Roman"/>
          <w:i/>
          <w:sz w:val="24"/>
          <w:szCs w:val="24"/>
        </w:rPr>
        <w:t>Court</w:t>
      </w:r>
      <w:proofErr w:type="spellEnd"/>
      <w:r w:rsidRPr="00497684">
        <w:rPr>
          <w:rFonts w:ascii="Times New Roman" w:hAnsi="Times New Roman" w:cs="Times New Roman"/>
          <w:sz w:val="24"/>
          <w:szCs w:val="24"/>
        </w:rPr>
        <w:t xml:space="preserve"> cita el caso británico </w:t>
      </w:r>
      <w:r w:rsidRPr="00497684">
        <w:rPr>
          <w:rFonts w:ascii="Times New Roman" w:hAnsi="Times New Roman" w:cs="Times New Roman"/>
          <w:i/>
          <w:sz w:val="24"/>
          <w:szCs w:val="24"/>
        </w:rPr>
        <w:t xml:space="preserve">West </w:t>
      </w:r>
      <w:proofErr w:type="spellStart"/>
      <w:r w:rsidRPr="00497684">
        <w:rPr>
          <w:rFonts w:ascii="Times New Roman" w:hAnsi="Times New Roman" w:cs="Times New Roman"/>
          <w:i/>
          <w:sz w:val="24"/>
          <w:szCs w:val="24"/>
        </w:rPr>
        <w:t>Tankers</w:t>
      </w:r>
      <w:proofErr w:type="spellEnd"/>
      <w:r w:rsidRPr="00497684">
        <w:rPr>
          <w:rFonts w:ascii="Times New Roman" w:hAnsi="Times New Roman" w:cs="Times New Roman"/>
          <w:sz w:val="24"/>
          <w:szCs w:val="24"/>
        </w:rPr>
        <w:t xml:space="preserve"> </w:t>
      </w:r>
      <w:r w:rsidR="00114244" w:rsidRPr="00497684">
        <w:rPr>
          <w:rFonts w:ascii="Times New Roman" w:hAnsi="Times New Roman" w:cs="Times New Roman"/>
          <w:i/>
          <w:sz w:val="24"/>
          <w:szCs w:val="24"/>
        </w:rPr>
        <w:t xml:space="preserve">v. Allianz </w:t>
      </w:r>
      <w:r w:rsidRPr="00497684">
        <w:rPr>
          <w:rFonts w:ascii="Times New Roman" w:hAnsi="Times New Roman" w:cs="Times New Roman"/>
          <w:sz w:val="24"/>
          <w:szCs w:val="24"/>
        </w:rPr>
        <w:t>de 2012</w:t>
      </w:r>
      <w:r w:rsidR="00EA294D" w:rsidRPr="00497684">
        <w:rPr>
          <w:rFonts w:ascii="Times New Roman" w:hAnsi="Times New Roman" w:cs="Times New Roman"/>
          <w:sz w:val="24"/>
          <w:szCs w:val="24"/>
        </w:rPr>
        <w:t>, un asunto sobre el cual se planteó inicialmente una cuestión preliminar</w:t>
      </w:r>
      <w:r w:rsidR="00571FAB" w:rsidRPr="00497684">
        <w:rPr>
          <w:rFonts w:ascii="Times New Roman" w:hAnsi="Times New Roman" w:cs="Times New Roman"/>
          <w:sz w:val="24"/>
          <w:szCs w:val="24"/>
        </w:rPr>
        <w:t xml:space="preserve"> al TJUE</w:t>
      </w:r>
      <w:r w:rsidR="00EA294D" w:rsidRPr="00497684">
        <w:rPr>
          <w:rFonts w:ascii="Times New Roman" w:hAnsi="Times New Roman" w:cs="Times New Roman"/>
          <w:sz w:val="24"/>
          <w:szCs w:val="24"/>
        </w:rPr>
        <w:t>.</w:t>
      </w:r>
      <w:r w:rsidRPr="00497684">
        <w:rPr>
          <w:rFonts w:ascii="Times New Roman" w:hAnsi="Times New Roman" w:cs="Times New Roman"/>
          <w:sz w:val="24"/>
          <w:szCs w:val="24"/>
        </w:rPr>
        <w:t xml:space="preserve"> </w:t>
      </w:r>
    </w:p>
    <w:p w:rsidR="00516C13" w:rsidRPr="00497684" w:rsidRDefault="00516C13" w:rsidP="00516C1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w:t>
      </w:r>
      <w:r w:rsidR="00EA294D" w:rsidRPr="00497684">
        <w:rPr>
          <w:rFonts w:ascii="Times New Roman" w:hAnsi="Times New Roman" w:cs="Times New Roman"/>
          <w:sz w:val="24"/>
          <w:szCs w:val="24"/>
        </w:rPr>
        <w:t xml:space="preserve">concreto, en </w:t>
      </w:r>
      <w:r w:rsidRPr="00497684">
        <w:rPr>
          <w:rFonts w:ascii="Times New Roman" w:hAnsi="Times New Roman" w:cs="Times New Roman"/>
          <w:sz w:val="24"/>
          <w:szCs w:val="24"/>
        </w:rPr>
        <w:t xml:space="preserve">la sentencia del TJUE en el caso </w:t>
      </w:r>
      <w:r w:rsidRPr="00497684">
        <w:rPr>
          <w:rFonts w:ascii="Times New Roman" w:hAnsi="Times New Roman" w:cs="Times New Roman"/>
          <w:i/>
          <w:sz w:val="24"/>
          <w:szCs w:val="24"/>
        </w:rPr>
        <w:t xml:space="preserve">West </w:t>
      </w:r>
      <w:proofErr w:type="spellStart"/>
      <w:r w:rsidRPr="00497684">
        <w:rPr>
          <w:rFonts w:ascii="Times New Roman" w:hAnsi="Times New Roman" w:cs="Times New Roman"/>
          <w:i/>
          <w:sz w:val="24"/>
          <w:szCs w:val="24"/>
        </w:rPr>
        <w:t>Tankers</w:t>
      </w:r>
      <w:proofErr w:type="spellEnd"/>
      <w:r w:rsidRPr="00497684">
        <w:rPr>
          <w:rFonts w:ascii="Times New Roman" w:hAnsi="Times New Roman" w:cs="Times New Roman"/>
          <w:sz w:val="24"/>
          <w:szCs w:val="24"/>
        </w:rPr>
        <w:t xml:space="preserve"> de 10 de febrero de 2009</w:t>
      </w:r>
      <w:r w:rsidRPr="00497684">
        <w:rPr>
          <w:rStyle w:val="Refernciadenotaapeudepgina"/>
          <w:rFonts w:ascii="Times New Roman" w:hAnsi="Times New Roman" w:cs="Times New Roman"/>
          <w:sz w:val="24"/>
          <w:szCs w:val="24"/>
        </w:rPr>
        <w:footnoteReference w:id="23"/>
      </w:r>
      <w:r w:rsidRPr="00497684">
        <w:rPr>
          <w:rFonts w:ascii="Times New Roman" w:hAnsi="Times New Roman" w:cs="Times New Roman"/>
          <w:sz w:val="24"/>
          <w:szCs w:val="24"/>
        </w:rPr>
        <w:t xml:space="preserve">, </w:t>
      </w:r>
      <w:r w:rsidR="00EA294D" w:rsidRPr="00497684">
        <w:rPr>
          <w:rFonts w:ascii="Times New Roman" w:hAnsi="Times New Roman" w:cs="Times New Roman"/>
          <w:sz w:val="24"/>
          <w:szCs w:val="24"/>
        </w:rPr>
        <w:t xml:space="preserve">se </w:t>
      </w:r>
      <w:r w:rsidRPr="00497684">
        <w:rPr>
          <w:rFonts w:ascii="Times New Roman" w:hAnsi="Times New Roman" w:cs="Times New Roman"/>
          <w:sz w:val="24"/>
          <w:szCs w:val="24"/>
        </w:rPr>
        <w:t>abordaba un supuesto en que un tribunal inglés emitió una resolución conminatoria (</w:t>
      </w:r>
      <w:r w:rsidRPr="00497684">
        <w:rPr>
          <w:rFonts w:ascii="Times New Roman" w:hAnsi="Times New Roman" w:cs="Times New Roman"/>
          <w:i/>
          <w:sz w:val="24"/>
          <w:szCs w:val="24"/>
        </w:rPr>
        <w:t>anti-suit injunction</w:t>
      </w:r>
      <w:r w:rsidRPr="00497684">
        <w:rPr>
          <w:rFonts w:ascii="Times New Roman" w:hAnsi="Times New Roman" w:cs="Times New Roman"/>
          <w:sz w:val="24"/>
          <w:szCs w:val="24"/>
        </w:rPr>
        <w:t xml:space="preserve">) dirigida al tribunal italiano que se había declarado competente para conocer de un litigio de responsabilidad civil por abordaje marítimo, para que se abstuviera de continuar el procedimiento judicial, porque debía ser objeto de arbitraje en Londres. El TJUE admitió que el procedimiento inglés de emisión de la citada </w:t>
      </w:r>
      <w:r w:rsidRPr="00497684">
        <w:rPr>
          <w:rFonts w:ascii="Times New Roman" w:hAnsi="Times New Roman" w:cs="Times New Roman"/>
          <w:i/>
          <w:sz w:val="24"/>
          <w:szCs w:val="24"/>
        </w:rPr>
        <w:t>anti-suit injunction</w:t>
      </w:r>
      <w:r w:rsidRPr="00497684">
        <w:rPr>
          <w:rFonts w:ascii="Times New Roman" w:hAnsi="Times New Roman" w:cs="Times New Roman"/>
          <w:sz w:val="24"/>
          <w:szCs w:val="24"/>
        </w:rPr>
        <w:t xml:space="preserve"> no estaba incluida en el ámbito de aplicación del Reglamento 44/2001 por la exclusión del arbitraje que realiza su art. 1.2.d. Sin embargo, el TJUE estimó que esta orden antiproceso era incompatible con el Reglamento 44/2001, porque podía tener consecuencias negativas para su efecto útil, es decir, impedir que se cumpliesen los objetivos inherentes de las normas de conflicto de los órganos jurisdiccionales en materia civil y mercantil y de la libre circulación de las resoluciones en esta misma materia (ap. 24). </w:t>
      </w:r>
    </w:p>
    <w:p w:rsidR="00516C13" w:rsidRPr="00497684" w:rsidRDefault="00516C13" w:rsidP="00516C1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A pesar de la sentencia del TJUE denegatoria de la validez de la </w:t>
      </w:r>
      <w:r w:rsidRPr="00497684">
        <w:rPr>
          <w:rFonts w:ascii="Times New Roman" w:hAnsi="Times New Roman" w:cs="Times New Roman"/>
          <w:i/>
          <w:sz w:val="24"/>
          <w:szCs w:val="24"/>
        </w:rPr>
        <w:t>anti-suit injunction</w:t>
      </w:r>
      <w:r w:rsidRPr="00497684">
        <w:rPr>
          <w:rFonts w:ascii="Times New Roman" w:hAnsi="Times New Roman" w:cs="Times New Roman"/>
          <w:sz w:val="24"/>
          <w:szCs w:val="24"/>
        </w:rPr>
        <w:t xml:space="preserve"> entre los Estados miembros de la Unión Europea, otra vía legal fue usada en Inglaterra para impedir el reconocimiento de una sentencia italiana dictada conforme al Reglamento 44/2001 y proteger el arbitraje: la sec. 66 AA 1996. En concreto, la sentencia </w:t>
      </w:r>
      <w:r w:rsidRPr="00497684">
        <w:rPr>
          <w:rFonts w:ascii="Times New Roman" w:hAnsi="Times New Roman" w:cs="Times New Roman"/>
          <w:i/>
          <w:sz w:val="24"/>
          <w:szCs w:val="24"/>
        </w:rPr>
        <w:t>West Tankers v Allianz</w:t>
      </w:r>
      <w:r w:rsidRPr="00497684">
        <w:rPr>
          <w:rStyle w:val="Refernciadenotaapeudepgina"/>
          <w:rFonts w:ascii="Times New Roman" w:hAnsi="Times New Roman" w:cs="Times New Roman"/>
          <w:sz w:val="24"/>
          <w:szCs w:val="24"/>
        </w:rPr>
        <w:footnoteReference w:id="24"/>
      </w:r>
      <w:r w:rsidRPr="00497684">
        <w:rPr>
          <w:rFonts w:ascii="Times New Roman" w:hAnsi="Times New Roman" w:cs="Times New Roman"/>
          <w:sz w:val="24"/>
          <w:szCs w:val="24"/>
        </w:rPr>
        <w:t xml:space="preserve">, de 24 de junio de 2012, de la </w:t>
      </w:r>
      <w:r w:rsidRPr="00497684">
        <w:rPr>
          <w:rFonts w:ascii="Times New Roman" w:hAnsi="Times New Roman" w:cs="Times New Roman"/>
          <w:i/>
          <w:sz w:val="24"/>
          <w:szCs w:val="24"/>
        </w:rPr>
        <w:t>Court of Appeal</w:t>
      </w:r>
      <w:r w:rsidRPr="00497684">
        <w:rPr>
          <w:rFonts w:ascii="Times New Roman" w:hAnsi="Times New Roman" w:cs="Times New Roman"/>
          <w:sz w:val="24"/>
          <w:szCs w:val="24"/>
        </w:rPr>
        <w:t xml:space="preserve"> confirmó la ejecución judicial de un laudo arbitral sobre el mismo litigio y dictado en Londres, de acuerdo con la sec. 66 AA</w:t>
      </w:r>
      <w:r w:rsidRPr="00497684">
        <w:rPr>
          <w:rFonts w:ascii="Times New Roman" w:hAnsi="Times New Roman" w:cs="Times New Roman"/>
          <w:i/>
          <w:sz w:val="24"/>
          <w:szCs w:val="24"/>
        </w:rPr>
        <w:t xml:space="preserve"> 1996</w:t>
      </w:r>
      <w:r w:rsidRPr="00497684">
        <w:rPr>
          <w:rFonts w:ascii="Times New Roman" w:hAnsi="Times New Roman" w:cs="Times New Roman"/>
          <w:sz w:val="24"/>
          <w:szCs w:val="24"/>
        </w:rPr>
        <w:t xml:space="preserve">, titulado, “Ejecución del laudo”. La </w:t>
      </w:r>
      <w:r w:rsidRPr="00497684">
        <w:rPr>
          <w:rFonts w:ascii="Times New Roman" w:hAnsi="Times New Roman" w:cs="Times New Roman"/>
          <w:i/>
          <w:sz w:val="24"/>
          <w:szCs w:val="24"/>
        </w:rPr>
        <w:t>Court of Appeal</w:t>
      </w:r>
      <w:r w:rsidRPr="00497684">
        <w:rPr>
          <w:rFonts w:ascii="Times New Roman" w:hAnsi="Times New Roman" w:cs="Times New Roman"/>
          <w:sz w:val="24"/>
          <w:szCs w:val="24"/>
        </w:rPr>
        <w:t>, con cita de precedentes británicos, admitió la viabilidad de dictar dicha resolución de ejecución del laudo arbitral meramente declarativo (</w:t>
      </w:r>
      <w:r w:rsidRPr="00497684">
        <w:rPr>
          <w:rFonts w:ascii="Times New Roman" w:hAnsi="Times New Roman" w:cs="Times New Roman"/>
          <w:i/>
          <w:sz w:val="24"/>
          <w:szCs w:val="24"/>
        </w:rPr>
        <w:t>declaratory</w:t>
      </w:r>
      <w:r w:rsidRPr="00497684">
        <w:rPr>
          <w:rFonts w:ascii="Times New Roman" w:hAnsi="Times New Roman" w:cs="Times New Roman"/>
          <w:sz w:val="24"/>
          <w:szCs w:val="24"/>
        </w:rPr>
        <w:t xml:space="preserve">). Consideró que, aunque el laudo no </w:t>
      </w:r>
      <w:r w:rsidR="00EA294D" w:rsidRPr="00497684">
        <w:rPr>
          <w:rFonts w:ascii="Times New Roman" w:hAnsi="Times New Roman" w:cs="Times New Roman"/>
          <w:sz w:val="24"/>
          <w:szCs w:val="24"/>
        </w:rPr>
        <w:t>fue</w:t>
      </w:r>
      <w:r w:rsidRPr="00497684">
        <w:rPr>
          <w:rFonts w:ascii="Times New Roman" w:hAnsi="Times New Roman" w:cs="Times New Roman"/>
          <w:sz w:val="24"/>
          <w:szCs w:val="24"/>
        </w:rPr>
        <w:t>se ejecutivo (</w:t>
      </w:r>
      <w:r w:rsidRPr="00497684">
        <w:rPr>
          <w:rFonts w:ascii="Times New Roman" w:hAnsi="Times New Roman" w:cs="Times New Roman"/>
          <w:i/>
          <w:color w:val="000000"/>
          <w:sz w:val="24"/>
          <w:szCs w:val="24"/>
        </w:rPr>
        <w:t>executory</w:t>
      </w:r>
      <w:r w:rsidRPr="00497684">
        <w:rPr>
          <w:rFonts w:ascii="Times New Roman" w:hAnsi="Times New Roman" w:cs="Times New Roman"/>
          <w:color w:val="000000"/>
          <w:sz w:val="24"/>
          <w:szCs w:val="24"/>
        </w:rPr>
        <w:t>), en el sentido habitual en que se obliga a una parte a hacer algo o dejar de hacer algo, puede ser igualmente “ejecutado” (</w:t>
      </w:r>
      <w:r w:rsidRPr="00497684">
        <w:rPr>
          <w:rFonts w:ascii="Times New Roman" w:hAnsi="Times New Roman" w:cs="Times New Roman"/>
          <w:i/>
          <w:color w:val="000000"/>
          <w:sz w:val="24"/>
          <w:szCs w:val="24"/>
        </w:rPr>
        <w:t>enforced</w:t>
      </w:r>
      <w:r w:rsidRPr="00497684">
        <w:rPr>
          <w:rFonts w:ascii="Times New Roman" w:hAnsi="Times New Roman" w:cs="Times New Roman"/>
          <w:color w:val="000000"/>
          <w:sz w:val="24"/>
          <w:szCs w:val="24"/>
        </w:rPr>
        <w:t xml:space="preserve">) por los tribunales (par. 31). Con la ejecución judicial del laudo arbitral, la </w:t>
      </w:r>
      <w:proofErr w:type="spellStart"/>
      <w:r w:rsidRPr="00497684">
        <w:rPr>
          <w:rFonts w:ascii="Times New Roman" w:hAnsi="Times New Roman" w:cs="Times New Roman"/>
          <w:i/>
          <w:color w:val="000000"/>
          <w:sz w:val="24"/>
          <w:szCs w:val="24"/>
        </w:rPr>
        <w:t>Court</w:t>
      </w:r>
      <w:proofErr w:type="spellEnd"/>
      <w:r w:rsidRPr="00497684">
        <w:rPr>
          <w:rFonts w:ascii="Times New Roman" w:hAnsi="Times New Roman" w:cs="Times New Roman"/>
          <w:i/>
          <w:color w:val="000000"/>
          <w:sz w:val="24"/>
          <w:szCs w:val="24"/>
        </w:rPr>
        <w:t xml:space="preserve"> of Appeal</w:t>
      </w:r>
      <w:r w:rsidRPr="00497684">
        <w:rPr>
          <w:rFonts w:ascii="Times New Roman" w:hAnsi="Times New Roman" w:cs="Times New Roman"/>
          <w:color w:val="000000"/>
          <w:sz w:val="24"/>
          <w:szCs w:val="24"/>
        </w:rPr>
        <w:t xml:space="preserve"> </w:t>
      </w:r>
      <w:r w:rsidR="00571FAB" w:rsidRPr="00497684">
        <w:rPr>
          <w:rFonts w:ascii="Times New Roman" w:hAnsi="Times New Roman" w:cs="Times New Roman"/>
          <w:color w:val="000000"/>
          <w:sz w:val="24"/>
          <w:szCs w:val="24"/>
        </w:rPr>
        <w:t xml:space="preserve">estimó </w:t>
      </w:r>
      <w:r w:rsidRPr="00497684">
        <w:rPr>
          <w:rFonts w:ascii="Times New Roman" w:hAnsi="Times New Roman" w:cs="Times New Roman"/>
          <w:color w:val="000000"/>
          <w:sz w:val="24"/>
          <w:szCs w:val="24"/>
        </w:rPr>
        <w:t xml:space="preserve">expresamente que se creaba un “escudo” frente a la ejecución si el procedimiento italiano concluía en una resolución opuesta a la que llegaron los árbitros, esto es, una resolución judicial italiana según la cual el armador era culpable del abordaje (par. 12). A continuación, la </w:t>
      </w:r>
      <w:r w:rsidRPr="00497684">
        <w:rPr>
          <w:rFonts w:ascii="Times New Roman" w:hAnsi="Times New Roman" w:cs="Times New Roman"/>
          <w:i/>
          <w:color w:val="000000"/>
          <w:sz w:val="24"/>
          <w:szCs w:val="24"/>
        </w:rPr>
        <w:t>Court of Appeal</w:t>
      </w:r>
      <w:r w:rsidRPr="00497684">
        <w:rPr>
          <w:rFonts w:ascii="Times New Roman" w:hAnsi="Times New Roman" w:cs="Times New Roman"/>
          <w:color w:val="000000"/>
          <w:sz w:val="24"/>
          <w:szCs w:val="24"/>
        </w:rPr>
        <w:t xml:space="preserve"> citaba como base legal de ello el art. 34(3) Reglamento 44/2001, según el cual </w:t>
      </w:r>
      <w:r w:rsidRPr="00497684">
        <w:rPr>
          <w:rFonts w:ascii="Times New Roman" w:hAnsi="Times New Roman" w:cs="Times New Roman"/>
          <w:sz w:val="24"/>
          <w:szCs w:val="24"/>
        </w:rPr>
        <w:t>“</w:t>
      </w:r>
      <w:r w:rsidRPr="00497684">
        <w:rPr>
          <w:rFonts w:ascii="Times New Roman" w:hAnsi="Times New Roman" w:cs="Times New Roman"/>
          <w:i/>
          <w:sz w:val="24"/>
          <w:szCs w:val="24"/>
        </w:rPr>
        <w:t xml:space="preserve">Las decisiones no se reconocerán: </w:t>
      </w:r>
      <w:r w:rsidRPr="00497684">
        <w:rPr>
          <w:rFonts w:ascii="Times New Roman" w:hAnsi="Times New Roman" w:cs="Times New Roman"/>
          <w:sz w:val="24"/>
          <w:szCs w:val="24"/>
        </w:rPr>
        <w:t xml:space="preserve">(…) </w:t>
      </w:r>
      <w:r w:rsidRPr="00497684">
        <w:rPr>
          <w:rFonts w:ascii="Times New Roman" w:hAnsi="Times New Roman" w:cs="Times New Roman"/>
          <w:i/>
          <w:sz w:val="24"/>
          <w:szCs w:val="24"/>
        </w:rPr>
        <w:t>3) si la resolución fuere inconciliable con una resolución dictada entre las mismas partes en el Estado miembro requerido</w:t>
      </w:r>
      <w:r w:rsidRPr="00497684">
        <w:rPr>
          <w:rFonts w:ascii="Times New Roman" w:hAnsi="Times New Roman" w:cs="Times New Roman"/>
          <w:sz w:val="24"/>
          <w:szCs w:val="24"/>
        </w:rPr>
        <w:t xml:space="preserve">”. </w:t>
      </w:r>
    </w:p>
    <w:p w:rsidR="00516C13" w:rsidRPr="00497684" w:rsidRDefault="00EA294D" w:rsidP="00516C13">
      <w:pPr>
        <w:spacing w:after="0"/>
        <w:jc w:val="both"/>
        <w:rPr>
          <w:rFonts w:ascii="Times New Roman" w:hAnsi="Times New Roman" w:cs="Times New Roman"/>
          <w:sz w:val="24"/>
          <w:szCs w:val="24"/>
        </w:rPr>
      </w:pPr>
      <w:r w:rsidRPr="00497684">
        <w:rPr>
          <w:rFonts w:ascii="Times New Roman" w:hAnsi="Times New Roman" w:cs="Times New Roman"/>
          <w:sz w:val="24"/>
          <w:szCs w:val="24"/>
        </w:rPr>
        <w:t>L</w:t>
      </w:r>
      <w:r w:rsidR="00516C13" w:rsidRPr="00497684">
        <w:rPr>
          <w:rFonts w:ascii="Times New Roman" w:hAnsi="Times New Roman" w:cs="Times New Roman"/>
          <w:sz w:val="24"/>
          <w:szCs w:val="24"/>
        </w:rPr>
        <w:t xml:space="preserve">a </w:t>
      </w:r>
      <w:r w:rsidR="00516C13" w:rsidRPr="00497684">
        <w:rPr>
          <w:rFonts w:ascii="Times New Roman" w:hAnsi="Times New Roman" w:cs="Times New Roman"/>
          <w:i/>
          <w:sz w:val="24"/>
          <w:szCs w:val="24"/>
        </w:rPr>
        <w:t>Court of Appeal</w:t>
      </w:r>
      <w:r w:rsidR="00516C13" w:rsidRPr="00497684">
        <w:rPr>
          <w:rFonts w:ascii="Times New Roman" w:hAnsi="Times New Roman" w:cs="Times New Roman"/>
          <w:sz w:val="24"/>
          <w:szCs w:val="24"/>
        </w:rPr>
        <w:t xml:space="preserve">, en el caso </w:t>
      </w:r>
      <w:r w:rsidR="00516C13" w:rsidRPr="00497684">
        <w:rPr>
          <w:rFonts w:ascii="Times New Roman" w:hAnsi="Times New Roman" w:cs="Times New Roman"/>
          <w:i/>
          <w:sz w:val="24"/>
          <w:szCs w:val="24"/>
        </w:rPr>
        <w:t xml:space="preserve">West </w:t>
      </w:r>
      <w:proofErr w:type="spellStart"/>
      <w:r w:rsidR="00516C13" w:rsidRPr="00497684">
        <w:rPr>
          <w:rFonts w:ascii="Times New Roman" w:hAnsi="Times New Roman" w:cs="Times New Roman"/>
          <w:i/>
          <w:sz w:val="24"/>
          <w:szCs w:val="24"/>
        </w:rPr>
        <w:t>Tankers</w:t>
      </w:r>
      <w:proofErr w:type="spellEnd"/>
      <w:r w:rsidR="00516C13" w:rsidRPr="00497684">
        <w:rPr>
          <w:rFonts w:ascii="Times New Roman" w:hAnsi="Times New Roman" w:cs="Times New Roman"/>
          <w:sz w:val="24"/>
          <w:szCs w:val="24"/>
        </w:rPr>
        <w:t xml:space="preserve">, interpretó el art. 34(3) Reglamento 44/2001, pero no planteó una </w:t>
      </w:r>
      <w:r w:rsidRPr="00497684">
        <w:rPr>
          <w:rFonts w:ascii="Times New Roman" w:hAnsi="Times New Roman" w:cs="Times New Roman"/>
          <w:sz w:val="24"/>
          <w:szCs w:val="24"/>
        </w:rPr>
        <w:t xml:space="preserve">nueva </w:t>
      </w:r>
      <w:r w:rsidR="00516C13" w:rsidRPr="00497684">
        <w:rPr>
          <w:rFonts w:ascii="Times New Roman" w:hAnsi="Times New Roman" w:cs="Times New Roman"/>
          <w:sz w:val="24"/>
          <w:szCs w:val="24"/>
        </w:rPr>
        <w:t>cuestión prejudicial al Tribunal de Justicia de la Unión Europea, como órgano competente para pronunciarse, con carácter prejudicial, sobre la interpretación de los tratados y sobre la validez e interpretación de los actos adoptados por las instituciones, órganos u organismos de la Unión, conforme al art. 267 del Tratado de Funcionamiento de la Unión Europea (antiguo art. 234 Tratado Constitutivo de la Comunidad Europea).</w:t>
      </w:r>
      <w:r w:rsidR="00EF61A5" w:rsidRPr="00497684">
        <w:rPr>
          <w:rFonts w:ascii="Times New Roman" w:hAnsi="Times New Roman" w:cs="Times New Roman"/>
          <w:sz w:val="24"/>
          <w:szCs w:val="24"/>
        </w:rPr>
        <w:t xml:space="preserve"> Es ahora cuando, a </w:t>
      </w:r>
      <w:r w:rsidR="00B77AF1" w:rsidRPr="00497684">
        <w:rPr>
          <w:rFonts w:ascii="Times New Roman" w:hAnsi="Times New Roman" w:cs="Times New Roman"/>
          <w:sz w:val="24"/>
          <w:szCs w:val="24"/>
        </w:rPr>
        <w:t>solicitud</w:t>
      </w:r>
      <w:r w:rsidR="00EF61A5" w:rsidRPr="00497684">
        <w:rPr>
          <w:rFonts w:ascii="Times New Roman" w:hAnsi="Times New Roman" w:cs="Times New Roman"/>
          <w:sz w:val="24"/>
          <w:szCs w:val="24"/>
        </w:rPr>
        <w:t xml:space="preserve"> del Estado Español</w:t>
      </w:r>
      <w:r w:rsidR="00B77AF1" w:rsidRPr="00497684">
        <w:rPr>
          <w:rFonts w:ascii="Times New Roman" w:hAnsi="Times New Roman" w:cs="Times New Roman"/>
          <w:sz w:val="24"/>
          <w:szCs w:val="24"/>
        </w:rPr>
        <w:t xml:space="preserve"> en el caso </w:t>
      </w:r>
      <w:proofErr w:type="spellStart"/>
      <w:r w:rsidR="00B77AF1" w:rsidRPr="00497684">
        <w:rPr>
          <w:rFonts w:ascii="Times New Roman" w:hAnsi="Times New Roman" w:cs="Times New Roman"/>
          <w:i/>
          <w:sz w:val="24"/>
          <w:szCs w:val="24"/>
        </w:rPr>
        <w:lastRenderedPageBreak/>
        <w:t>Prestige</w:t>
      </w:r>
      <w:proofErr w:type="spellEnd"/>
      <w:r w:rsidR="00EF61A5" w:rsidRPr="00497684">
        <w:rPr>
          <w:rFonts w:ascii="Times New Roman" w:hAnsi="Times New Roman" w:cs="Times New Roman"/>
          <w:sz w:val="24"/>
          <w:szCs w:val="24"/>
        </w:rPr>
        <w:t xml:space="preserve">, la </w:t>
      </w:r>
      <w:r w:rsidR="00EF61A5" w:rsidRPr="00497684">
        <w:rPr>
          <w:rFonts w:ascii="Times New Roman" w:hAnsi="Times New Roman" w:cs="Times New Roman"/>
          <w:i/>
          <w:sz w:val="24"/>
          <w:szCs w:val="24"/>
        </w:rPr>
        <w:t xml:space="preserve">High </w:t>
      </w:r>
      <w:proofErr w:type="spellStart"/>
      <w:r w:rsidR="00EF61A5" w:rsidRPr="00497684">
        <w:rPr>
          <w:rFonts w:ascii="Times New Roman" w:hAnsi="Times New Roman" w:cs="Times New Roman"/>
          <w:i/>
          <w:sz w:val="24"/>
          <w:szCs w:val="24"/>
        </w:rPr>
        <w:t>Court</w:t>
      </w:r>
      <w:proofErr w:type="spellEnd"/>
      <w:r w:rsidR="00EF61A5" w:rsidRPr="00497684">
        <w:rPr>
          <w:rFonts w:ascii="Times New Roman" w:hAnsi="Times New Roman" w:cs="Times New Roman"/>
          <w:sz w:val="24"/>
          <w:szCs w:val="24"/>
        </w:rPr>
        <w:t xml:space="preserve"> </w:t>
      </w:r>
      <w:r w:rsidR="00B77AF1" w:rsidRPr="00497684">
        <w:rPr>
          <w:rFonts w:ascii="Times New Roman" w:hAnsi="Times New Roman" w:cs="Times New Roman"/>
          <w:sz w:val="24"/>
          <w:szCs w:val="24"/>
        </w:rPr>
        <w:t xml:space="preserve">pregunta al TJUE sobre lo que la </w:t>
      </w:r>
      <w:r w:rsidR="00B77AF1" w:rsidRPr="00497684">
        <w:rPr>
          <w:rFonts w:ascii="Times New Roman" w:hAnsi="Times New Roman" w:cs="Times New Roman"/>
          <w:i/>
          <w:sz w:val="24"/>
          <w:szCs w:val="24"/>
        </w:rPr>
        <w:t>Court of Appeal</w:t>
      </w:r>
      <w:r w:rsidR="00B77AF1" w:rsidRPr="00497684">
        <w:rPr>
          <w:rFonts w:ascii="Times New Roman" w:hAnsi="Times New Roman" w:cs="Times New Roman"/>
          <w:sz w:val="24"/>
          <w:szCs w:val="24"/>
        </w:rPr>
        <w:t xml:space="preserve"> en el caso </w:t>
      </w:r>
      <w:r w:rsidR="00B77AF1" w:rsidRPr="00497684">
        <w:rPr>
          <w:rFonts w:ascii="Times New Roman" w:hAnsi="Times New Roman" w:cs="Times New Roman"/>
          <w:i/>
          <w:sz w:val="24"/>
          <w:szCs w:val="24"/>
        </w:rPr>
        <w:t xml:space="preserve">West </w:t>
      </w:r>
      <w:proofErr w:type="spellStart"/>
      <w:r w:rsidR="00B77AF1" w:rsidRPr="00497684">
        <w:rPr>
          <w:rFonts w:ascii="Times New Roman" w:hAnsi="Times New Roman" w:cs="Times New Roman"/>
          <w:i/>
          <w:sz w:val="24"/>
          <w:szCs w:val="24"/>
        </w:rPr>
        <w:t>Tankers</w:t>
      </w:r>
      <w:proofErr w:type="spellEnd"/>
      <w:r w:rsidR="00B77AF1" w:rsidRPr="00497684">
        <w:rPr>
          <w:rFonts w:ascii="Times New Roman" w:hAnsi="Times New Roman" w:cs="Times New Roman"/>
          <w:sz w:val="24"/>
          <w:szCs w:val="24"/>
        </w:rPr>
        <w:t xml:space="preserve"> optó por </w:t>
      </w:r>
      <w:r w:rsidRPr="00497684">
        <w:rPr>
          <w:rFonts w:ascii="Times New Roman" w:hAnsi="Times New Roman" w:cs="Times New Roman"/>
          <w:sz w:val="24"/>
          <w:szCs w:val="24"/>
        </w:rPr>
        <w:t>interpretar directamente.</w:t>
      </w:r>
    </w:p>
    <w:p w:rsidR="00516C13" w:rsidRPr="00497684" w:rsidRDefault="00516C13" w:rsidP="00F80D2E">
      <w:pPr>
        <w:spacing w:after="0"/>
        <w:jc w:val="both"/>
        <w:rPr>
          <w:rFonts w:ascii="Times New Roman" w:hAnsi="Times New Roman" w:cs="Times New Roman"/>
          <w:sz w:val="24"/>
          <w:szCs w:val="24"/>
        </w:rPr>
      </w:pPr>
    </w:p>
    <w:p w:rsidR="00BE26BC" w:rsidRPr="00497684" w:rsidRDefault="002600D5" w:rsidP="00F80D2E">
      <w:pPr>
        <w:spacing w:after="0"/>
        <w:jc w:val="both"/>
        <w:rPr>
          <w:rFonts w:ascii="Times New Roman" w:hAnsi="Times New Roman" w:cs="Times New Roman"/>
          <w:sz w:val="24"/>
          <w:szCs w:val="24"/>
        </w:rPr>
      </w:pPr>
      <w:r w:rsidRPr="00497684">
        <w:rPr>
          <w:rFonts w:ascii="Times New Roman" w:hAnsi="Times New Roman" w:cs="Times New Roman"/>
          <w:b/>
          <w:sz w:val="24"/>
          <w:szCs w:val="24"/>
        </w:rPr>
        <w:t>4</w:t>
      </w:r>
      <w:r w:rsidR="00240B01" w:rsidRPr="00497684">
        <w:rPr>
          <w:rFonts w:ascii="Times New Roman" w:hAnsi="Times New Roman" w:cs="Times New Roman"/>
          <w:b/>
          <w:sz w:val="24"/>
          <w:szCs w:val="24"/>
        </w:rPr>
        <w:t xml:space="preserve">. </w:t>
      </w:r>
      <w:r w:rsidR="00993C1D" w:rsidRPr="00497684">
        <w:rPr>
          <w:rFonts w:ascii="Times New Roman" w:hAnsi="Times New Roman" w:cs="Times New Roman"/>
          <w:b/>
          <w:sz w:val="24"/>
          <w:szCs w:val="24"/>
        </w:rPr>
        <w:t xml:space="preserve">Sobre si </w:t>
      </w:r>
      <w:r w:rsidR="000145AB" w:rsidRPr="00497684">
        <w:rPr>
          <w:rFonts w:ascii="Times New Roman" w:hAnsi="Times New Roman" w:cs="Times New Roman"/>
          <w:b/>
          <w:sz w:val="24"/>
          <w:szCs w:val="24"/>
        </w:rPr>
        <w:t>l</w:t>
      </w:r>
      <w:r w:rsidR="005F4316" w:rsidRPr="00497684">
        <w:rPr>
          <w:rFonts w:ascii="Times New Roman" w:hAnsi="Times New Roman" w:cs="Times New Roman"/>
          <w:b/>
          <w:sz w:val="24"/>
          <w:szCs w:val="24"/>
        </w:rPr>
        <w:t xml:space="preserve">a ejecución judicial de un laudo </w:t>
      </w:r>
      <w:r w:rsidR="00993C1D" w:rsidRPr="00497684">
        <w:rPr>
          <w:rFonts w:ascii="Times New Roman" w:hAnsi="Times New Roman" w:cs="Times New Roman"/>
          <w:b/>
          <w:sz w:val="24"/>
          <w:szCs w:val="24"/>
        </w:rPr>
        <w:t xml:space="preserve">arbitral es una resolución ex art. 34(3) Reglamento 44/2001 e impedir el reconocimiento de una resolución extranjera dictada dentro </w:t>
      </w:r>
      <w:r w:rsidR="00240B01" w:rsidRPr="00497684">
        <w:rPr>
          <w:rFonts w:ascii="Times New Roman" w:hAnsi="Times New Roman" w:cs="Times New Roman"/>
          <w:b/>
          <w:sz w:val="24"/>
          <w:szCs w:val="24"/>
        </w:rPr>
        <w:t>del á</w:t>
      </w:r>
      <w:r w:rsidR="00312374" w:rsidRPr="00497684">
        <w:rPr>
          <w:rFonts w:ascii="Times New Roman" w:hAnsi="Times New Roman" w:cs="Times New Roman"/>
          <w:b/>
          <w:sz w:val="24"/>
          <w:szCs w:val="24"/>
        </w:rPr>
        <w:t>mbito de aplicación material del Reglamento 44/2001</w:t>
      </w:r>
      <w:r w:rsidR="00E336C2" w:rsidRPr="00497684">
        <w:rPr>
          <w:rFonts w:ascii="Times New Roman" w:hAnsi="Times New Roman" w:cs="Times New Roman"/>
          <w:b/>
          <w:sz w:val="24"/>
          <w:szCs w:val="24"/>
        </w:rPr>
        <w:t xml:space="preserve"> </w:t>
      </w:r>
    </w:p>
    <w:p w:rsidR="005F4316" w:rsidRPr="00497684" w:rsidRDefault="00BE26BC"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La</w:t>
      </w:r>
      <w:r w:rsidR="00056FA5" w:rsidRPr="00497684">
        <w:rPr>
          <w:rFonts w:ascii="Times New Roman" w:hAnsi="Times New Roman" w:cs="Times New Roman"/>
          <w:sz w:val="24"/>
          <w:szCs w:val="24"/>
        </w:rPr>
        <w:t>s dos primeras cuestiones</w:t>
      </w:r>
      <w:r w:rsidRPr="00497684">
        <w:rPr>
          <w:rFonts w:ascii="Times New Roman" w:hAnsi="Times New Roman" w:cs="Times New Roman"/>
          <w:sz w:val="24"/>
          <w:szCs w:val="24"/>
        </w:rPr>
        <w:t xml:space="preserve"> </w:t>
      </w:r>
      <w:r w:rsidR="00056FA5" w:rsidRPr="00497684">
        <w:rPr>
          <w:rFonts w:ascii="Times New Roman" w:hAnsi="Times New Roman" w:cs="Times New Roman"/>
          <w:sz w:val="24"/>
          <w:szCs w:val="24"/>
        </w:rPr>
        <w:t>pretenden conocer, esencialmente</w:t>
      </w:r>
      <w:r w:rsidR="00FC621A" w:rsidRPr="00497684">
        <w:rPr>
          <w:rFonts w:ascii="Times New Roman" w:hAnsi="Times New Roman" w:cs="Times New Roman"/>
          <w:sz w:val="24"/>
          <w:szCs w:val="24"/>
        </w:rPr>
        <w:t xml:space="preserve">, </w:t>
      </w:r>
      <w:r w:rsidR="00056FA5" w:rsidRPr="00497684">
        <w:rPr>
          <w:rFonts w:ascii="Times New Roman" w:hAnsi="Times New Roman" w:cs="Times New Roman"/>
          <w:sz w:val="24"/>
          <w:szCs w:val="24"/>
        </w:rPr>
        <w:t xml:space="preserve">a </w:t>
      </w:r>
      <w:r w:rsidR="00FC621A" w:rsidRPr="00497684">
        <w:rPr>
          <w:rFonts w:ascii="Times New Roman" w:hAnsi="Times New Roman" w:cs="Times New Roman"/>
          <w:sz w:val="24"/>
          <w:szCs w:val="24"/>
        </w:rPr>
        <w:t xml:space="preserve">la </w:t>
      </w:r>
      <w:r w:rsidR="00C36734" w:rsidRPr="00497684">
        <w:rPr>
          <w:rFonts w:ascii="Times New Roman" w:hAnsi="Times New Roman" w:cs="Times New Roman"/>
          <w:sz w:val="24"/>
          <w:szCs w:val="24"/>
        </w:rPr>
        <w:t xml:space="preserve">vista de la </w:t>
      </w:r>
      <w:r w:rsidR="00FC621A" w:rsidRPr="00497684">
        <w:rPr>
          <w:rFonts w:ascii="Times New Roman" w:hAnsi="Times New Roman" w:cs="Times New Roman"/>
          <w:sz w:val="24"/>
          <w:szCs w:val="24"/>
        </w:rPr>
        <w:t>naturaleza de las cuestiones que debe resolver el órgano jurisdiccional nacional al decidir si dicta resolución judicial en los términos de un laudo arbitral conforme a la sec. 66 AA 1996</w:t>
      </w:r>
      <w:r w:rsidR="00C36734" w:rsidRPr="00497684">
        <w:rPr>
          <w:rFonts w:ascii="Times New Roman" w:hAnsi="Times New Roman" w:cs="Times New Roman"/>
          <w:sz w:val="24"/>
          <w:szCs w:val="24"/>
        </w:rPr>
        <w:t xml:space="preserve"> (primera pregunta) y </w:t>
      </w:r>
      <w:r w:rsidR="00EA294D" w:rsidRPr="00497684">
        <w:rPr>
          <w:rFonts w:ascii="Times New Roman" w:hAnsi="Times New Roman" w:cs="Times New Roman"/>
          <w:sz w:val="24"/>
          <w:szCs w:val="24"/>
        </w:rPr>
        <w:t xml:space="preserve">de </w:t>
      </w:r>
      <w:r w:rsidR="00C36734" w:rsidRPr="00497684">
        <w:rPr>
          <w:rFonts w:ascii="Times New Roman" w:hAnsi="Times New Roman" w:cs="Times New Roman"/>
          <w:sz w:val="24"/>
          <w:szCs w:val="24"/>
        </w:rPr>
        <w:t>la exclusión del arbitraje del art. 1.2.d Reglamento 44/2001</w:t>
      </w:r>
      <w:r w:rsidR="005C4408" w:rsidRPr="00497684">
        <w:rPr>
          <w:rFonts w:ascii="Times New Roman" w:hAnsi="Times New Roman" w:cs="Times New Roman"/>
          <w:sz w:val="24"/>
          <w:szCs w:val="24"/>
        </w:rPr>
        <w:t xml:space="preserve"> (segunda pregunta)</w:t>
      </w:r>
      <w:r w:rsidR="00FC621A" w:rsidRPr="00497684">
        <w:rPr>
          <w:rFonts w:ascii="Times New Roman" w:hAnsi="Times New Roman" w:cs="Times New Roman"/>
          <w:sz w:val="24"/>
          <w:szCs w:val="24"/>
        </w:rPr>
        <w:t xml:space="preserve">, </w:t>
      </w:r>
      <w:r w:rsidR="00C36734" w:rsidRPr="00497684">
        <w:rPr>
          <w:rFonts w:ascii="Times New Roman" w:hAnsi="Times New Roman" w:cs="Times New Roman"/>
          <w:sz w:val="24"/>
          <w:szCs w:val="24"/>
        </w:rPr>
        <w:t xml:space="preserve">si la resolución judicial que ejecuta un laudo arbitral en Inglaterra </w:t>
      </w:r>
      <w:r w:rsidR="00056FA5" w:rsidRPr="00497684">
        <w:rPr>
          <w:rFonts w:ascii="Times New Roman" w:hAnsi="Times New Roman" w:cs="Times New Roman"/>
          <w:sz w:val="24"/>
          <w:szCs w:val="24"/>
        </w:rPr>
        <w:t>es un</w:t>
      </w:r>
      <w:r w:rsidR="00FC621A" w:rsidRPr="00497684">
        <w:rPr>
          <w:rFonts w:ascii="Times New Roman" w:hAnsi="Times New Roman" w:cs="Times New Roman"/>
          <w:sz w:val="24"/>
          <w:szCs w:val="24"/>
        </w:rPr>
        <w:t>a «resolución» del Estado miembro requerido</w:t>
      </w:r>
      <w:r w:rsidR="008F5489" w:rsidRPr="00497684">
        <w:rPr>
          <w:rFonts w:ascii="Times New Roman" w:hAnsi="Times New Roman" w:cs="Times New Roman"/>
          <w:sz w:val="24"/>
          <w:szCs w:val="24"/>
        </w:rPr>
        <w:t xml:space="preserve"> </w:t>
      </w:r>
      <w:r w:rsidR="00FC621A" w:rsidRPr="00497684">
        <w:rPr>
          <w:rFonts w:ascii="Times New Roman" w:hAnsi="Times New Roman" w:cs="Times New Roman"/>
          <w:sz w:val="24"/>
          <w:szCs w:val="24"/>
        </w:rPr>
        <w:t>a los efectos del art. 34(3) Reglamento 44/200</w:t>
      </w:r>
      <w:r w:rsidR="008F5489" w:rsidRPr="00497684">
        <w:rPr>
          <w:rFonts w:ascii="Times New Roman" w:hAnsi="Times New Roman" w:cs="Times New Roman"/>
          <w:sz w:val="24"/>
          <w:szCs w:val="24"/>
        </w:rPr>
        <w:t>1</w:t>
      </w:r>
      <w:r w:rsidR="005C4408" w:rsidRPr="00497684">
        <w:rPr>
          <w:rFonts w:ascii="Times New Roman" w:hAnsi="Times New Roman" w:cs="Times New Roman"/>
          <w:sz w:val="24"/>
          <w:szCs w:val="24"/>
        </w:rPr>
        <w:t xml:space="preserve"> e </w:t>
      </w:r>
      <w:r w:rsidR="008F5489" w:rsidRPr="00497684">
        <w:rPr>
          <w:rFonts w:ascii="Times New Roman" w:hAnsi="Times New Roman" w:cs="Times New Roman"/>
          <w:sz w:val="24"/>
          <w:szCs w:val="24"/>
        </w:rPr>
        <w:t xml:space="preserve">impedir el reconocimiento de </w:t>
      </w:r>
      <w:r w:rsidR="005F4316" w:rsidRPr="00497684">
        <w:rPr>
          <w:rFonts w:ascii="Times New Roman" w:hAnsi="Times New Roman" w:cs="Times New Roman"/>
          <w:sz w:val="24"/>
          <w:szCs w:val="24"/>
        </w:rPr>
        <w:t xml:space="preserve">la resolución </w:t>
      </w:r>
      <w:r w:rsidR="008F5489" w:rsidRPr="00497684">
        <w:rPr>
          <w:rFonts w:ascii="Times New Roman" w:hAnsi="Times New Roman" w:cs="Times New Roman"/>
          <w:sz w:val="24"/>
          <w:szCs w:val="24"/>
        </w:rPr>
        <w:t xml:space="preserve">judicial </w:t>
      </w:r>
      <w:r w:rsidR="005F4316" w:rsidRPr="00497684">
        <w:rPr>
          <w:rFonts w:ascii="Times New Roman" w:hAnsi="Times New Roman" w:cs="Times New Roman"/>
          <w:sz w:val="24"/>
          <w:szCs w:val="24"/>
        </w:rPr>
        <w:t xml:space="preserve">de </w:t>
      </w:r>
      <w:r w:rsidR="008F5489" w:rsidRPr="00497684">
        <w:rPr>
          <w:rFonts w:ascii="Times New Roman" w:hAnsi="Times New Roman" w:cs="Times New Roman"/>
          <w:sz w:val="24"/>
          <w:szCs w:val="24"/>
        </w:rPr>
        <w:t>otro</w:t>
      </w:r>
      <w:r w:rsidR="005F4316" w:rsidRPr="00497684">
        <w:rPr>
          <w:rFonts w:ascii="Times New Roman" w:hAnsi="Times New Roman" w:cs="Times New Roman"/>
          <w:sz w:val="24"/>
          <w:szCs w:val="24"/>
        </w:rPr>
        <w:t xml:space="preserve"> Estado miembro</w:t>
      </w:r>
      <w:r w:rsidR="00A13FA8" w:rsidRPr="00497684">
        <w:rPr>
          <w:rFonts w:ascii="Times New Roman" w:hAnsi="Times New Roman" w:cs="Times New Roman"/>
          <w:sz w:val="24"/>
          <w:szCs w:val="24"/>
        </w:rPr>
        <w:t xml:space="preserve"> (es decir, de la STS)</w:t>
      </w:r>
      <w:r w:rsidR="008F5489" w:rsidRPr="00497684">
        <w:rPr>
          <w:rFonts w:ascii="Times New Roman" w:hAnsi="Times New Roman" w:cs="Times New Roman"/>
          <w:sz w:val="24"/>
          <w:szCs w:val="24"/>
        </w:rPr>
        <w:t>.</w:t>
      </w:r>
      <w:r w:rsidR="005F4316" w:rsidRPr="00497684">
        <w:rPr>
          <w:rFonts w:ascii="Times New Roman" w:hAnsi="Times New Roman" w:cs="Times New Roman"/>
          <w:sz w:val="24"/>
          <w:szCs w:val="24"/>
        </w:rPr>
        <w:t xml:space="preserve"> </w:t>
      </w:r>
    </w:p>
    <w:p w:rsidR="00E35553" w:rsidRPr="00497684" w:rsidRDefault="00A13FA8" w:rsidP="00E35553">
      <w:pPr>
        <w:spacing w:after="0"/>
        <w:jc w:val="both"/>
        <w:rPr>
          <w:rFonts w:ascii="Times New Roman" w:hAnsi="Times New Roman" w:cs="Times New Roman"/>
          <w:b/>
          <w:sz w:val="24"/>
          <w:szCs w:val="24"/>
        </w:rPr>
      </w:pPr>
      <w:r w:rsidRPr="00497684">
        <w:rPr>
          <w:rFonts w:ascii="Times New Roman" w:hAnsi="Times New Roman" w:cs="Times New Roman"/>
          <w:sz w:val="24"/>
          <w:szCs w:val="24"/>
        </w:rPr>
        <w:t>Con carácter previo, hay que recordar que e</w:t>
      </w:r>
      <w:r w:rsidR="00E35553" w:rsidRPr="00497684">
        <w:rPr>
          <w:rFonts w:ascii="Times New Roman" w:hAnsi="Times New Roman" w:cs="Times New Roman"/>
          <w:sz w:val="24"/>
          <w:szCs w:val="24"/>
        </w:rPr>
        <w:t>l art. 34(3) Reglamento 44/2001 tiene una especialidad respecto a las normas de litispendencia</w:t>
      </w:r>
      <w:r w:rsidRPr="00497684">
        <w:rPr>
          <w:rFonts w:ascii="Times New Roman" w:hAnsi="Times New Roman" w:cs="Times New Roman"/>
          <w:sz w:val="24"/>
          <w:szCs w:val="24"/>
        </w:rPr>
        <w:t>, pues establece la prioridad de la primera resolución dictada</w:t>
      </w:r>
      <w:r w:rsidR="00E35553" w:rsidRPr="00497684">
        <w:rPr>
          <w:rFonts w:ascii="Times New Roman" w:hAnsi="Times New Roman" w:cs="Times New Roman"/>
          <w:sz w:val="24"/>
          <w:szCs w:val="24"/>
          <w:vertAlign w:val="superscript"/>
        </w:rPr>
        <w:footnoteReference w:id="25"/>
      </w:r>
      <w:r w:rsidR="00E35553" w:rsidRPr="00497684">
        <w:rPr>
          <w:rFonts w:ascii="Times New Roman" w:hAnsi="Times New Roman" w:cs="Times New Roman"/>
          <w:sz w:val="24"/>
          <w:szCs w:val="24"/>
        </w:rPr>
        <w:t>. El propósito de los arts. 34(3) y (4) Reglamento 44/2001 es eliminar las antinomias entre resoluciones, de ahí que se utilice el término resoluciones inconciliables</w:t>
      </w:r>
      <w:r w:rsidR="00E35553" w:rsidRPr="00497684">
        <w:rPr>
          <w:rStyle w:val="Refernciadenotaapeudepgina"/>
          <w:rFonts w:ascii="Times New Roman" w:hAnsi="Times New Roman" w:cs="Times New Roman"/>
          <w:sz w:val="24"/>
          <w:szCs w:val="24"/>
        </w:rPr>
        <w:footnoteReference w:id="26"/>
      </w:r>
      <w:r w:rsidR="00E35553" w:rsidRPr="00497684">
        <w:rPr>
          <w:rFonts w:ascii="Times New Roman" w:hAnsi="Times New Roman" w:cs="Times New Roman"/>
          <w:sz w:val="24"/>
          <w:szCs w:val="24"/>
        </w:rPr>
        <w:t xml:space="preserve">. El carácter inconciliable, según doctrina reiterada del Tribunal de Justicia, como el caso </w:t>
      </w:r>
      <w:r w:rsidR="00E35553" w:rsidRPr="00497684">
        <w:rPr>
          <w:rFonts w:ascii="Times New Roman" w:hAnsi="Times New Roman" w:cs="Times New Roman"/>
          <w:i/>
          <w:sz w:val="24"/>
          <w:szCs w:val="24"/>
        </w:rPr>
        <w:t xml:space="preserve">Hoffmann v. </w:t>
      </w:r>
      <w:proofErr w:type="spellStart"/>
      <w:r w:rsidR="00E35553" w:rsidRPr="00497684">
        <w:rPr>
          <w:rFonts w:ascii="Times New Roman" w:hAnsi="Times New Roman" w:cs="Times New Roman"/>
          <w:i/>
          <w:sz w:val="24"/>
          <w:szCs w:val="24"/>
        </w:rPr>
        <w:t>Krieg</w:t>
      </w:r>
      <w:proofErr w:type="spellEnd"/>
      <w:r w:rsidR="00E35553" w:rsidRPr="00497684">
        <w:rPr>
          <w:rFonts w:ascii="Times New Roman" w:hAnsi="Times New Roman" w:cs="Times New Roman"/>
          <w:sz w:val="24"/>
          <w:szCs w:val="24"/>
        </w:rPr>
        <w:t>, tiene lugar cuando ambas resoluciones generan consecuencias jurídicas mutuamente excluyentes</w:t>
      </w:r>
      <w:r w:rsidR="00E35553" w:rsidRPr="00497684">
        <w:rPr>
          <w:rStyle w:val="Refernciadenotaapeudepgina"/>
          <w:rFonts w:ascii="Times New Roman" w:hAnsi="Times New Roman" w:cs="Times New Roman"/>
          <w:sz w:val="24"/>
          <w:szCs w:val="24"/>
        </w:rPr>
        <w:footnoteReference w:id="27"/>
      </w:r>
      <w:r w:rsidR="00E35553" w:rsidRPr="00497684">
        <w:rPr>
          <w:rFonts w:ascii="Times New Roman" w:hAnsi="Times New Roman" w:cs="Times New Roman"/>
          <w:sz w:val="24"/>
          <w:szCs w:val="24"/>
        </w:rPr>
        <w:t xml:space="preserve">. Por tanto, no es sobre su contenido intrínseco, sino sobre sus efectos del reconocimiento en el Estado requerido. </w:t>
      </w:r>
    </w:p>
    <w:p w:rsidR="00C36734" w:rsidRPr="00497684" w:rsidRDefault="00C36734"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Primero de todo, hay que aclarar que el Reglamento Bruselas I y el vigente Reglamento Bruselas I bis no dan una respuesta expresa a las preguntas formuladas por la </w:t>
      </w:r>
      <w:r w:rsidRPr="00497684">
        <w:rPr>
          <w:rFonts w:ascii="Times New Roman" w:hAnsi="Times New Roman" w:cs="Times New Roman"/>
          <w:i/>
          <w:sz w:val="24"/>
          <w:szCs w:val="24"/>
        </w:rPr>
        <w:t xml:space="preserve">High </w:t>
      </w:r>
      <w:proofErr w:type="spellStart"/>
      <w:r w:rsidRPr="00497684">
        <w:rPr>
          <w:rFonts w:ascii="Times New Roman" w:hAnsi="Times New Roman" w:cs="Times New Roman"/>
          <w:i/>
          <w:sz w:val="24"/>
          <w:szCs w:val="24"/>
        </w:rPr>
        <w:t>Court</w:t>
      </w:r>
      <w:proofErr w:type="spellEnd"/>
      <w:r w:rsidR="00571FAB" w:rsidRPr="00497684">
        <w:rPr>
          <w:rFonts w:ascii="Times New Roman" w:hAnsi="Times New Roman" w:cs="Times New Roman"/>
          <w:i/>
          <w:sz w:val="24"/>
          <w:szCs w:val="24"/>
        </w:rPr>
        <w:t xml:space="preserve">. </w:t>
      </w:r>
    </w:p>
    <w:p w:rsidR="00A13FA8" w:rsidRPr="00497684" w:rsidRDefault="008F5489" w:rsidP="00527058">
      <w:pPr>
        <w:spacing w:after="0"/>
        <w:jc w:val="both"/>
        <w:rPr>
          <w:rFonts w:ascii="Times New Roman" w:hAnsi="Times New Roman" w:cs="Times New Roman"/>
          <w:sz w:val="24"/>
          <w:szCs w:val="24"/>
          <w:shd w:val="clear" w:color="auto" w:fill="FFFFFF"/>
        </w:rPr>
      </w:pPr>
      <w:r w:rsidRPr="00497684">
        <w:rPr>
          <w:rFonts w:ascii="Times New Roman" w:hAnsi="Times New Roman" w:cs="Times New Roman"/>
          <w:sz w:val="24"/>
          <w:szCs w:val="24"/>
        </w:rPr>
        <w:t xml:space="preserve">En la literatura jurídica, </w:t>
      </w:r>
      <w:r w:rsidRPr="00497684">
        <w:rPr>
          <w:rFonts w:ascii="Times New Roman" w:hAnsi="Times New Roman" w:cs="Times New Roman"/>
          <w:sz w:val="24"/>
          <w:szCs w:val="24"/>
          <w:shd w:val="clear" w:color="auto" w:fill="FFFFFF"/>
        </w:rPr>
        <w:t xml:space="preserve">hay un aspecto que es </w:t>
      </w:r>
      <w:r w:rsidR="000B5899" w:rsidRPr="00497684">
        <w:rPr>
          <w:rFonts w:ascii="Times New Roman" w:hAnsi="Times New Roman" w:cs="Times New Roman"/>
          <w:sz w:val="24"/>
          <w:szCs w:val="24"/>
          <w:shd w:val="clear" w:color="auto" w:fill="FFFFFF"/>
        </w:rPr>
        <w:t>unánimemente</w:t>
      </w:r>
      <w:r w:rsidRPr="00497684">
        <w:rPr>
          <w:rFonts w:ascii="Times New Roman" w:hAnsi="Times New Roman" w:cs="Times New Roman"/>
          <w:sz w:val="24"/>
          <w:szCs w:val="24"/>
          <w:shd w:val="clear" w:color="auto" w:fill="FFFFFF"/>
        </w:rPr>
        <w:t xml:space="preserve"> aceptado por los autores</w:t>
      </w:r>
      <w:r w:rsidR="00527058" w:rsidRPr="00497684">
        <w:rPr>
          <w:rFonts w:ascii="Times New Roman" w:hAnsi="Times New Roman" w:cs="Times New Roman"/>
          <w:sz w:val="24"/>
          <w:szCs w:val="24"/>
          <w:shd w:val="clear" w:color="auto" w:fill="FFFFFF"/>
        </w:rPr>
        <w:t>:</w:t>
      </w:r>
      <w:r w:rsidRPr="00497684">
        <w:rPr>
          <w:rFonts w:ascii="Times New Roman" w:hAnsi="Times New Roman" w:cs="Times New Roman"/>
          <w:sz w:val="24"/>
          <w:szCs w:val="24"/>
          <w:shd w:val="clear" w:color="auto" w:fill="FFFFFF"/>
        </w:rPr>
        <w:t xml:space="preserve"> la </w:t>
      </w:r>
      <w:r w:rsidR="00527058" w:rsidRPr="00497684">
        <w:rPr>
          <w:rFonts w:ascii="Times New Roman" w:hAnsi="Times New Roman" w:cs="Times New Roman"/>
          <w:sz w:val="24"/>
          <w:szCs w:val="24"/>
          <w:shd w:val="clear" w:color="auto" w:fill="FFFFFF"/>
        </w:rPr>
        <w:t xml:space="preserve">ejecución de laudos está regulado por </w:t>
      </w:r>
      <w:r w:rsidRPr="00497684">
        <w:rPr>
          <w:rFonts w:ascii="Times New Roman" w:hAnsi="Times New Roman" w:cs="Times New Roman"/>
          <w:sz w:val="24"/>
          <w:szCs w:val="24"/>
          <w:shd w:val="clear" w:color="auto" w:fill="FFFFFF"/>
        </w:rPr>
        <w:t xml:space="preserve">el </w:t>
      </w:r>
      <w:r w:rsidR="00A25F87" w:rsidRPr="00497684">
        <w:rPr>
          <w:rFonts w:ascii="Times New Roman" w:hAnsi="Times New Roman" w:cs="Times New Roman"/>
          <w:sz w:val="24"/>
          <w:szCs w:val="24"/>
        </w:rPr>
        <w:t>Convenio sobre reconocimiento y ejecución de sentencias arbitrales extranjeras, hecho en Nueva York el 10 de junio de 1958 (en adelante, CNY)</w:t>
      </w:r>
      <w:r w:rsidR="00A25F87" w:rsidRPr="00497684">
        <w:rPr>
          <w:rStyle w:val="Refernciadenotaapeudepgina"/>
          <w:rFonts w:ascii="Times New Roman" w:hAnsi="Times New Roman" w:cs="Times New Roman"/>
          <w:sz w:val="24"/>
          <w:szCs w:val="24"/>
        </w:rPr>
        <w:footnoteReference w:id="28"/>
      </w:r>
      <w:r w:rsidR="00A25F87" w:rsidRPr="00497684">
        <w:rPr>
          <w:rFonts w:ascii="Times New Roman" w:hAnsi="Times New Roman" w:cs="Times New Roman"/>
          <w:sz w:val="24"/>
          <w:szCs w:val="24"/>
          <w:shd w:val="clear" w:color="auto" w:fill="FFFFFF"/>
        </w:rPr>
        <w:t>,</w:t>
      </w:r>
      <w:r w:rsidRPr="00497684">
        <w:rPr>
          <w:rFonts w:ascii="Times New Roman" w:hAnsi="Times New Roman" w:cs="Times New Roman"/>
          <w:sz w:val="24"/>
          <w:szCs w:val="24"/>
          <w:shd w:val="clear" w:color="auto" w:fill="FFFFFF"/>
        </w:rPr>
        <w:t xml:space="preserve"> </w:t>
      </w:r>
      <w:r w:rsidR="00527058" w:rsidRPr="00497684">
        <w:rPr>
          <w:rFonts w:ascii="Times New Roman" w:hAnsi="Times New Roman" w:cs="Times New Roman"/>
          <w:sz w:val="24"/>
          <w:szCs w:val="24"/>
          <w:shd w:val="clear" w:color="auto" w:fill="FFFFFF"/>
        </w:rPr>
        <w:t>y las leyes nacionales de arbitraje. En cambio, e</w:t>
      </w:r>
      <w:r w:rsidRPr="00497684">
        <w:rPr>
          <w:rFonts w:ascii="Times New Roman" w:hAnsi="Times New Roman" w:cs="Times New Roman"/>
          <w:sz w:val="24"/>
          <w:szCs w:val="24"/>
          <w:shd w:val="clear" w:color="auto" w:fill="FFFFFF"/>
        </w:rPr>
        <w:t xml:space="preserve">l reconocimiento y ejecución de laudos </w:t>
      </w:r>
      <w:r w:rsidR="00527058" w:rsidRPr="00497684">
        <w:rPr>
          <w:rFonts w:ascii="Times New Roman" w:hAnsi="Times New Roman" w:cs="Times New Roman"/>
          <w:sz w:val="24"/>
          <w:szCs w:val="24"/>
          <w:shd w:val="clear" w:color="auto" w:fill="FFFFFF"/>
        </w:rPr>
        <w:t xml:space="preserve">no se regula por </w:t>
      </w:r>
      <w:r w:rsidRPr="00497684">
        <w:rPr>
          <w:rFonts w:ascii="Times New Roman" w:hAnsi="Times New Roman" w:cs="Times New Roman"/>
          <w:sz w:val="24"/>
          <w:szCs w:val="24"/>
          <w:shd w:val="clear" w:color="auto" w:fill="FFFFFF"/>
        </w:rPr>
        <w:t xml:space="preserve">el </w:t>
      </w:r>
      <w:r w:rsidR="00527058" w:rsidRPr="00497684">
        <w:rPr>
          <w:rFonts w:ascii="Times New Roman" w:hAnsi="Times New Roman" w:cs="Times New Roman"/>
          <w:sz w:val="24"/>
          <w:szCs w:val="24"/>
          <w:shd w:val="clear" w:color="auto" w:fill="FFFFFF"/>
        </w:rPr>
        <w:t>sistema de Bruselas, pues se centra en las sentencias judiciales</w:t>
      </w:r>
      <w:r w:rsidRPr="00497684">
        <w:rPr>
          <w:rFonts w:ascii="Times New Roman" w:hAnsi="Times New Roman" w:cs="Times New Roman"/>
          <w:sz w:val="24"/>
          <w:szCs w:val="24"/>
          <w:shd w:val="clear" w:color="auto" w:fill="FFFFFF"/>
          <w:vertAlign w:val="superscript"/>
        </w:rPr>
        <w:footnoteReference w:id="29"/>
      </w:r>
      <w:r w:rsidRPr="00497684">
        <w:rPr>
          <w:rFonts w:ascii="Times New Roman" w:hAnsi="Times New Roman" w:cs="Times New Roman"/>
          <w:sz w:val="24"/>
          <w:szCs w:val="24"/>
          <w:shd w:val="clear" w:color="auto" w:fill="FFFFFF"/>
        </w:rPr>
        <w:t xml:space="preserve">. </w:t>
      </w:r>
    </w:p>
    <w:p w:rsidR="00527058" w:rsidRPr="00497684" w:rsidRDefault="00527058" w:rsidP="00527058">
      <w:pPr>
        <w:spacing w:after="0"/>
        <w:jc w:val="both"/>
        <w:rPr>
          <w:rFonts w:ascii="Times New Roman" w:hAnsi="Times New Roman" w:cs="Times New Roman"/>
          <w:sz w:val="24"/>
          <w:szCs w:val="24"/>
        </w:rPr>
      </w:pPr>
      <w:r w:rsidRPr="00497684">
        <w:rPr>
          <w:rFonts w:ascii="Times New Roman" w:hAnsi="Times New Roman" w:cs="Times New Roman"/>
          <w:sz w:val="24"/>
          <w:szCs w:val="24"/>
        </w:rPr>
        <w:lastRenderedPageBreak/>
        <w:t>La cuestión es si una resolución judicial que ejecuta un laudo es una resolución a los efectos del art. 34(3) Reglamento 44/2001 o si no lo es, por la exclusión del arbitraje del art. 1.2.d del mismo Reglamento.</w:t>
      </w:r>
      <w:r w:rsidR="00A77834" w:rsidRPr="00497684">
        <w:rPr>
          <w:rFonts w:ascii="Times New Roman" w:hAnsi="Times New Roman" w:cs="Times New Roman"/>
          <w:sz w:val="24"/>
          <w:szCs w:val="24"/>
        </w:rPr>
        <w:t xml:space="preserve"> </w:t>
      </w:r>
    </w:p>
    <w:p w:rsidR="00C96F01" w:rsidRPr="00497684" w:rsidRDefault="00527058" w:rsidP="00E3555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Por un lado, </w:t>
      </w:r>
      <w:r w:rsidR="00BE60A6" w:rsidRPr="00497684">
        <w:rPr>
          <w:rFonts w:ascii="Times New Roman" w:hAnsi="Times New Roman" w:cs="Times New Roman"/>
          <w:sz w:val="24"/>
          <w:szCs w:val="24"/>
        </w:rPr>
        <w:t>unos autores consideran que el laudo ejecutado judicialmente sí puede encajar en la resolución del art. 34(3) Reglamento 44/2001 e impedir así que se reconozca una sentencia extranjera en el Estado requerido por su carácter inconciliable</w:t>
      </w:r>
      <w:r w:rsidR="00BE60A6" w:rsidRPr="00497684">
        <w:rPr>
          <w:rStyle w:val="Refernciadenotaapeudepgina"/>
          <w:rFonts w:ascii="Times New Roman" w:hAnsi="Times New Roman" w:cs="Times New Roman"/>
          <w:sz w:val="24"/>
          <w:szCs w:val="24"/>
        </w:rPr>
        <w:footnoteReference w:id="30"/>
      </w:r>
      <w:r w:rsidR="00BE60A6" w:rsidRPr="00497684">
        <w:rPr>
          <w:rFonts w:ascii="Times New Roman" w:hAnsi="Times New Roman" w:cs="Times New Roman"/>
          <w:sz w:val="24"/>
          <w:szCs w:val="24"/>
        </w:rPr>
        <w:t xml:space="preserve">. Los autores suelen citar el caso </w:t>
      </w:r>
      <w:r w:rsidR="00BE60A6" w:rsidRPr="00497684">
        <w:rPr>
          <w:rFonts w:ascii="Times New Roman" w:hAnsi="Times New Roman" w:cs="Times New Roman"/>
          <w:i/>
          <w:sz w:val="24"/>
          <w:szCs w:val="24"/>
        </w:rPr>
        <w:t>Hoffmann v. Krieg</w:t>
      </w:r>
      <w:r w:rsidR="00BE60A6" w:rsidRPr="00497684">
        <w:rPr>
          <w:rStyle w:val="Refernciadenotaapeudepgina"/>
          <w:rFonts w:ascii="Times New Roman" w:hAnsi="Times New Roman" w:cs="Times New Roman"/>
          <w:sz w:val="24"/>
          <w:szCs w:val="24"/>
        </w:rPr>
        <w:footnoteReference w:id="31"/>
      </w:r>
      <w:r w:rsidRPr="00497684">
        <w:rPr>
          <w:rFonts w:ascii="Times New Roman" w:hAnsi="Times New Roman" w:cs="Times New Roman"/>
          <w:sz w:val="24"/>
          <w:szCs w:val="24"/>
        </w:rPr>
        <w:t xml:space="preserve"> del TJUE, para respaldar esta afirmación. </w:t>
      </w:r>
      <w:r w:rsidR="00BE60A6" w:rsidRPr="00497684">
        <w:rPr>
          <w:rFonts w:ascii="Times New Roman" w:hAnsi="Times New Roman" w:cs="Times New Roman"/>
          <w:sz w:val="24"/>
          <w:szCs w:val="24"/>
        </w:rPr>
        <w:t>Trataba sobre otra materia excluida del ámbito de aplicación del Convenio de Bruselas de 1968, el estado y capacidad de las personas físicas (art. 1.1.)</w:t>
      </w:r>
      <w:r w:rsidRPr="00497684">
        <w:rPr>
          <w:rFonts w:ascii="Times New Roman" w:hAnsi="Times New Roman" w:cs="Times New Roman"/>
          <w:sz w:val="24"/>
          <w:szCs w:val="24"/>
        </w:rPr>
        <w:t xml:space="preserve">, por lo que parecería ser de aplicación analógica a otra materia excluida: el arbitraje. </w:t>
      </w:r>
      <w:r w:rsidR="00BE60A6" w:rsidRPr="00497684">
        <w:rPr>
          <w:rFonts w:ascii="Times New Roman" w:hAnsi="Times New Roman" w:cs="Times New Roman"/>
          <w:sz w:val="24"/>
          <w:szCs w:val="24"/>
        </w:rPr>
        <w:t>En concreto, trataba de la ejecución en el Estado requerido de una sentencia firme que reconocía la prestación económica de alimentos a favor de un cónyuge, cuando en el Estado requerido de reconocimiento ya se había dictado y era firme la resolución judicial de divorcio</w:t>
      </w:r>
      <w:r w:rsidR="00BE60A6" w:rsidRPr="00497684">
        <w:rPr>
          <w:rStyle w:val="Refernciadenotaapeudepgina"/>
          <w:rFonts w:ascii="Times New Roman" w:hAnsi="Times New Roman" w:cs="Times New Roman"/>
          <w:sz w:val="24"/>
          <w:szCs w:val="24"/>
        </w:rPr>
        <w:footnoteReference w:id="32"/>
      </w:r>
      <w:r w:rsidR="00BE60A6" w:rsidRPr="00497684">
        <w:rPr>
          <w:rFonts w:ascii="Times New Roman" w:hAnsi="Times New Roman" w:cs="Times New Roman"/>
          <w:sz w:val="24"/>
          <w:szCs w:val="24"/>
        </w:rPr>
        <w:t>. El Tribunal Europeo admitió negar el reconocimiento por inconciliabilidad del art. 27(3) del Convenio de Bruselas</w:t>
      </w:r>
      <w:r w:rsidRPr="00497684">
        <w:rPr>
          <w:rFonts w:ascii="Times New Roman" w:hAnsi="Times New Roman" w:cs="Times New Roman"/>
          <w:sz w:val="24"/>
          <w:szCs w:val="24"/>
        </w:rPr>
        <w:t xml:space="preserve"> [</w:t>
      </w:r>
      <w:r w:rsidR="00BE60A6" w:rsidRPr="00497684">
        <w:rPr>
          <w:rFonts w:ascii="Times New Roman" w:hAnsi="Times New Roman" w:cs="Times New Roman"/>
          <w:sz w:val="24"/>
          <w:szCs w:val="24"/>
        </w:rPr>
        <w:t>corresponde al art. 34(3) Reglamento 44/2001</w:t>
      </w:r>
      <w:r w:rsidRPr="00497684">
        <w:rPr>
          <w:rFonts w:ascii="Times New Roman" w:hAnsi="Times New Roman" w:cs="Times New Roman"/>
          <w:sz w:val="24"/>
          <w:szCs w:val="24"/>
        </w:rPr>
        <w:t>]</w:t>
      </w:r>
      <w:r w:rsidR="00BE60A6" w:rsidRPr="00497684">
        <w:rPr>
          <w:rFonts w:ascii="Times New Roman" w:hAnsi="Times New Roman" w:cs="Times New Roman"/>
          <w:sz w:val="24"/>
          <w:szCs w:val="24"/>
        </w:rPr>
        <w:t>. Señaló que “</w:t>
      </w:r>
      <w:r w:rsidR="00BE60A6" w:rsidRPr="00497684">
        <w:rPr>
          <w:rFonts w:ascii="Times New Roman" w:hAnsi="Times New Roman" w:cs="Times New Roman"/>
          <w:i/>
          <w:sz w:val="24"/>
          <w:szCs w:val="24"/>
        </w:rPr>
        <w:t>una resolución extranjera que condena a un esposo a pagar alimentos a su cónyuge en cumplimiento de sus obligaciones de manutención derivadas del matrimonio es inconciliable, en los términos del apartado 3 del artículo 27 del Convenio, con una resolución nacional que declaró el divorcio entre los mismos esposos</w:t>
      </w:r>
      <w:r w:rsidR="00BE60A6" w:rsidRPr="00497684">
        <w:rPr>
          <w:rFonts w:ascii="Times New Roman" w:hAnsi="Times New Roman" w:cs="Times New Roman"/>
          <w:sz w:val="24"/>
          <w:szCs w:val="24"/>
        </w:rPr>
        <w:t>” (par. 25).</w:t>
      </w:r>
      <w:r w:rsidR="00A13FA8" w:rsidRPr="00497684">
        <w:rPr>
          <w:rFonts w:ascii="Times New Roman" w:hAnsi="Times New Roman" w:cs="Times New Roman"/>
          <w:sz w:val="24"/>
          <w:szCs w:val="24"/>
        </w:rPr>
        <w:t xml:space="preserve"> </w:t>
      </w:r>
    </w:p>
    <w:p w:rsidR="00A13FA8" w:rsidRPr="00497684" w:rsidRDefault="00527058" w:rsidP="00F80D2E">
      <w:pPr>
        <w:spacing w:after="0"/>
        <w:jc w:val="both"/>
        <w:rPr>
          <w:rFonts w:ascii="Times New Roman" w:hAnsi="Times New Roman" w:cs="Times New Roman"/>
          <w:sz w:val="24"/>
          <w:szCs w:val="24"/>
          <w:shd w:val="clear" w:color="auto" w:fill="FFFFFF"/>
        </w:rPr>
      </w:pPr>
      <w:r w:rsidRPr="00497684">
        <w:rPr>
          <w:rFonts w:ascii="Times New Roman" w:hAnsi="Times New Roman" w:cs="Times New Roman"/>
          <w:sz w:val="24"/>
          <w:szCs w:val="24"/>
          <w:shd w:val="clear" w:color="auto" w:fill="FFFFFF"/>
        </w:rPr>
        <w:t xml:space="preserve">Por otro lado, </w:t>
      </w:r>
      <w:r w:rsidR="00515A16" w:rsidRPr="00497684">
        <w:rPr>
          <w:rFonts w:ascii="Times New Roman" w:hAnsi="Times New Roman" w:cs="Times New Roman"/>
          <w:sz w:val="24"/>
          <w:szCs w:val="24"/>
          <w:shd w:val="clear" w:color="auto" w:fill="FFFFFF"/>
        </w:rPr>
        <w:t>algunos</w:t>
      </w:r>
      <w:r w:rsidRPr="00497684">
        <w:rPr>
          <w:rFonts w:ascii="Times New Roman" w:hAnsi="Times New Roman" w:cs="Times New Roman"/>
          <w:sz w:val="24"/>
          <w:szCs w:val="24"/>
          <w:shd w:val="clear" w:color="auto" w:fill="FFFFFF"/>
        </w:rPr>
        <w:t xml:space="preserve"> </w:t>
      </w:r>
      <w:r w:rsidR="005F4316" w:rsidRPr="00497684">
        <w:rPr>
          <w:rFonts w:ascii="Times New Roman" w:hAnsi="Times New Roman" w:cs="Times New Roman"/>
          <w:sz w:val="24"/>
          <w:szCs w:val="24"/>
          <w:shd w:val="clear" w:color="auto" w:fill="FFFFFF"/>
        </w:rPr>
        <w:t xml:space="preserve">autores </w:t>
      </w:r>
      <w:r w:rsidR="005F4316" w:rsidRPr="00497684">
        <w:rPr>
          <w:rFonts w:ascii="Times New Roman" w:hAnsi="Times New Roman" w:cs="Times New Roman"/>
          <w:sz w:val="24"/>
          <w:szCs w:val="24"/>
        </w:rPr>
        <w:t>señalan que en estos casos el Reglamento 44/2001 no se aplica, pues se trata de una cuestión regulada por el art. II.3 C</w:t>
      </w:r>
      <w:r w:rsidR="00A25F87" w:rsidRPr="00497684">
        <w:rPr>
          <w:rFonts w:ascii="Times New Roman" w:hAnsi="Times New Roman" w:cs="Times New Roman"/>
          <w:sz w:val="24"/>
          <w:szCs w:val="24"/>
        </w:rPr>
        <w:t>NY</w:t>
      </w:r>
      <w:r w:rsidR="005F4316" w:rsidRPr="00497684">
        <w:rPr>
          <w:rFonts w:ascii="Times New Roman" w:hAnsi="Times New Roman" w:cs="Times New Roman"/>
          <w:sz w:val="24"/>
          <w:szCs w:val="24"/>
        </w:rPr>
        <w:t>, de modo que los artículos 34 y 35 Reglamento 44/2001 no se aplican</w:t>
      </w:r>
      <w:r w:rsidR="005F4316" w:rsidRPr="00497684">
        <w:rPr>
          <w:rStyle w:val="Refernciadenotaapeudepgina"/>
          <w:rFonts w:ascii="Times New Roman" w:hAnsi="Times New Roman" w:cs="Times New Roman"/>
          <w:sz w:val="24"/>
          <w:szCs w:val="24"/>
        </w:rPr>
        <w:footnoteReference w:id="33"/>
      </w:r>
      <w:r w:rsidR="005F4316" w:rsidRPr="00497684">
        <w:rPr>
          <w:rFonts w:ascii="Times New Roman" w:hAnsi="Times New Roman" w:cs="Times New Roman"/>
          <w:sz w:val="24"/>
          <w:szCs w:val="24"/>
        </w:rPr>
        <w:t>.</w:t>
      </w:r>
      <w:r w:rsidR="005F4316" w:rsidRPr="00497684">
        <w:rPr>
          <w:rFonts w:ascii="Times New Roman" w:hAnsi="Times New Roman" w:cs="Times New Roman"/>
          <w:sz w:val="24"/>
          <w:szCs w:val="24"/>
          <w:shd w:val="clear" w:color="auto" w:fill="FFFFFF"/>
        </w:rPr>
        <w:t xml:space="preserve"> </w:t>
      </w:r>
    </w:p>
    <w:p w:rsidR="00F13E55" w:rsidRPr="00497684" w:rsidRDefault="00527058" w:rsidP="00F13E55">
      <w:pPr>
        <w:spacing w:after="0"/>
        <w:jc w:val="both"/>
        <w:rPr>
          <w:rFonts w:ascii="Times New Roman" w:hAnsi="Times New Roman" w:cs="Times New Roman"/>
          <w:sz w:val="24"/>
          <w:szCs w:val="24"/>
        </w:rPr>
      </w:pPr>
      <w:r w:rsidRPr="00497684">
        <w:rPr>
          <w:rFonts w:ascii="Times New Roman" w:hAnsi="Times New Roman" w:cs="Times New Roman"/>
          <w:sz w:val="24"/>
          <w:szCs w:val="24"/>
          <w:shd w:val="clear" w:color="auto" w:fill="FFFFFF"/>
        </w:rPr>
        <w:t>Suscribimos esta opinión</w:t>
      </w:r>
      <w:r w:rsidR="00F13E55" w:rsidRPr="00497684">
        <w:rPr>
          <w:rFonts w:ascii="Times New Roman" w:hAnsi="Times New Roman" w:cs="Times New Roman"/>
          <w:sz w:val="24"/>
          <w:szCs w:val="24"/>
          <w:shd w:val="clear" w:color="auto" w:fill="FFFFFF"/>
        </w:rPr>
        <w:t xml:space="preserve">, pues </w:t>
      </w:r>
      <w:r w:rsidR="00F13E55" w:rsidRPr="00497684">
        <w:rPr>
          <w:rFonts w:ascii="Times New Roman" w:hAnsi="Times New Roman" w:cs="Times New Roman"/>
          <w:sz w:val="24"/>
          <w:szCs w:val="24"/>
        </w:rPr>
        <w:t>es preceptiva la interpretación sistemática del art. 1.2(d), que declara la "</w:t>
      </w:r>
      <w:r w:rsidR="00F13E55" w:rsidRPr="00497684">
        <w:rPr>
          <w:rFonts w:ascii="Times New Roman" w:hAnsi="Times New Roman" w:cs="Times New Roman"/>
          <w:i/>
          <w:sz w:val="24"/>
          <w:szCs w:val="24"/>
        </w:rPr>
        <w:t>inaplicación</w:t>
      </w:r>
      <w:r w:rsidR="00F13E55" w:rsidRPr="00497684">
        <w:rPr>
          <w:rFonts w:ascii="Times New Roman" w:hAnsi="Times New Roman" w:cs="Times New Roman"/>
          <w:sz w:val="24"/>
          <w:szCs w:val="24"/>
        </w:rPr>
        <w:t>" del Reglamento 44/2001, y del art. 34(3) sobre resoluciones inconciliables.</w:t>
      </w:r>
    </w:p>
    <w:p w:rsidR="004458BD" w:rsidRPr="00497684" w:rsidRDefault="00527058" w:rsidP="00F80D2E">
      <w:pPr>
        <w:spacing w:after="0"/>
        <w:jc w:val="both"/>
        <w:rPr>
          <w:rFonts w:ascii="Times New Roman" w:hAnsi="Times New Roman" w:cs="Times New Roman"/>
          <w:sz w:val="24"/>
          <w:szCs w:val="24"/>
          <w:shd w:val="clear" w:color="auto" w:fill="FFFFFF"/>
        </w:rPr>
      </w:pPr>
      <w:r w:rsidRPr="00497684">
        <w:rPr>
          <w:rFonts w:ascii="Times New Roman" w:hAnsi="Times New Roman" w:cs="Times New Roman"/>
          <w:sz w:val="24"/>
          <w:szCs w:val="24"/>
          <w:shd w:val="clear" w:color="auto" w:fill="FFFFFF"/>
        </w:rPr>
        <w:t>Creemos que la ejecución de laudos es una materia excluida del Reglamento 44/2001 y que</w:t>
      </w:r>
      <w:r w:rsidR="00515A16" w:rsidRPr="00497684">
        <w:rPr>
          <w:rFonts w:ascii="Times New Roman" w:hAnsi="Times New Roman" w:cs="Times New Roman"/>
          <w:sz w:val="24"/>
          <w:szCs w:val="24"/>
          <w:shd w:val="clear" w:color="auto" w:fill="FFFFFF"/>
        </w:rPr>
        <w:t xml:space="preserve"> dicha exclusión significa que la resolución judicial que ejecute un laudo arbitral: 1º) No es susceptible de circular entre los Estados miembros de la Unión Europea; y, 2º) No es una resolución a los efectos del art. 34(3) Reglamento 44/2001 para impedir la libre circulación de resoluciones judiciales que sí entran dentro del ámbito de aplicación de dicho Reglamento.</w:t>
      </w:r>
      <w:r w:rsidR="00A77834" w:rsidRPr="00497684">
        <w:rPr>
          <w:rFonts w:ascii="Times New Roman" w:hAnsi="Times New Roman" w:cs="Times New Roman"/>
          <w:sz w:val="24"/>
          <w:szCs w:val="24"/>
          <w:shd w:val="clear" w:color="auto" w:fill="FFFFFF"/>
        </w:rPr>
        <w:t xml:space="preserve"> </w:t>
      </w:r>
      <w:r w:rsidRPr="00497684">
        <w:rPr>
          <w:rFonts w:ascii="Times New Roman" w:hAnsi="Times New Roman" w:cs="Times New Roman"/>
          <w:sz w:val="24"/>
          <w:szCs w:val="24"/>
          <w:shd w:val="clear" w:color="auto" w:fill="FFFFFF"/>
        </w:rPr>
        <w:t xml:space="preserve"> </w:t>
      </w:r>
    </w:p>
    <w:p w:rsidR="00615FA5" w:rsidRPr="00497684" w:rsidRDefault="00A13FA8"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En primer lugar, h</w:t>
      </w:r>
      <w:r w:rsidR="00AE25C3" w:rsidRPr="00497684">
        <w:rPr>
          <w:rFonts w:ascii="Times New Roman" w:hAnsi="Times New Roman" w:cs="Times New Roman"/>
          <w:sz w:val="24"/>
          <w:szCs w:val="24"/>
        </w:rPr>
        <w:t xml:space="preserve">abida cuenta de la naturaleza de las cuestiones que debía resolver la </w:t>
      </w:r>
      <w:r w:rsidR="00DA09A2" w:rsidRPr="00497684">
        <w:rPr>
          <w:rFonts w:ascii="Times New Roman" w:hAnsi="Times New Roman" w:cs="Times New Roman"/>
          <w:i/>
          <w:sz w:val="24"/>
          <w:szCs w:val="24"/>
        </w:rPr>
        <w:t>High Court</w:t>
      </w:r>
      <w:r w:rsidR="00DA09A2" w:rsidRPr="00497684">
        <w:rPr>
          <w:rFonts w:ascii="Times New Roman" w:hAnsi="Times New Roman" w:cs="Times New Roman"/>
          <w:sz w:val="24"/>
          <w:szCs w:val="24"/>
        </w:rPr>
        <w:t xml:space="preserve"> sobre la ejecución forzosa de un laudo, si procede o no conforme a la sec. 66 AA 1996</w:t>
      </w:r>
      <w:r w:rsidR="00AE25C3" w:rsidRPr="00497684">
        <w:rPr>
          <w:rFonts w:ascii="Times New Roman" w:hAnsi="Times New Roman" w:cs="Times New Roman"/>
          <w:sz w:val="24"/>
          <w:szCs w:val="24"/>
        </w:rPr>
        <w:t xml:space="preserve">, </w:t>
      </w:r>
      <w:r w:rsidRPr="00497684">
        <w:rPr>
          <w:rFonts w:ascii="Times New Roman" w:hAnsi="Times New Roman" w:cs="Times New Roman"/>
          <w:sz w:val="24"/>
          <w:szCs w:val="24"/>
        </w:rPr>
        <w:t>entra dentro del ámbito del arbitraje. E</w:t>
      </w:r>
      <w:r w:rsidR="002B193C" w:rsidRPr="00497684">
        <w:rPr>
          <w:rFonts w:ascii="Times New Roman" w:hAnsi="Times New Roman" w:cs="Times New Roman"/>
          <w:sz w:val="24"/>
          <w:szCs w:val="24"/>
        </w:rPr>
        <w:t xml:space="preserve">l propio juez de la </w:t>
      </w:r>
      <w:r w:rsidR="002B193C" w:rsidRPr="00497684">
        <w:rPr>
          <w:rFonts w:ascii="Times New Roman" w:hAnsi="Times New Roman" w:cs="Times New Roman"/>
          <w:i/>
          <w:sz w:val="24"/>
          <w:szCs w:val="24"/>
        </w:rPr>
        <w:t>High Court</w:t>
      </w:r>
      <w:r w:rsidR="002B193C" w:rsidRPr="00497684">
        <w:rPr>
          <w:rFonts w:ascii="Times New Roman" w:hAnsi="Times New Roman" w:cs="Times New Roman"/>
          <w:sz w:val="24"/>
          <w:szCs w:val="24"/>
        </w:rPr>
        <w:t xml:space="preserve"> que </w:t>
      </w:r>
      <w:r w:rsidR="00AE25C3" w:rsidRPr="00497684">
        <w:rPr>
          <w:rFonts w:ascii="Times New Roman" w:hAnsi="Times New Roman" w:cs="Times New Roman"/>
          <w:sz w:val="24"/>
          <w:szCs w:val="24"/>
        </w:rPr>
        <w:t xml:space="preserve">adoptó la resolución de </w:t>
      </w:r>
      <w:r w:rsidR="002B193C" w:rsidRPr="00497684">
        <w:rPr>
          <w:rFonts w:ascii="Times New Roman" w:hAnsi="Times New Roman" w:cs="Times New Roman"/>
          <w:sz w:val="24"/>
          <w:szCs w:val="24"/>
        </w:rPr>
        <w:t>la ejecución judicial de</w:t>
      </w:r>
      <w:r w:rsidR="00AE25C3" w:rsidRPr="00497684">
        <w:rPr>
          <w:rFonts w:ascii="Times New Roman" w:hAnsi="Times New Roman" w:cs="Times New Roman"/>
          <w:sz w:val="24"/>
          <w:szCs w:val="24"/>
        </w:rPr>
        <w:t>l laudo</w:t>
      </w:r>
      <w:r w:rsidR="002B193C" w:rsidRPr="00497684">
        <w:rPr>
          <w:rFonts w:ascii="Times New Roman" w:hAnsi="Times New Roman" w:cs="Times New Roman"/>
          <w:sz w:val="24"/>
          <w:szCs w:val="24"/>
        </w:rPr>
        <w:t xml:space="preserve"> señaló que el </w:t>
      </w:r>
      <w:r w:rsidR="00AE25C3" w:rsidRPr="00497684">
        <w:rPr>
          <w:rFonts w:ascii="Times New Roman" w:hAnsi="Times New Roman" w:cs="Times New Roman"/>
          <w:sz w:val="24"/>
          <w:szCs w:val="24"/>
        </w:rPr>
        <w:t>“</w:t>
      </w:r>
      <w:r w:rsidR="002B193C" w:rsidRPr="00497684">
        <w:rPr>
          <w:rFonts w:ascii="Times New Roman" w:hAnsi="Times New Roman" w:cs="Times New Roman"/>
          <w:i/>
          <w:sz w:val="24"/>
          <w:szCs w:val="24"/>
        </w:rPr>
        <w:t>procedimiento de la sec. 66 AA 1996 no entr</w:t>
      </w:r>
      <w:r w:rsidR="00AE25C3" w:rsidRPr="00497684">
        <w:rPr>
          <w:rFonts w:ascii="Times New Roman" w:hAnsi="Times New Roman" w:cs="Times New Roman"/>
          <w:i/>
          <w:sz w:val="24"/>
          <w:szCs w:val="24"/>
        </w:rPr>
        <w:t>a</w:t>
      </w:r>
      <w:r w:rsidR="002B193C" w:rsidRPr="00497684">
        <w:rPr>
          <w:rFonts w:ascii="Times New Roman" w:hAnsi="Times New Roman" w:cs="Times New Roman"/>
          <w:i/>
          <w:sz w:val="24"/>
          <w:szCs w:val="24"/>
        </w:rPr>
        <w:t xml:space="preserve"> dentro del ámbito de aplicación del Reglamento 44/2001</w:t>
      </w:r>
      <w:r w:rsidR="002B193C" w:rsidRPr="00497684">
        <w:rPr>
          <w:rFonts w:ascii="Times New Roman" w:hAnsi="Times New Roman" w:cs="Times New Roman"/>
          <w:sz w:val="24"/>
          <w:szCs w:val="24"/>
        </w:rPr>
        <w:t>" (ap.</w:t>
      </w:r>
      <w:r w:rsidR="00004537" w:rsidRPr="00497684">
        <w:rPr>
          <w:rFonts w:ascii="Times New Roman" w:hAnsi="Times New Roman" w:cs="Times New Roman"/>
          <w:sz w:val="24"/>
          <w:szCs w:val="24"/>
        </w:rPr>
        <w:t xml:space="preserve"> </w:t>
      </w:r>
      <w:r w:rsidR="002B193C" w:rsidRPr="00497684">
        <w:rPr>
          <w:rFonts w:ascii="Times New Roman" w:hAnsi="Times New Roman" w:cs="Times New Roman"/>
          <w:sz w:val="24"/>
          <w:szCs w:val="24"/>
        </w:rPr>
        <w:t xml:space="preserve">192). </w:t>
      </w:r>
      <w:r w:rsidR="005F4316" w:rsidRPr="00497684">
        <w:rPr>
          <w:rFonts w:ascii="Times New Roman" w:hAnsi="Times New Roman" w:cs="Times New Roman"/>
          <w:sz w:val="24"/>
          <w:szCs w:val="24"/>
        </w:rPr>
        <w:lastRenderedPageBreak/>
        <w:t>Por tanto, l</w:t>
      </w:r>
      <w:r w:rsidR="00DA09A2" w:rsidRPr="00497684">
        <w:rPr>
          <w:rFonts w:ascii="Times New Roman" w:hAnsi="Times New Roman" w:cs="Times New Roman"/>
          <w:sz w:val="24"/>
          <w:szCs w:val="24"/>
        </w:rPr>
        <w:t xml:space="preserve">a </w:t>
      </w:r>
      <w:r w:rsidR="005F4316" w:rsidRPr="00497684">
        <w:rPr>
          <w:rFonts w:ascii="Times New Roman" w:hAnsi="Times New Roman" w:cs="Times New Roman"/>
          <w:sz w:val="24"/>
          <w:szCs w:val="24"/>
        </w:rPr>
        <w:t xml:space="preserve">naturaleza de las cuestiones sobre las cuales la </w:t>
      </w:r>
      <w:r w:rsidR="005F4316" w:rsidRPr="00497684">
        <w:rPr>
          <w:rFonts w:ascii="Times New Roman" w:hAnsi="Times New Roman" w:cs="Times New Roman"/>
          <w:i/>
          <w:sz w:val="24"/>
          <w:szCs w:val="24"/>
        </w:rPr>
        <w:t>High Court</w:t>
      </w:r>
      <w:r w:rsidR="005F4316" w:rsidRPr="00497684">
        <w:rPr>
          <w:rFonts w:ascii="Times New Roman" w:hAnsi="Times New Roman" w:cs="Times New Roman"/>
          <w:sz w:val="24"/>
          <w:szCs w:val="24"/>
        </w:rPr>
        <w:t xml:space="preserve"> debía resolver </w:t>
      </w:r>
      <w:r w:rsidR="002B193C" w:rsidRPr="00497684">
        <w:rPr>
          <w:rFonts w:ascii="Times New Roman" w:hAnsi="Times New Roman" w:cs="Times New Roman"/>
          <w:sz w:val="24"/>
          <w:szCs w:val="24"/>
        </w:rPr>
        <w:t xml:space="preserve">no era la materia civil y mercantil subyacente, sino si </w:t>
      </w:r>
      <w:r w:rsidRPr="00497684">
        <w:rPr>
          <w:rFonts w:ascii="Times New Roman" w:hAnsi="Times New Roman" w:cs="Times New Roman"/>
          <w:sz w:val="24"/>
          <w:szCs w:val="24"/>
        </w:rPr>
        <w:t>los</w:t>
      </w:r>
      <w:r w:rsidR="002B193C" w:rsidRPr="00497684">
        <w:rPr>
          <w:rFonts w:ascii="Times New Roman" w:hAnsi="Times New Roman" w:cs="Times New Roman"/>
          <w:sz w:val="24"/>
          <w:szCs w:val="24"/>
        </w:rPr>
        <w:t xml:space="preserve"> laudo</w:t>
      </w:r>
      <w:r w:rsidRPr="00497684">
        <w:rPr>
          <w:rFonts w:ascii="Times New Roman" w:hAnsi="Times New Roman" w:cs="Times New Roman"/>
          <w:sz w:val="24"/>
          <w:szCs w:val="24"/>
        </w:rPr>
        <w:t>s arbitrales eran o no</w:t>
      </w:r>
      <w:r w:rsidR="002B193C" w:rsidRPr="00497684">
        <w:rPr>
          <w:rFonts w:ascii="Times New Roman" w:hAnsi="Times New Roman" w:cs="Times New Roman"/>
          <w:sz w:val="24"/>
          <w:szCs w:val="24"/>
        </w:rPr>
        <w:t xml:space="preserve"> ejecutable</w:t>
      </w:r>
      <w:r w:rsidRPr="00497684">
        <w:rPr>
          <w:rFonts w:ascii="Times New Roman" w:hAnsi="Times New Roman" w:cs="Times New Roman"/>
          <w:sz w:val="24"/>
          <w:szCs w:val="24"/>
        </w:rPr>
        <w:t>s</w:t>
      </w:r>
      <w:r w:rsidR="002B193C" w:rsidRPr="00497684">
        <w:rPr>
          <w:rFonts w:ascii="Times New Roman" w:hAnsi="Times New Roman" w:cs="Times New Roman"/>
          <w:sz w:val="24"/>
          <w:szCs w:val="24"/>
        </w:rPr>
        <w:t>.</w:t>
      </w:r>
      <w:r w:rsidR="00004537" w:rsidRPr="00497684">
        <w:rPr>
          <w:rFonts w:ascii="Times New Roman" w:hAnsi="Times New Roman" w:cs="Times New Roman"/>
          <w:sz w:val="24"/>
          <w:szCs w:val="24"/>
        </w:rPr>
        <w:t xml:space="preserve"> </w:t>
      </w:r>
    </w:p>
    <w:p w:rsidR="00C96F01" w:rsidRPr="00497684" w:rsidRDefault="00312374"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La ejecución judicial de un laudo arbitral es una acción judicial típica del arbitraje, en apoyo del mismo</w:t>
      </w:r>
      <w:r w:rsidR="00A13FA8" w:rsidRPr="00497684">
        <w:rPr>
          <w:rFonts w:ascii="Times New Roman" w:hAnsi="Times New Roman" w:cs="Times New Roman"/>
          <w:sz w:val="24"/>
          <w:szCs w:val="24"/>
        </w:rPr>
        <w:t xml:space="preserve"> y, por tanto, excluida del ámbito de aplicación del Reglamento 44/2001</w:t>
      </w:r>
      <w:r w:rsidRPr="00497684">
        <w:rPr>
          <w:rFonts w:ascii="Times New Roman" w:hAnsi="Times New Roman" w:cs="Times New Roman"/>
          <w:sz w:val="24"/>
          <w:szCs w:val="24"/>
        </w:rPr>
        <w:t>. Si la parte obligada no cumple los términos del laudo, cabe acudir al tribunal judicial competente para imponer su cumplimiento forzoso.</w:t>
      </w:r>
      <w:r w:rsidR="00004537" w:rsidRPr="00497684">
        <w:rPr>
          <w:rFonts w:ascii="Times New Roman" w:hAnsi="Times New Roman" w:cs="Times New Roman"/>
          <w:sz w:val="24"/>
          <w:szCs w:val="24"/>
        </w:rPr>
        <w:t xml:space="preserve"> </w:t>
      </w:r>
      <w:r w:rsidRPr="00497684">
        <w:rPr>
          <w:rFonts w:ascii="Times New Roman" w:hAnsi="Times New Roman" w:cs="Times New Roman"/>
          <w:sz w:val="24"/>
          <w:szCs w:val="24"/>
        </w:rPr>
        <w:t xml:space="preserve">La naturaleza jurídica del reconocimiento judicial de laudos arbitrales conforme a la sec. 66 AA 1996 encaja dentro de la categoría de arbitraje o procedimientos judiciales relacionados con el arbitraje. En su virtud, el juez </w:t>
      </w:r>
      <w:r w:rsidRPr="00497684">
        <w:rPr>
          <w:rFonts w:ascii="Times New Roman" w:hAnsi="Times New Roman" w:cs="Times New Roman"/>
          <w:i/>
          <w:sz w:val="24"/>
          <w:szCs w:val="24"/>
        </w:rPr>
        <w:t>dicta una decisión judicial en los términos del laudo arbitral</w:t>
      </w:r>
      <w:r w:rsidRPr="00497684">
        <w:rPr>
          <w:rFonts w:ascii="Times New Roman" w:hAnsi="Times New Roman" w:cs="Times New Roman"/>
          <w:sz w:val="24"/>
          <w:szCs w:val="24"/>
        </w:rPr>
        <w:t>. Por sus efectos, se asemeja al auto de ejecución del laudo arbitral que puede dictar el Tribunal español en base al art. 545.5 L</w:t>
      </w:r>
      <w:r w:rsidR="00A679CF" w:rsidRPr="00497684">
        <w:rPr>
          <w:rFonts w:ascii="Times New Roman" w:hAnsi="Times New Roman" w:cs="Times New Roman"/>
          <w:sz w:val="24"/>
          <w:szCs w:val="24"/>
        </w:rPr>
        <w:t xml:space="preserve">ey 1/2000, de 7 de enero, de </w:t>
      </w:r>
      <w:r w:rsidRPr="00497684">
        <w:rPr>
          <w:rFonts w:ascii="Times New Roman" w:hAnsi="Times New Roman" w:cs="Times New Roman"/>
          <w:sz w:val="24"/>
          <w:szCs w:val="24"/>
        </w:rPr>
        <w:t>E</w:t>
      </w:r>
      <w:r w:rsidR="00A679CF" w:rsidRPr="00497684">
        <w:rPr>
          <w:rFonts w:ascii="Times New Roman" w:hAnsi="Times New Roman" w:cs="Times New Roman"/>
          <w:sz w:val="24"/>
          <w:szCs w:val="24"/>
        </w:rPr>
        <w:t xml:space="preserve">njuiciamiento </w:t>
      </w:r>
      <w:r w:rsidRPr="00497684">
        <w:rPr>
          <w:rFonts w:ascii="Times New Roman" w:hAnsi="Times New Roman" w:cs="Times New Roman"/>
          <w:sz w:val="24"/>
          <w:szCs w:val="24"/>
        </w:rPr>
        <w:t>C</w:t>
      </w:r>
      <w:r w:rsidR="00A679CF" w:rsidRPr="00497684">
        <w:rPr>
          <w:rFonts w:ascii="Times New Roman" w:hAnsi="Times New Roman" w:cs="Times New Roman"/>
          <w:sz w:val="24"/>
          <w:szCs w:val="24"/>
        </w:rPr>
        <w:t>ivil</w:t>
      </w:r>
      <w:r w:rsidR="00C96F01" w:rsidRPr="00497684">
        <w:rPr>
          <w:rFonts w:ascii="Times New Roman" w:hAnsi="Times New Roman" w:cs="Times New Roman"/>
          <w:sz w:val="24"/>
          <w:szCs w:val="24"/>
        </w:rPr>
        <w:t>.</w:t>
      </w:r>
    </w:p>
    <w:p w:rsidR="00240B01" w:rsidRPr="00497684" w:rsidRDefault="004D21B0"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L</w:t>
      </w:r>
      <w:r w:rsidR="00240B01" w:rsidRPr="00497684">
        <w:rPr>
          <w:rFonts w:ascii="Times New Roman" w:hAnsi="Times New Roman" w:cs="Times New Roman"/>
          <w:sz w:val="24"/>
          <w:szCs w:val="24"/>
        </w:rPr>
        <w:t xml:space="preserve">a </w:t>
      </w:r>
      <w:r w:rsidR="00F13E55" w:rsidRPr="00497684">
        <w:rPr>
          <w:rFonts w:ascii="Times New Roman" w:hAnsi="Times New Roman" w:cs="Times New Roman"/>
          <w:sz w:val="24"/>
          <w:szCs w:val="24"/>
        </w:rPr>
        <w:t>"</w:t>
      </w:r>
      <w:r w:rsidR="00240B01" w:rsidRPr="00497684">
        <w:rPr>
          <w:rFonts w:ascii="Times New Roman" w:hAnsi="Times New Roman" w:cs="Times New Roman"/>
          <w:i/>
          <w:sz w:val="24"/>
          <w:szCs w:val="24"/>
        </w:rPr>
        <w:t>inaplicación</w:t>
      </w:r>
      <w:r w:rsidR="00F13E55" w:rsidRPr="00497684">
        <w:rPr>
          <w:rFonts w:ascii="Times New Roman" w:hAnsi="Times New Roman" w:cs="Times New Roman"/>
          <w:sz w:val="24"/>
          <w:szCs w:val="24"/>
        </w:rPr>
        <w:t>"</w:t>
      </w:r>
      <w:r w:rsidR="00240B01" w:rsidRPr="00497684">
        <w:rPr>
          <w:rFonts w:ascii="Times New Roman" w:hAnsi="Times New Roman" w:cs="Times New Roman"/>
          <w:sz w:val="24"/>
          <w:szCs w:val="24"/>
        </w:rPr>
        <w:t xml:space="preserve"> del sistema de Bruselas a</w:t>
      </w:r>
      <w:r w:rsidRPr="00497684">
        <w:rPr>
          <w:rFonts w:ascii="Times New Roman" w:hAnsi="Times New Roman" w:cs="Times New Roman"/>
          <w:sz w:val="24"/>
          <w:szCs w:val="24"/>
        </w:rPr>
        <w:t xml:space="preserve"> </w:t>
      </w:r>
      <w:r w:rsidR="00240B01" w:rsidRPr="00497684">
        <w:rPr>
          <w:rFonts w:ascii="Times New Roman" w:hAnsi="Times New Roman" w:cs="Times New Roman"/>
          <w:sz w:val="24"/>
          <w:szCs w:val="24"/>
        </w:rPr>
        <w:t>l</w:t>
      </w:r>
      <w:r w:rsidRPr="00497684">
        <w:rPr>
          <w:rFonts w:ascii="Times New Roman" w:hAnsi="Times New Roman" w:cs="Times New Roman"/>
          <w:sz w:val="24"/>
          <w:szCs w:val="24"/>
        </w:rPr>
        <w:t>a</w:t>
      </w:r>
      <w:r w:rsidR="00240B01" w:rsidRPr="00497684">
        <w:rPr>
          <w:rFonts w:ascii="Times New Roman" w:hAnsi="Times New Roman" w:cs="Times New Roman"/>
          <w:sz w:val="24"/>
          <w:szCs w:val="24"/>
        </w:rPr>
        <w:t xml:space="preserve"> ejecución de laudos</w:t>
      </w:r>
      <w:r w:rsidRPr="00497684">
        <w:rPr>
          <w:rFonts w:ascii="Times New Roman" w:hAnsi="Times New Roman" w:cs="Times New Roman"/>
          <w:sz w:val="24"/>
          <w:szCs w:val="24"/>
        </w:rPr>
        <w:t>, en favor del CNY,</w:t>
      </w:r>
      <w:r w:rsidR="00240B01" w:rsidRPr="00497684">
        <w:rPr>
          <w:rFonts w:ascii="Times New Roman" w:hAnsi="Times New Roman" w:cs="Times New Roman"/>
          <w:sz w:val="24"/>
          <w:szCs w:val="24"/>
        </w:rPr>
        <w:t xml:space="preserve"> está </w:t>
      </w:r>
      <w:r w:rsidR="00A13FA8" w:rsidRPr="00497684">
        <w:rPr>
          <w:rFonts w:ascii="Times New Roman" w:hAnsi="Times New Roman" w:cs="Times New Roman"/>
          <w:sz w:val="24"/>
          <w:szCs w:val="24"/>
        </w:rPr>
        <w:t xml:space="preserve">también </w:t>
      </w:r>
      <w:r w:rsidR="00240B01" w:rsidRPr="00497684">
        <w:rPr>
          <w:rFonts w:ascii="Times New Roman" w:hAnsi="Times New Roman" w:cs="Times New Roman"/>
          <w:sz w:val="24"/>
          <w:szCs w:val="24"/>
        </w:rPr>
        <w:t>sustentad</w:t>
      </w:r>
      <w:r w:rsidR="00F13E55" w:rsidRPr="00497684">
        <w:rPr>
          <w:rFonts w:ascii="Times New Roman" w:hAnsi="Times New Roman" w:cs="Times New Roman"/>
          <w:sz w:val="24"/>
          <w:szCs w:val="24"/>
        </w:rPr>
        <w:t>a</w:t>
      </w:r>
      <w:r w:rsidR="00240B01" w:rsidRPr="00497684">
        <w:rPr>
          <w:rFonts w:ascii="Times New Roman" w:hAnsi="Times New Roman" w:cs="Times New Roman"/>
          <w:sz w:val="24"/>
          <w:szCs w:val="24"/>
        </w:rPr>
        <w:t xml:space="preserve"> por los antecedentes legales. Aunque el art. 220.4 Tratado Constitutivo de la Comunidad Económica Europea de 1957, Tratado de Roma, aludía al reconocimiento y ejecución recíproca de sentencias judiciales y laudos arbitrales entre los Estados Parte. Sin embargo, ulteriormente, la cooperación se ha centrado exclusivamente en el reconocimiento y ejecución de sentencias y nunca se han creado normas comunes europeas para </w:t>
      </w:r>
      <w:r w:rsidR="00CF1F72" w:rsidRPr="00497684">
        <w:rPr>
          <w:rFonts w:ascii="Times New Roman" w:hAnsi="Times New Roman" w:cs="Times New Roman"/>
          <w:sz w:val="24"/>
          <w:szCs w:val="24"/>
        </w:rPr>
        <w:t>facilitar la libre circulación de</w:t>
      </w:r>
      <w:r w:rsidR="00240B01" w:rsidRPr="00497684">
        <w:rPr>
          <w:rFonts w:ascii="Times New Roman" w:hAnsi="Times New Roman" w:cs="Times New Roman"/>
          <w:sz w:val="24"/>
          <w:szCs w:val="24"/>
        </w:rPr>
        <w:t xml:space="preserve"> laudos</w:t>
      </w:r>
      <w:r w:rsidR="00CF1F72" w:rsidRPr="00497684">
        <w:rPr>
          <w:rFonts w:ascii="Times New Roman" w:hAnsi="Times New Roman" w:cs="Times New Roman"/>
          <w:sz w:val="24"/>
          <w:szCs w:val="24"/>
        </w:rPr>
        <w:t xml:space="preserve"> arbitrales entre los Estados miembros</w:t>
      </w:r>
      <w:r w:rsidR="00240B01" w:rsidRPr="00497684">
        <w:rPr>
          <w:rFonts w:ascii="Times New Roman" w:hAnsi="Times New Roman" w:cs="Times New Roman"/>
          <w:sz w:val="24"/>
          <w:szCs w:val="24"/>
        </w:rPr>
        <w:t>. Ello se ha plasmado en la exclusión expresa del arbitraje</w:t>
      </w:r>
      <w:r w:rsidR="00CF1F72" w:rsidRPr="00497684">
        <w:rPr>
          <w:rFonts w:ascii="Times New Roman" w:hAnsi="Times New Roman" w:cs="Times New Roman"/>
          <w:sz w:val="24"/>
          <w:szCs w:val="24"/>
        </w:rPr>
        <w:t xml:space="preserve"> en todas las reglamentaciones pasadas y presentes</w:t>
      </w:r>
      <w:r w:rsidR="00240B01" w:rsidRPr="00497684">
        <w:rPr>
          <w:rFonts w:ascii="Times New Roman" w:hAnsi="Times New Roman" w:cs="Times New Roman"/>
          <w:sz w:val="24"/>
          <w:szCs w:val="24"/>
        </w:rPr>
        <w:t xml:space="preserve">. Así, el Convenio de Bruselas de 1968 excluyó el arbitraje de su ámbito de aplicación (art. 1.4). El Convenio de Lugano entre los Estados miembros y los Estados de la Asociación Europea de Libre Comercio (EFTA) también excluye el arbitraje de su ámbito de aplicación en su art. 1. El Reglamento 44/2001 mantuvo la exclusión del arbitraje en el citado art. 1(2)d. El vigente Reglamento 1215/2012 reproduce dicha exclusión en el art. 1(2)d. </w:t>
      </w:r>
      <w:r w:rsidR="00CF1F72" w:rsidRPr="00497684">
        <w:rPr>
          <w:rFonts w:ascii="Times New Roman" w:hAnsi="Times New Roman" w:cs="Times New Roman"/>
          <w:sz w:val="24"/>
          <w:szCs w:val="24"/>
        </w:rPr>
        <w:t>Lo contrario sería introducir una nueva norma para admitir la circulación de las resoluciones que reconocen laudos arbitrales</w:t>
      </w:r>
      <w:r w:rsidR="00CF1F72" w:rsidRPr="00497684">
        <w:rPr>
          <w:rStyle w:val="Refernciadenotaapeudepgina"/>
          <w:rFonts w:ascii="Times New Roman" w:hAnsi="Times New Roman" w:cs="Times New Roman"/>
          <w:sz w:val="24"/>
          <w:szCs w:val="24"/>
        </w:rPr>
        <w:footnoteReference w:id="34"/>
      </w:r>
      <w:r w:rsidR="00CF1F72" w:rsidRPr="00497684">
        <w:rPr>
          <w:rFonts w:ascii="Times New Roman" w:hAnsi="Times New Roman" w:cs="Times New Roman"/>
          <w:sz w:val="24"/>
          <w:szCs w:val="24"/>
        </w:rPr>
        <w:t>.</w:t>
      </w:r>
      <w:r w:rsidR="00004537" w:rsidRPr="00497684">
        <w:rPr>
          <w:rFonts w:ascii="Times New Roman" w:hAnsi="Times New Roman" w:cs="Times New Roman"/>
          <w:sz w:val="24"/>
          <w:szCs w:val="24"/>
        </w:rPr>
        <w:t xml:space="preserve"> </w:t>
      </w:r>
    </w:p>
    <w:p w:rsidR="00240B01" w:rsidRPr="00497684" w:rsidRDefault="00240B0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Como explica el Informe Jenard</w:t>
      </w:r>
      <w:r w:rsidRPr="00497684">
        <w:rPr>
          <w:rStyle w:val="Refernciadenotaapeudepgina"/>
          <w:rFonts w:ascii="Times New Roman" w:hAnsi="Times New Roman" w:cs="Times New Roman"/>
          <w:sz w:val="24"/>
          <w:szCs w:val="24"/>
        </w:rPr>
        <w:footnoteReference w:id="35"/>
      </w:r>
      <w:r w:rsidRPr="00497684">
        <w:rPr>
          <w:rFonts w:ascii="Times New Roman" w:hAnsi="Times New Roman" w:cs="Times New Roman"/>
          <w:sz w:val="24"/>
          <w:szCs w:val="24"/>
        </w:rPr>
        <w:t>, que acompañaba al texto del borrador del Convenio de Bruselas</w:t>
      </w:r>
      <w:r w:rsidR="00C96F01" w:rsidRPr="00497684">
        <w:rPr>
          <w:rFonts w:ascii="Times New Roman" w:hAnsi="Times New Roman" w:cs="Times New Roman"/>
          <w:sz w:val="24"/>
          <w:szCs w:val="24"/>
        </w:rPr>
        <w:t xml:space="preserve"> de 1968</w:t>
      </w:r>
      <w:r w:rsidRPr="00497684">
        <w:rPr>
          <w:rFonts w:ascii="Times New Roman" w:hAnsi="Times New Roman" w:cs="Times New Roman"/>
          <w:sz w:val="24"/>
          <w:szCs w:val="24"/>
        </w:rPr>
        <w:t>, ya había muchos acuerdos internacionales sobre arbitraje y se pretendía crear una normativa específica de reconocimiento de laudos más amplia que el Convenio de Nueva York de 1958</w:t>
      </w:r>
      <w:r w:rsidRPr="00497684">
        <w:rPr>
          <w:rStyle w:val="Refernciadenotaapeudepgina"/>
          <w:rFonts w:ascii="Times New Roman" w:hAnsi="Times New Roman" w:cs="Times New Roman"/>
          <w:sz w:val="24"/>
          <w:szCs w:val="24"/>
        </w:rPr>
        <w:footnoteReference w:id="36"/>
      </w:r>
      <w:r w:rsidRPr="00497684">
        <w:rPr>
          <w:rFonts w:ascii="Times New Roman" w:hAnsi="Times New Roman" w:cs="Times New Roman"/>
          <w:sz w:val="24"/>
          <w:szCs w:val="24"/>
        </w:rPr>
        <w:t>. De ahí que “</w:t>
      </w:r>
      <w:r w:rsidRPr="00497684">
        <w:rPr>
          <w:rFonts w:ascii="Times New Roman" w:hAnsi="Times New Roman" w:cs="Times New Roman"/>
          <w:i/>
          <w:sz w:val="24"/>
          <w:szCs w:val="24"/>
        </w:rPr>
        <w:t>El Convenio de Bruselas no se aplica al reconocimiento y ejecución de laudos arbitrales</w:t>
      </w:r>
      <w:r w:rsidRPr="00497684">
        <w:rPr>
          <w:rFonts w:ascii="Times New Roman" w:hAnsi="Times New Roman" w:cs="Times New Roman"/>
          <w:sz w:val="24"/>
          <w:szCs w:val="24"/>
        </w:rPr>
        <w:t>”</w:t>
      </w:r>
      <w:r w:rsidRPr="00497684">
        <w:rPr>
          <w:rStyle w:val="Refernciadenotaapeudepgina"/>
          <w:rFonts w:ascii="Times New Roman" w:hAnsi="Times New Roman" w:cs="Times New Roman"/>
          <w:sz w:val="24"/>
          <w:szCs w:val="24"/>
        </w:rPr>
        <w:footnoteReference w:id="37"/>
      </w:r>
      <w:r w:rsidRPr="00497684">
        <w:rPr>
          <w:rFonts w:ascii="Times New Roman" w:hAnsi="Times New Roman" w:cs="Times New Roman"/>
          <w:sz w:val="24"/>
          <w:szCs w:val="24"/>
        </w:rPr>
        <w:t xml:space="preserve">. </w:t>
      </w:r>
    </w:p>
    <w:p w:rsidR="00240B01" w:rsidRPr="00497684" w:rsidRDefault="00240B0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Con ocasión de la adhesión del Reino de Dinamarca, de Irlanda y del Reino Unido de Gran Bretaña e Irlanda del Norte al Convenio de Bruselas</w:t>
      </w:r>
      <w:r w:rsidRPr="00497684">
        <w:rPr>
          <w:rStyle w:val="Refernciadenotaapeudepgina"/>
          <w:rFonts w:ascii="Times New Roman" w:hAnsi="Times New Roman" w:cs="Times New Roman"/>
          <w:sz w:val="24"/>
          <w:szCs w:val="24"/>
        </w:rPr>
        <w:footnoteReference w:id="38"/>
      </w:r>
      <w:r w:rsidRPr="00497684">
        <w:rPr>
          <w:rFonts w:ascii="Times New Roman" w:hAnsi="Times New Roman" w:cs="Times New Roman"/>
          <w:sz w:val="24"/>
          <w:szCs w:val="24"/>
        </w:rPr>
        <w:t>, el informe Schlosser</w:t>
      </w:r>
      <w:r w:rsidRPr="00497684">
        <w:rPr>
          <w:rStyle w:val="Refernciadenotaapeudepgina"/>
          <w:rFonts w:ascii="Times New Roman" w:hAnsi="Times New Roman" w:cs="Times New Roman"/>
          <w:sz w:val="24"/>
          <w:szCs w:val="24"/>
        </w:rPr>
        <w:footnoteReference w:id="39"/>
      </w:r>
      <w:r w:rsidRPr="00497684">
        <w:rPr>
          <w:rFonts w:ascii="Times New Roman" w:hAnsi="Times New Roman" w:cs="Times New Roman"/>
          <w:sz w:val="24"/>
          <w:szCs w:val="24"/>
        </w:rPr>
        <w:t xml:space="preserve"> reiteró la exclusión del arbitraje del Convenio de Bruselas. La misma exclusión comprende no </w:t>
      </w:r>
      <w:r w:rsidRPr="00497684">
        <w:rPr>
          <w:rFonts w:ascii="Times New Roman" w:hAnsi="Times New Roman" w:cs="Times New Roman"/>
          <w:sz w:val="24"/>
          <w:szCs w:val="24"/>
        </w:rPr>
        <w:lastRenderedPageBreak/>
        <w:t>sólo del procedimiento arbitral, sino también de los procedimientos relacionados con el mismo y sustanciados ante tribunales judiciales. Entre ellos,</w:t>
      </w:r>
      <w:r w:rsidR="00CF1F72" w:rsidRPr="00497684">
        <w:rPr>
          <w:rFonts w:ascii="Times New Roman" w:hAnsi="Times New Roman" w:cs="Times New Roman"/>
          <w:sz w:val="24"/>
          <w:szCs w:val="24"/>
        </w:rPr>
        <w:t xml:space="preserve"> expresamente cita “</w:t>
      </w:r>
      <w:r w:rsidRPr="00497684">
        <w:rPr>
          <w:rFonts w:ascii="Times New Roman" w:hAnsi="Times New Roman" w:cs="Times New Roman"/>
          <w:i/>
          <w:sz w:val="24"/>
          <w:szCs w:val="24"/>
        </w:rPr>
        <w:t xml:space="preserve">el procedimiento de reconocimiento y de ejecución de laudos arbitrales. Lo mismo ocurre con las resoluciones judiciales que </w:t>
      </w:r>
      <w:r w:rsidR="00F13E55" w:rsidRPr="00497684">
        <w:rPr>
          <w:rFonts w:ascii="Times New Roman" w:hAnsi="Times New Roman" w:cs="Times New Roman"/>
          <w:i/>
          <w:sz w:val="24"/>
          <w:szCs w:val="24"/>
        </w:rPr>
        <w:t>ˊregistrenˋ</w:t>
      </w:r>
      <w:r w:rsidRPr="00497684">
        <w:rPr>
          <w:rFonts w:ascii="Times New Roman" w:hAnsi="Times New Roman" w:cs="Times New Roman"/>
          <w:i/>
          <w:sz w:val="24"/>
          <w:szCs w:val="24"/>
        </w:rPr>
        <w:t xml:space="preserve"> laudos arbitrales, modo de reconocimiento en el Reino Unido </w:t>
      </w:r>
      <w:r w:rsidRPr="00497684">
        <w:rPr>
          <w:rFonts w:ascii="Times New Roman" w:hAnsi="Times New Roman" w:cs="Times New Roman"/>
          <w:sz w:val="24"/>
          <w:szCs w:val="24"/>
        </w:rPr>
        <w:t xml:space="preserve">(ap. 65.c). </w:t>
      </w:r>
    </w:p>
    <w:p w:rsidR="00240B01" w:rsidRPr="00497684" w:rsidRDefault="00C96F0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 </w:t>
      </w:r>
      <w:r w:rsidR="00CA708D" w:rsidRPr="00497684">
        <w:rPr>
          <w:rFonts w:ascii="Times New Roman" w:hAnsi="Times New Roman" w:cs="Times New Roman"/>
          <w:sz w:val="24"/>
          <w:szCs w:val="24"/>
        </w:rPr>
        <w:t>"</w:t>
      </w:r>
      <w:r w:rsidR="00CA708D" w:rsidRPr="00497684">
        <w:rPr>
          <w:rFonts w:ascii="Times New Roman" w:hAnsi="Times New Roman" w:cs="Times New Roman"/>
          <w:i/>
          <w:sz w:val="24"/>
          <w:szCs w:val="24"/>
        </w:rPr>
        <w:t>inaplicación</w:t>
      </w:r>
      <w:r w:rsidR="00CA708D" w:rsidRPr="00497684">
        <w:rPr>
          <w:rFonts w:ascii="Times New Roman" w:hAnsi="Times New Roman" w:cs="Times New Roman"/>
          <w:sz w:val="24"/>
          <w:szCs w:val="24"/>
        </w:rPr>
        <w:t>"</w:t>
      </w:r>
      <w:r w:rsidRPr="00497684">
        <w:rPr>
          <w:rFonts w:ascii="Times New Roman" w:hAnsi="Times New Roman" w:cs="Times New Roman"/>
          <w:sz w:val="24"/>
          <w:szCs w:val="24"/>
        </w:rPr>
        <w:t xml:space="preserve"> </w:t>
      </w:r>
      <w:r w:rsidR="00CA708D" w:rsidRPr="00497684">
        <w:rPr>
          <w:rFonts w:ascii="Times New Roman" w:hAnsi="Times New Roman" w:cs="Times New Roman"/>
          <w:sz w:val="24"/>
          <w:szCs w:val="24"/>
        </w:rPr>
        <w:t xml:space="preserve">al arbitraje </w:t>
      </w:r>
      <w:r w:rsidRPr="00497684">
        <w:rPr>
          <w:rFonts w:ascii="Times New Roman" w:hAnsi="Times New Roman" w:cs="Times New Roman"/>
          <w:sz w:val="24"/>
          <w:szCs w:val="24"/>
        </w:rPr>
        <w:t xml:space="preserve">del sistema de Bruselas está </w:t>
      </w:r>
      <w:r w:rsidR="000B5899" w:rsidRPr="00497684">
        <w:rPr>
          <w:rFonts w:ascii="Times New Roman" w:hAnsi="Times New Roman" w:cs="Times New Roman"/>
          <w:sz w:val="24"/>
          <w:szCs w:val="24"/>
        </w:rPr>
        <w:t>confirmada</w:t>
      </w:r>
      <w:r w:rsidRPr="00497684">
        <w:rPr>
          <w:rFonts w:ascii="Times New Roman" w:hAnsi="Times New Roman" w:cs="Times New Roman"/>
          <w:sz w:val="24"/>
          <w:szCs w:val="24"/>
        </w:rPr>
        <w:t xml:space="preserve"> por </w:t>
      </w:r>
      <w:r w:rsidR="00240B01" w:rsidRPr="00497684">
        <w:rPr>
          <w:rFonts w:ascii="Times New Roman" w:hAnsi="Times New Roman" w:cs="Times New Roman"/>
          <w:sz w:val="24"/>
          <w:szCs w:val="24"/>
        </w:rPr>
        <w:t>las sentencias del Tribunal de Justicia</w:t>
      </w:r>
      <w:r w:rsidR="00240B01" w:rsidRPr="00497684">
        <w:rPr>
          <w:rStyle w:val="Refernciadenotaapeudepgina"/>
          <w:rFonts w:ascii="Times New Roman" w:hAnsi="Times New Roman" w:cs="Times New Roman"/>
          <w:sz w:val="24"/>
          <w:szCs w:val="24"/>
        </w:rPr>
        <w:footnoteReference w:id="40"/>
      </w:r>
      <w:r w:rsidR="00CF1F72" w:rsidRPr="00497684">
        <w:rPr>
          <w:rFonts w:ascii="Times New Roman" w:hAnsi="Times New Roman" w:cs="Times New Roman"/>
          <w:sz w:val="24"/>
          <w:szCs w:val="24"/>
        </w:rPr>
        <w:t>, si bien con algunas inflexiones que han generado debate</w:t>
      </w:r>
      <w:r w:rsidRPr="00497684">
        <w:rPr>
          <w:rFonts w:ascii="Times New Roman" w:hAnsi="Times New Roman" w:cs="Times New Roman"/>
          <w:sz w:val="24"/>
          <w:szCs w:val="24"/>
        </w:rPr>
        <w:t xml:space="preserve"> y han planteado realmente el alcance de dicha exclusión. Sin embargo, ninguna sentencia ha declarado que la resolución judicial de un laudo arbitral pueda circular entre Estados miembros, ni que impida la libre circulación de sentencias que sí entran en su ámbito de aplicación</w:t>
      </w:r>
      <w:r w:rsidR="00CF1F72" w:rsidRPr="00497684">
        <w:rPr>
          <w:rFonts w:ascii="Times New Roman" w:hAnsi="Times New Roman" w:cs="Times New Roman"/>
          <w:sz w:val="24"/>
          <w:szCs w:val="24"/>
        </w:rPr>
        <w:t>.</w:t>
      </w:r>
    </w:p>
    <w:p w:rsidR="00240B01" w:rsidRPr="00497684" w:rsidRDefault="00C96F0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L</w:t>
      </w:r>
      <w:r w:rsidR="00240B01" w:rsidRPr="00497684">
        <w:rPr>
          <w:rFonts w:ascii="Times New Roman" w:hAnsi="Times New Roman" w:cs="Times New Roman"/>
          <w:sz w:val="24"/>
          <w:szCs w:val="24"/>
        </w:rPr>
        <w:t xml:space="preserve">a sentencia del TJCE, conocida como </w:t>
      </w:r>
      <w:r w:rsidR="00240B01" w:rsidRPr="00497684">
        <w:rPr>
          <w:rFonts w:ascii="Times New Roman" w:hAnsi="Times New Roman" w:cs="Times New Roman"/>
          <w:i/>
          <w:sz w:val="24"/>
          <w:szCs w:val="24"/>
        </w:rPr>
        <w:t>Marc Rich</w:t>
      </w:r>
      <w:r w:rsidR="00240B01" w:rsidRPr="00497684">
        <w:rPr>
          <w:rFonts w:ascii="Times New Roman" w:hAnsi="Times New Roman" w:cs="Times New Roman"/>
          <w:sz w:val="24"/>
          <w:szCs w:val="24"/>
          <w:vertAlign w:val="superscript"/>
          <w:lang w:val="en-GB"/>
        </w:rPr>
        <w:footnoteReference w:id="41"/>
      </w:r>
      <w:r w:rsidR="00240B01" w:rsidRPr="00497684">
        <w:rPr>
          <w:rFonts w:ascii="Times New Roman" w:hAnsi="Times New Roman" w:cs="Times New Roman"/>
          <w:sz w:val="24"/>
          <w:szCs w:val="24"/>
        </w:rPr>
        <w:t xml:space="preserve">, de 25 de julio de 1991, </w:t>
      </w:r>
      <w:r w:rsidR="00CF1F72" w:rsidRPr="00497684">
        <w:rPr>
          <w:rFonts w:ascii="Times New Roman" w:hAnsi="Times New Roman" w:cs="Times New Roman"/>
          <w:sz w:val="24"/>
          <w:szCs w:val="24"/>
        </w:rPr>
        <w:t>excluyó íntegramente la materia de arbitraje del Convenio de Bruselas</w:t>
      </w:r>
      <w:r w:rsidRPr="00497684">
        <w:rPr>
          <w:rFonts w:ascii="Times New Roman" w:hAnsi="Times New Roman" w:cs="Times New Roman"/>
          <w:sz w:val="24"/>
          <w:szCs w:val="24"/>
        </w:rPr>
        <w:t xml:space="preserve"> y constituye la piedra angular de la exclusión</w:t>
      </w:r>
      <w:r w:rsidR="00CF1F72" w:rsidRPr="00497684">
        <w:rPr>
          <w:rFonts w:ascii="Times New Roman" w:hAnsi="Times New Roman" w:cs="Times New Roman"/>
          <w:sz w:val="24"/>
          <w:szCs w:val="24"/>
        </w:rPr>
        <w:t xml:space="preserve">. Afirmó que </w:t>
      </w:r>
      <w:r w:rsidR="00240B01" w:rsidRPr="00497684">
        <w:rPr>
          <w:rFonts w:ascii="Times New Roman" w:hAnsi="Times New Roman" w:cs="Times New Roman"/>
          <w:sz w:val="24"/>
          <w:szCs w:val="24"/>
        </w:rPr>
        <w:t>“</w:t>
      </w:r>
      <w:r w:rsidR="00240B01" w:rsidRPr="00497684">
        <w:rPr>
          <w:rFonts w:ascii="Times New Roman" w:hAnsi="Times New Roman" w:cs="Times New Roman"/>
          <w:i/>
          <w:sz w:val="24"/>
          <w:szCs w:val="24"/>
        </w:rPr>
        <w:t>las partes contratantes tuvieron la intención de excluir en su integridad la materia relativa al arbitraje, incluso los procedimientos incoados ante los Tribunales estatales</w:t>
      </w:r>
      <w:r w:rsidR="00240B01" w:rsidRPr="00497684">
        <w:rPr>
          <w:rFonts w:ascii="Times New Roman" w:hAnsi="Times New Roman" w:cs="Times New Roman"/>
          <w:sz w:val="24"/>
          <w:szCs w:val="24"/>
        </w:rPr>
        <w:t>”</w:t>
      </w:r>
      <w:r w:rsidR="00E336C2" w:rsidRPr="00497684">
        <w:rPr>
          <w:rFonts w:ascii="Times New Roman" w:hAnsi="Times New Roman" w:cs="Times New Roman"/>
          <w:sz w:val="24"/>
          <w:szCs w:val="24"/>
        </w:rPr>
        <w:t xml:space="preserve"> </w:t>
      </w:r>
      <w:r w:rsidR="00240B01" w:rsidRPr="00497684">
        <w:rPr>
          <w:rFonts w:ascii="Times New Roman" w:hAnsi="Times New Roman" w:cs="Times New Roman"/>
          <w:sz w:val="24"/>
          <w:szCs w:val="24"/>
        </w:rPr>
        <w:t xml:space="preserve">(apartado 18). </w:t>
      </w:r>
      <w:r w:rsidR="00CF1F72" w:rsidRPr="00497684">
        <w:rPr>
          <w:rFonts w:ascii="Times New Roman" w:hAnsi="Times New Roman" w:cs="Times New Roman"/>
          <w:sz w:val="24"/>
          <w:szCs w:val="24"/>
        </w:rPr>
        <w:t>Por tanto, l</w:t>
      </w:r>
      <w:r w:rsidR="00240B01" w:rsidRPr="00497684">
        <w:rPr>
          <w:rFonts w:ascii="Times New Roman" w:hAnsi="Times New Roman" w:cs="Times New Roman"/>
          <w:sz w:val="24"/>
          <w:szCs w:val="24"/>
        </w:rPr>
        <w:t>a exclusión del arbitraje del ámbito del Convenio 44/2001 era amplia y operaba de forma prevalente en todas las materias</w:t>
      </w:r>
      <w:r w:rsidR="00240B01" w:rsidRPr="00497684">
        <w:rPr>
          <w:rStyle w:val="Refernciadenotaapeudepgina"/>
          <w:rFonts w:ascii="Times New Roman" w:hAnsi="Times New Roman" w:cs="Times New Roman"/>
          <w:sz w:val="24"/>
          <w:szCs w:val="24"/>
        </w:rPr>
        <w:footnoteReference w:id="42"/>
      </w:r>
      <w:r w:rsidR="00240B01" w:rsidRPr="00497684">
        <w:rPr>
          <w:rFonts w:ascii="Times New Roman" w:hAnsi="Times New Roman" w:cs="Times New Roman"/>
          <w:sz w:val="24"/>
          <w:szCs w:val="24"/>
        </w:rPr>
        <w:t xml:space="preserve">. </w:t>
      </w:r>
    </w:p>
    <w:p w:rsidR="00240B01" w:rsidRPr="00497684" w:rsidRDefault="00C96F0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L</w:t>
      </w:r>
      <w:r w:rsidR="00240B01" w:rsidRPr="00497684">
        <w:rPr>
          <w:rFonts w:ascii="Times New Roman" w:eastAsia="Times New Roman" w:hAnsi="Times New Roman" w:cs="Times New Roman"/>
          <w:sz w:val="24"/>
          <w:szCs w:val="24"/>
          <w:lang w:eastAsia="es-ES"/>
        </w:rPr>
        <w:t xml:space="preserve">a sentencia </w:t>
      </w:r>
      <w:r w:rsidR="00240B01" w:rsidRPr="00497684">
        <w:rPr>
          <w:rFonts w:ascii="Times New Roman" w:eastAsia="Times New Roman" w:hAnsi="Times New Roman" w:cs="Times New Roman"/>
          <w:i/>
          <w:sz w:val="24"/>
          <w:szCs w:val="24"/>
          <w:lang w:eastAsia="es-ES"/>
        </w:rPr>
        <w:t xml:space="preserve">Von </w:t>
      </w:r>
      <w:proofErr w:type="spellStart"/>
      <w:r w:rsidR="00240B01" w:rsidRPr="00497684">
        <w:rPr>
          <w:rFonts w:ascii="Times New Roman" w:eastAsia="Times New Roman" w:hAnsi="Times New Roman" w:cs="Times New Roman"/>
          <w:i/>
          <w:sz w:val="24"/>
          <w:szCs w:val="24"/>
          <w:lang w:eastAsia="es-ES"/>
        </w:rPr>
        <w:t>Uden</w:t>
      </w:r>
      <w:proofErr w:type="spellEnd"/>
      <w:r w:rsidR="00240B01" w:rsidRPr="00497684">
        <w:rPr>
          <w:rFonts w:ascii="Times New Roman" w:eastAsia="Times New Roman" w:hAnsi="Times New Roman" w:cs="Times New Roman"/>
          <w:sz w:val="24"/>
          <w:szCs w:val="24"/>
          <w:lang w:eastAsia="es-ES"/>
        </w:rPr>
        <w:t xml:space="preserve"> del Tribunal de Justicia de 17 de noviembre de 1998</w:t>
      </w:r>
      <w:r w:rsidR="006D56A7" w:rsidRPr="00497684">
        <w:rPr>
          <w:rStyle w:val="Refernciadenotaapeudepgina"/>
          <w:rFonts w:ascii="Times New Roman" w:eastAsia="Times New Roman" w:hAnsi="Times New Roman" w:cs="Times New Roman"/>
          <w:sz w:val="24"/>
          <w:szCs w:val="24"/>
          <w:lang w:eastAsia="es-ES"/>
        </w:rPr>
        <w:footnoteReference w:id="43"/>
      </w:r>
      <w:r w:rsidR="00240B01" w:rsidRPr="00497684">
        <w:rPr>
          <w:rFonts w:ascii="Times New Roman" w:eastAsia="Times New Roman" w:hAnsi="Times New Roman" w:cs="Times New Roman"/>
          <w:sz w:val="24"/>
          <w:szCs w:val="24"/>
          <w:lang w:eastAsia="es-ES"/>
        </w:rPr>
        <w:t xml:space="preserve">, </w:t>
      </w:r>
      <w:r w:rsidR="00240B01" w:rsidRPr="00497684">
        <w:rPr>
          <w:rFonts w:ascii="Times New Roman" w:hAnsi="Times New Roman" w:cs="Times New Roman"/>
          <w:sz w:val="24"/>
          <w:szCs w:val="24"/>
        </w:rPr>
        <w:t xml:space="preserve">sobre el Convenio de Bruselas, trataba de determinar el tribunal competente para adoptar medidas cautelares o provisionales de apoyo a un arbitraje. Si el arbitraje era la materia prevalente, la respuesta había de ser que el Convenio de Bruselas no se aplicaba para determinar el tribunal judicial competente para adoptar las medidas cautelares o provisionales. Sin embargo, aun tratándose de un procedimiento judicial de apoyo al arbitraje, el Tribunal de Justicia consideró que si el objeto de las medidas provisionales, por razón de la materia, </w:t>
      </w:r>
      <w:r w:rsidR="00CF1F72" w:rsidRPr="00497684">
        <w:rPr>
          <w:rFonts w:ascii="Times New Roman" w:hAnsi="Times New Roman" w:cs="Times New Roman"/>
          <w:sz w:val="24"/>
          <w:szCs w:val="24"/>
        </w:rPr>
        <w:t xml:space="preserve">como también había señalado en el asunto </w:t>
      </w:r>
      <w:r w:rsidR="00CF1F72" w:rsidRPr="00497684">
        <w:rPr>
          <w:rFonts w:ascii="Times New Roman" w:hAnsi="Times New Roman" w:cs="Times New Roman"/>
          <w:i/>
          <w:sz w:val="24"/>
          <w:szCs w:val="24"/>
        </w:rPr>
        <w:t>Marc Rich</w:t>
      </w:r>
      <w:r w:rsidR="00CF1F72" w:rsidRPr="00497684">
        <w:rPr>
          <w:rFonts w:ascii="Times New Roman" w:hAnsi="Times New Roman" w:cs="Times New Roman"/>
          <w:sz w:val="24"/>
          <w:szCs w:val="24"/>
        </w:rPr>
        <w:t xml:space="preserve">, arriba citado, </w:t>
      </w:r>
      <w:r w:rsidR="00240B01" w:rsidRPr="00497684">
        <w:rPr>
          <w:rFonts w:ascii="Times New Roman" w:hAnsi="Times New Roman" w:cs="Times New Roman"/>
          <w:sz w:val="24"/>
          <w:szCs w:val="24"/>
        </w:rPr>
        <w:t>entra dentro del ámbito de aplicación del Convenio de Bruselas, su art. 24 era aplicable para determinar la jurisdicción competente.</w:t>
      </w:r>
      <w:r w:rsidR="00CF1F72" w:rsidRPr="00497684">
        <w:rPr>
          <w:rFonts w:ascii="Times New Roman" w:hAnsi="Times New Roman" w:cs="Times New Roman"/>
          <w:sz w:val="24"/>
          <w:szCs w:val="24"/>
        </w:rPr>
        <w:t xml:space="preserve"> </w:t>
      </w:r>
      <w:r w:rsidR="00240B01" w:rsidRPr="00497684">
        <w:rPr>
          <w:rFonts w:ascii="Times New Roman" w:hAnsi="Times New Roman" w:cs="Times New Roman"/>
          <w:sz w:val="24"/>
          <w:szCs w:val="24"/>
        </w:rPr>
        <w:t>Era una novedad interpretativa respecto al asunto Marc Rich, pues aun excluyendo el arbitraje de su ámbito de aplicación, valora</w:t>
      </w:r>
      <w:r w:rsidR="00CF1F72" w:rsidRPr="00497684">
        <w:rPr>
          <w:rFonts w:ascii="Times New Roman" w:hAnsi="Times New Roman" w:cs="Times New Roman"/>
          <w:sz w:val="24"/>
          <w:szCs w:val="24"/>
        </w:rPr>
        <w:t>ba</w:t>
      </w:r>
      <w:r w:rsidR="00240B01" w:rsidRPr="00497684">
        <w:rPr>
          <w:rFonts w:ascii="Times New Roman" w:hAnsi="Times New Roman" w:cs="Times New Roman"/>
          <w:sz w:val="24"/>
          <w:szCs w:val="24"/>
        </w:rPr>
        <w:t xml:space="preserve"> la necesidad de calificar la naturaleza de los derechos salvaguardados para determinar si rige o no el Convenio de Bruselas 1968</w:t>
      </w:r>
      <w:r w:rsidR="00CF1F72" w:rsidRPr="00497684">
        <w:rPr>
          <w:rStyle w:val="Refernciadenotaapeudepgina"/>
          <w:rFonts w:ascii="Times New Roman" w:hAnsi="Times New Roman" w:cs="Times New Roman"/>
          <w:sz w:val="24"/>
          <w:szCs w:val="24"/>
        </w:rPr>
        <w:footnoteReference w:id="44"/>
      </w:r>
      <w:r w:rsidR="00CF1F72" w:rsidRPr="00497684">
        <w:rPr>
          <w:rFonts w:ascii="Times New Roman" w:hAnsi="Times New Roman" w:cs="Times New Roman"/>
          <w:sz w:val="24"/>
          <w:szCs w:val="24"/>
        </w:rPr>
        <w:t>.</w:t>
      </w:r>
      <w:r w:rsidR="00240B01" w:rsidRPr="00497684">
        <w:rPr>
          <w:rFonts w:ascii="Times New Roman" w:hAnsi="Times New Roman" w:cs="Times New Roman"/>
          <w:sz w:val="24"/>
          <w:szCs w:val="24"/>
        </w:rPr>
        <w:t xml:space="preserve"> Fue una primera penetración </w:t>
      </w:r>
      <w:r w:rsidR="00290DAB" w:rsidRPr="00497684">
        <w:rPr>
          <w:rFonts w:ascii="Times New Roman" w:hAnsi="Times New Roman" w:cs="Times New Roman"/>
          <w:sz w:val="24"/>
          <w:szCs w:val="24"/>
        </w:rPr>
        <w:t xml:space="preserve">del sistema de Bruselas en el </w:t>
      </w:r>
      <w:r w:rsidR="00240B01" w:rsidRPr="00497684">
        <w:rPr>
          <w:rFonts w:ascii="Times New Roman" w:hAnsi="Times New Roman" w:cs="Times New Roman"/>
          <w:sz w:val="24"/>
          <w:szCs w:val="24"/>
        </w:rPr>
        <w:t>territorio arbitral</w:t>
      </w:r>
      <w:r w:rsidR="00290DAB" w:rsidRPr="00497684">
        <w:rPr>
          <w:rFonts w:ascii="Times New Roman" w:hAnsi="Times New Roman" w:cs="Times New Roman"/>
          <w:sz w:val="24"/>
          <w:szCs w:val="24"/>
        </w:rPr>
        <w:t xml:space="preserve">, que confirmaría la sentencia </w:t>
      </w:r>
      <w:r w:rsidR="00290DAB" w:rsidRPr="00497684">
        <w:rPr>
          <w:rFonts w:ascii="Times New Roman" w:hAnsi="Times New Roman" w:cs="Times New Roman"/>
          <w:i/>
          <w:sz w:val="24"/>
          <w:szCs w:val="24"/>
        </w:rPr>
        <w:t xml:space="preserve">West </w:t>
      </w:r>
      <w:proofErr w:type="spellStart"/>
      <w:r w:rsidR="00290DAB" w:rsidRPr="00497684">
        <w:rPr>
          <w:rFonts w:ascii="Times New Roman" w:hAnsi="Times New Roman" w:cs="Times New Roman"/>
          <w:i/>
          <w:sz w:val="24"/>
          <w:szCs w:val="24"/>
        </w:rPr>
        <w:t>Tankers</w:t>
      </w:r>
      <w:proofErr w:type="spellEnd"/>
      <w:r w:rsidR="00240B01" w:rsidRPr="00497684">
        <w:rPr>
          <w:rStyle w:val="Refernciadenotaapeudepgina"/>
          <w:rFonts w:ascii="Times New Roman" w:hAnsi="Times New Roman" w:cs="Times New Roman"/>
          <w:sz w:val="24"/>
          <w:szCs w:val="24"/>
        </w:rPr>
        <w:footnoteReference w:id="45"/>
      </w:r>
      <w:r w:rsidR="00290DAB" w:rsidRPr="00497684">
        <w:rPr>
          <w:rFonts w:ascii="Times New Roman" w:hAnsi="Times New Roman" w:cs="Times New Roman"/>
          <w:sz w:val="24"/>
          <w:szCs w:val="24"/>
        </w:rPr>
        <w:t>.</w:t>
      </w:r>
    </w:p>
    <w:p w:rsidR="00240B01" w:rsidRPr="00497684" w:rsidRDefault="00240B01" w:rsidP="00F80D2E">
      <w:pPr>
        <w:spacing w:after="0"/>
        <w:jc w:val="both"/>
        <w:rPr>
          <w:rFonts w:ascii="Times New Roman" w:hAnsi="Times New Roman" w:cs="Times New Roman"/>
          <w:sz w:val="24"/>
          <w:szCs w:val="24"/>
          <w:shd w:val="clear" w:color="auto" w:fill="FFFFFF"/>
        </w:rPr>
      </w:pPr>
      <w:r w:rsidRPr="00497684">
        <w:rPr>
          <w:rFonts w:ascii="Times New Roman" w:hAnsi="Times New Roman" w:cs="Times New Roman"/>
          <w:sz w:val="24"/>
          <w:szCs w:val="24"/>
        </w:rPr>
        <w:t xml:space="preserve">En la </w:t>
      </w:r>
      <w:r w:rsidR="00C96F01" w:rsidRPr="00497684">
        <w:rPr>
          <w:rFonts w:ascii="Times New Roman" w:hAnsi="Times New Roman" w:cs="Times New Roman"/>
          <w:sz w:val="24"/>
          <w:szCs w:val="24"/>
        </w:rPr>
        <w:t xml:space="preserve">citada </w:t>
      </w:r>
      <w:r w:rsidRPr="00497684">
        <w:rPr>
          <w:rFonts w:ascii="Times New Roman" w:hAnsi="Times New Roman" w:cs="Times New Roman"/>
          <w:sz w:val="24"/>
          <w:szCs w:val="24"/>
        </w:rPr>
        <w:t xml:space="preserve">sentencia del TJUE en el caso </w:t>
      </w:r>
      <w:r w:rsidRPr="00497684">
        <w:rPr>
          <w:rFonts w:ascii="Times New Roman" w:hAnsi="Times New Roman" w:cs="Times New Roman"/>
          <w:i/>
          <w:sz w:val="24"/>
          <w:szCs w:val="24"/>
        </w:rPr>
        <w:t xml:space="preserve">West </w:t>
      </w:r>
      <w:proofErr w:type="spellStart"/>
      <w:r w:rsidRPr="00497684">
        <w:rPr>
          <w:rFonts w:ascii="Times New Roman" w:hAnsi="Times New Roman" w:cs="Times New Roman"/>
          <w:i/>
          <w:sz w:val="24"/>
          <w:szCs w:val="24"/>
        </w:rPr>
        <w:t>Tankers</w:t>
      </w:r>
      <w:proofErr w:type="spellEnd"/>
      <w:r w:rsidRPr="00497684">
        <w:rPr>
          <w:rFonts w:ascii="Times New Roman" w:hAnsi="Times New Roman" w:cs="Times New Roman"/>
          <w:sz w:val="24"/>
          <w:szCs w:val="24"/>
        </w:rPr>
        <w:t xml:space="preserve"> de 10 de febrero de 2009, admitió que el procedimiento inglés de emisión de la citada </w:t>
      </w:r>
      <w:r w:rsidRPr="00497684">
        <w:rPr>
          <w:rFonts w:ascii="Times New Roman" w:hAnsi="Times New Roman" w:cs="Times New Roman"/>
          <w:i/>
          <w:sz w:val="24"/>
          <w:szCs w:val="24"/>
        </w:rPr>
        <w:t>anti-suit injunction</w:t>
      </w:r>
      <w:r w:rsidRPr="00497684">
        <w:rPr>
          <w:rFonts w:ascii="Times New Roman" w:hAnsi="Times New Roman" w:cs="Times New Roman"/>
          <w:sz w:val="24"/>
          <w:szCs w:val="24"/>
        </w:rPr>
        <w:t xml:space="preserve"> no está incluida en el ámbito de aplicación del Reglamento 44/2001</w:t>
      </w:r>
      <w:r w:rsidR="00C96F01" w:rsidRPr="00497684">
        <w:rPr>
          <w:rFonts w:ascii="Times New Roman" w:hAnsi="Times New Roman" w:cs="Times New Roman"/>
          <w:sz w:val="24"/>
          <w:szCs w:val="24"/>
        </w:rPr>
        <w:t xml:space="preserve">, pero </w:t>
      </w:r>
      <w:r w:rsidRPr="00497684">
        <w:rPr>
          <w:rFonts w:ascii="Times New Roman" w:hAnsi="Times New Roman" w:cs="Times New Roman"/>
          <w:sz w:val="24"/>
          <w:szCs w:val="24"/>
        </w:rPr>
        <w:t xml:space="preserve">es incompatible con el mismo porque puede tener consecuencias negativas para su efecto útil, es decir, impedir que se cumplan los objetivos inherentes de las normas de conflicto de los órganos </w:t>
      </w:r>
      <w:r w:rsidRPr="00497684">
        <w:rPr>
          <w:rFonts w:ascii="Times New Roman" w:hAnsi="Times New Roman" w:cs="Times New Roman"/>
          <w:sz w:val="24"/>
          <w:szCs w:val="24"/>
        </w:rPr>
        <w:lastRenderedPageBreak/>
        <w:t>jurisdiccionales en materia civil y mercantil y de la libre circulación de las resoluciones en esta misma materia (ap</w:t>
      </w:r>
      <w:r w:rsidR="00290DAB" w:rsidRPr="00497684">
        <w:rPr>
          <w:rFonts w:ascii="Times New Roman" w:hAnsi="Times New Roman" w:cs="Times New Roman"/>
          <w:sz w:val="24"/>
          <w:szCs w:val="24"/>
        </w:rPr>
        <w:t>s</w:t>
      </w:r>
      <w:r w:rsidRPr="00497684">
        <w:rPr>
          <w:rFonts w:ascii="Times New Roman" w:hAnsi="Times New Roman" w:cs="Times New Roman"/>
          <w:sz w:val="24"/>
          <w:szCs w:val="24"/>
        </w:rPr>
        <w:t>. 24</w:t>
      </w:r>
      <w:r w:rsidRPr="00497684">
        <w:rPr>
          <w:rFonts w:ascii="Times New Roman" w:hAnsi="Times New Roman" w:cs="Times New Roman"/>
          <w:sz w:val="24"/>
          <w:szCs w:val="24"/>
          <w:shd w:val="clear" w:color="auto" w:fill="FFFFFF"/>
        </w:rPr>
        <w:t xml:space="preserve"> </w:t>
      </w:r>
      <w:r w:rsidR="00290DAB" w:rsidRPr="00497684">
        <w:rPr>
          <w:rFonts w:ascii="Times New Roman" w:hAnsi="Times New Roman" w:cs="Times New Roman"/>
          <w:sz w:val="24"/>
          <w:szCs w:val="24"/>
          <w:shd w:val="clear" w:color="auto" w:fill="FFFFFF"/>
        </w:rPr>
        <w:t xml:space="preserve">y </w:t>
      </w:r>
      <w:r w:rsidRPr="00497684">
        <w:rPr>
          <w:rFonts w:ascii="Times New Roman" w:hAnsi="Times New Roman" w:cs="Times New Roman"/>
          <w:sz w:val="24"/>
          <w:szCs w:val="24"/>
          <w:shd w:val="clear" w:color="auto" w:fill="FFFFFF"/>
        </w:rPr>
        <w:t>34).</w:t>
      </w:r>
    </w:p>
    <w:p w:rsidR="00E35553" w:rsidRPr="00497684" w:rsidRDefault="00E35553"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caso </w:t>
      </w:r>
      <w:r w:rsidRPr="00497684">
        <w:rPr>
          <w:rFonts w:ascii="Times New Roman" w:hAnsi="Times New Roman" w:cs="Times New Roman"/>
          <w:i/>
          <w:sz w:val="24"/>
          <w:szCs w:val="24"/>
        </w:rPr>
        <w:t>West Tankers</w:t>
      </w:r>
      <w:r w:rsidRPr="00497684">
        <w:rPr>
          <w:rFonts w:ascii="Times New Roman" w:hAnsi="Times New Roman" w:cs="Times New Roman"/>
          <w:sz w:val="24"/>
          <w:szCs w:val="24"/>
        </w:rPr>
        <w:t xml:space="preserve"> fue visto como un peligroso control comunitario sobre la práctica arbitral de los Estados miembros</w:t>
      </w:r>
      <w:r w:rsidRPr="00497684">
        <w:rPr>
          <w:rStyle w:val="Refernciadenotaapeudepgina"/>
          <w:rFonts w:ascii="Times New Roman" w:hAnsi="Times New Roman" w:cs="Times New Roman"/>
          <w:sz w:val="24"/>
          <w:szCs w:val="24"/>
        </w:rPr>
        <w:footnoteReference w:id="46"/>
      </w:r>
      <w:r w:rsidRPr="00497684">
        <w:rPr>
          <w:rFonts w:ascii="Times New Roman" w:hAnsi="Times New Roman" w:cs="Times New Roman"/>
          <w:sz w:val="24"/>
          <w:szCs w:val="24"/>
        </w:rPr>
        <w:t>. También un resultado pernicioso desde el punto de vista del arbitraje internacional</w:t>
      </w:r>
      <w:r w:rsidRPr="00497684">
        <w:rPr>
          <w:rStyle w:val="Refernciadenotaapeudepgina"/>
          <w:rFonts w:ascii="Times New Roman" w:hAnsi="Times New Roman" w:cs="Times New Roman"/>
          <w:sz w:val="24"/>
          <w:szCs w:val="24"/>
        </w:rPr>
        <w:footnoteReference w:id="47"/>
      </w:r>
      <w:r w:rsidRPr="00497684">
        <w:rPr>
          <w:rFonts w:ascii="Times New Roman" w:hAnsi="Times New Roman" w:cs="Times New Roman"/>
          <w:sz w:val="24"/>
          <w:szCs w:val="24"/>
        </w:rPr>
        <w:t>. Se iniciaron debates sobre la posible supresión parcial de la exclusión del arbitraje</w:t>
      </w:r>
      <w:r w:rsidRPr="00497684">
        <w:rPr>
          <w:rStyle w:val="Refernciadenotaapeudepgina"/>
          <w:rFonts w:ascii="Times New Roman" w:hAnsi="Times New Roman" w:cs="Times New Roman"/>
          <w:sz w:val="24"/>
          <w:szCs w:val="24"/>
        </w:rPr>
        <w:footnoteReference w:id="48"/>
      </w:r>
      <w:r w:rsidRPr="00497684">
        <w:rPr>
          <w:rFonts w:ascii="Times New Roman" w:hAnsi="Times New Roman" w:cs="Times New Roman"/>
          <w:sz w:val="24"/>
          <w:szCs w:val="24"/>
        </w:rPr>
        <w:t>. Sin embargo, la Propuesta de Reglamento del Parlamento Europeo y del Consejo de 2010, confirmó de nuevo la exclusión del arbitraje en la reforma del Reglamento 44/2001</w:t>
      </w:r>
      <w:r w:rsidRPr="00497684">
        <w:rPr>
          <w:rStyle w:val="Refernciadenotaapeudepgina"/>
          <w:rFonts w:ascii="Times New Roman" w:hAnsi="Times New Roman" w:cs="Times New Roman"/>
          <w:sz w:val="24"/>
          <w:szCs w:val="24"/>
        </w:rPr>
        <w:footnoteReference w:id="49"/>
      </w:r>
      <w:r w:rsidRPr="00497684">
        <w:rPr>
          <w:rFonts w:ascii="Times New Roman" w:hAnsi="Times New Roman" w:cs="Times New Roman"/>
          <w:sz w:val="24"/>
          <w:szCs w:val="24"/>
        </w:rPr>
        <w:t>. El vigente Reglamento 1215/2012 reafirma la exclusión del arbitraje en su art. 1.2.d y, además, en su considerando 12, refuerza expresamente dicha exclusión a procedimientos judiciales, entre otros, de “</w:t>
      </w:r>
      <w:r w:rsidRPr="00497684">
        <w:rPr>
          <w:rFonts w:ascii="Times New Roman" w:hAnsi="Times New Roman" w:cs="Times New Roman"/>
          <w:i/>
          <w:sz w:val="24"/>
          <w:szCs w:val="24"/>
        </w:rPr>
        <w:t>reconocimiento o ejecución de un laudo arbitral</w:t>
      </w:r>
      <w:r w:rsidRPr="00497684">
        <w:rPr>
          <w:rFonts w:ascii="Times New Roman" w:hAnsi="Times New Roman" w:cs="Times New Roman"/>
          <w:sz w:val="24"/>
          <w:szCs w:val="24"/>
        </w:rPr>
        <w:t>”. Además, su art. 73.2 declara la preferencia del Convenio de Nueva York sobre el Reglamento</w:t>
      </w:r>
      <w:r w:rsidRPr="00497684">
        <w:rPr>
          <w:rStyle w:val="Refernciadenotaapeudepgina"/>
          <w:rFonts w:ascii="Times New Roman" w:hAnsi="Times New Roman" w:cs="Times New Roman"/>
          <w:sz w:val="24"/>
          <w:szCs w:val="24"/>
        </w:rPr>
        <w:footnoteReference w:id="50"/>
      </w:r>
      <w:r w:rsidRPr="00497684">
        <w:rPr>
          <w:rFonts w:ascii="Times New Roman" w:hAnsi="Times New Roman" w:cs="Times New Roman"/>
          <w:sz w:val="24"/>
          <w:szCs w:val="24"/>
        </w:rPr>
        <w:t>: “</w:t>
      </w:r>
      <w:r w:rsidRPr="00497684">
        <w:rPr>
          <w:rFonts w:ascii="Times New Roman" w:hAnsi="Times New Roman" w:cs="Times New Roman"/>
          <w:i/>
          <w:sz w:val="24"/>
          <w:szCs w:val="24"/>
        </w:rPr>
        <w:t>El presente Reglamento no afectará a la aplicación del Convenio de Nueva York de 1958</w:t>
      </w:r>
      <w:r w:rsidRPr="00497684">
        <w:rPr>
          <w:rFonts w:ascii="Times New Roman" w:hAnsi="Times New Roman" w:cs="Times New Roman"/>
          <w:sz w:val="24"/>
          <w:szCs w:val="24"/>
        </w:rPr>
        <w:t>”.</w:t>
      </w:r>
    </w:p>
    <w:p w:rsidR="00240B01" w:rsidRPr="00497684" w:rsidRDefault="00E35553"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Más recientemente, l</w:t>
      </w:r>
      <w:r w:rsidR="00240B01" w:rsidRPr="00497684">
        <w:rPr>
          <w:rFonts w:ascii="Times New Roman" w:hAnsi="Times New Roman" w:cs="Times New Roman"/>
          <w:sz w:val="24"/>
          <w:szCs w:val="24"/>
        </w:rPr>
        <w:t xml:space="preserve">a sentencia del caso </w:t>
      </w:r>
      <w:proofErr w:type="spellStart"/>
      <w:r w:rsidR="00240B01" w:rsidRPr="00497684">
        <w:rPr>
          <w:rFonts w:ascii="Times New Roman" w:hAnsi="Times New Roman" w:cs="Times New Roman"/>
          <w:i/>
          <w:sz w:val="24"/>
          <w:szCs w:val="24"/>
        </w:rPr>
        <w:t>Gazprom</w:t>
      </w:r>
      <w:proofErr w:type="spellEnd"/>
      <w:r w:rsidR="00240B01" w:rsidRPr="00497684">
        <w:rPr>
          <w:rFonts w:ascii="Times New Roman" w:hAnsi="Times New Roman" w:cs="Times New Roman"/>
          <w:sz w:val="24"/>
          <w:szCs w:val="24"/>
        </w:rPr>
        <w:t xml:space="preserve">, de </w:t>
      </w:r>
      <w:r w:rsidR="00240B01" w:rsidRPr="00497684">
        <w:rPr>
          <w:rFonts w:ascii="Times New Roman" w:hAnsi="Times New Roman" w:cs="Times New Roman"/>
          <w:sz w:val="24"/>
          <w:szCs w:val="24"/>
          <w:shd w:val="clear" w:color="auto" w:fill="FFFFFF"/>
        </w:rPr>
        <w:t>13 de mayo 2015</w:t>
      </w:r>
      <w:r w:rsidR="00240B01" w:rsidRPr="00497684">
        <w:rPr>
          <w:rStyle w:val="Refernciadenotaapeudepgina"/>
          <w:rFonts w:ascii="Times New Roman" w:hAnsi="Times New Roman" w:cs="Times New Roman"/>
          <w:sz w:val="24"/>
          <w:szCs w:val="24"/>
          <w:shd w:val="clear" w:color="auto" w:fill="FFFFFF"/>
        </w:rPr>
        <w:footnoteReference w:id="51"/>
      </w:r>
      <w:r w:rsidR="00240B01" w:rsidRPr="00497684">
        <w:rPr>
          <w:rFonts w:ascii="Times New Roman" w:hAnsi="Times New Roman" w:cs="Times New Roman"/>
          <w:sz w:val="24"/>
          <w:szCs w:val="24"/>
          <w:shd w:val="clear" w:color="auto" w:fill="FFFFFF"/>
        </w:rPr>
        <w:t>,</w:t>
      </w:r>
      <w:r w:rsidR="00240B01" w:rsidRPr="00497684">
        <w:rPr>
          <w:rFonts w:ascii="Times New Roman" w:hAnsi="Times New Roman" w:cs="Times New Roman"/>
          <w:sz w:val="24"/>
          <w:szCs w:val="24"/>
        </w:rPr>
        <w:t xml:space="preserve"> </w:t>
      </w:r>
      <w:r w:rsidRPr="00497684">
        <w:rPr>
          <w:rFonts w:ascii="Times New Roman" w:hAnsi="Times New Roman" w:cs="Times New Roman"/>
          <w:sz w:val="24"/>
          <w:szCs w:val="24"/>
        </w:rPr>
        <w:t>es relevante. Afirma que “</w:t>
      </w:r>
      <w:r w:rsidRPr="00497684">
        <w:rPr>
          <w:rFonts w:ascii="Times New Roman" w:hAnsi="Times New Roman" w:cs="Times New Roman"/>
          <w:i/>
          <w:sz w:val="24"/>
          <w:szCs w:val="24"/>
          <w:shd w:val="clear" w:color="auto" w:fill="FFFFFF"/>
        </w:rPr>
        <w:t xml:space="preserve">ni el laudo arbitral ni la resolución por la que, en su caso, un órgano jurisdiccional de un Estado miembro lo reconozca pueden afectar a la confianza recíproca entre los órganos jurisdiccionales de los diferentes Estados miembros, que constituye la base del Reglamento 44/2001” (ap. 39). </w:t>
      </w:r>
      <w:r w:rsidRPr="00497684">
        <w:rPr>
          <w:rFonts w:ascii="Times New Roman" w:hAnsi="Times New Roman" w:cs="Times New Roman"/>
          <w:sz w:val="24"/>
          <w:szCs w:val="24"/>
          <w:shd w:val="clear" w:color="auto" w:fill="FFFFFF"/>
        </w:rPr>
        <w:t>En este caso, l</w:t>
      </w:r>
      <w:r w:rsidR="00240B01" w:rsidRPr="00497684">
        <w:rPr>
          <w:rFonts w:ascii="Times New Roman" w:hAnsi="Times New Roman" w:cs="Times New Roman"/>
          <w:sz w:val="24"/>
          <w:szCs w:val="24"/>
        </w:rPr>
        <w:t xml:space="preserve">a </w:t>
      </w:r>
      <w:r w:rsidR="00240B01" w:rsidRPr="00497684">
        <w:rPr>
          <w:rFonts w:ascii="Times New Roman" w:hAnsi="Times New Roman" w:cs="Times New Roman"/>
          <w:i/>
          <w:sz w:val="24"/>
          <w:szCs w:val="24"/>
        </w:rPr>
        <w:t>anti-suit injunction</w:t>
      </w:r>
      <w:r w:rsidR="00240B01" w:rsidRPr="00497684">
        <w:rPr>
          <w:rFonts w:ascii="Times New Roman" w:hAnsi="Times New Roman" w:cs="Times New Roman"/>
          <w:sz w:val="24"/>
          <w:szCs w:val="24"/>
        </w:rPr>
        <w:t xml:space="preserve"> había sido emitida por un tribunal arbitral</w:t>
      </w:r>
      <w:r w:rsidR="00240B01" w:rsidRPr="00497684">
        <w:rPr>
          <w:rStyle w:val="Refernciadenotaapeudepgina"/>
          <w:rFonts w:ascii="Times New Roman" w:hAnsi="Times New Roman" w:cs="Times New Roman"/>
          <w:sz w:val="24"/>
          <w:szCs w:val="24"/>
        </w:rPr>
        <w:footnoteReference w:id="52"/>
      </w:r>
      <w:r w:rsidR="00240B01" w:rsidRPr="00497684">
        <w:rPr>
          <w:rFonts w:ascii="Times New Roman" w:hAnsi="Times New Roman" w:cs="Times New Roman"/>
          <w:sz w:val="24"/>
          <w:szCs w:val="24"/>
        </w:rPr>
        <w:t xml:space="preserve">, a diferencia del caso </w:t>
      </w:r>
      <w:r w:rsidRPr="00497684">
        <w:rPr>
          <w:rFonts w:ascii="Times New Roman" w:hAnsi="Times New Roman" w:cs="Times New Roman"/>
          <w:sz w:val="24"/>
          <w:szCs w:val="24"/>
        </w:rPr>
        <w:t>“</w:t>
      </w:r>
      <w:r w:rsidR="00240B01" w:rsidRPr="00497684">
        <w:rPr>
          <w:rFonts w:ascii="Times New Roman" w:hAnsi="Times New Roman" w:cs="Times New Roman"/>
          <w:sz w:val="24"/>
          <w:szCs w:val="24"/>
        </w:rPr>
        <w:t>West Tankers</w:t>
      </w:r>
      <w:r w:rsidRPr="00497684">
        <w:rPr>
          <w:rFonts w:ascii="Times New Roman" w:hAnsi="Times New Roman" w:cs="Times New Roman"/>
          <w:sz w:val="24"/>
          <w:szCs w:val="24"/>
        </w:rPr>
        <w:t>”</w:t>
      </w:r>
      <w:r w:rsidR="00240B01" w:rsidRPr="00497684">
        <w:rPr>
          <w:rFonts w:ascii="Times New Roman" w:hAnsi="Times New Roman" w:cs="Times New Roman"/>
          <w:sz w:val="24"/>
          <w:szCs w:val="24"/>
        </w:rPr>
        <w:t>, que procedía de un tribunal judicial. No se trata, pues, de un supuesto de injerencia de un órgano jurisdiccional de un Estado miembro en las competencias de otro órgano jurisdiccional de otro Estado</w:t>
      </w:r>
      <w:r w:rsidR="00240B01" w:rsidRPr="00497684">
        <w:rPr>
          <w:rStyle w:val="Refernciadenotaapeudepgina"/>
          <w:rFonts w:ascii="Times New Roman" w:hAnsi="Times New Roman" w:cs="Times New Roman"/>
          <w:sz w:val="24"/>
          <w:szCs w:val="24"/>
        </w:rPr>
        <w:footnoteReference w:id="53"/>
      </w:r>
      <w:r w:rsidR="00240B01" w:rsidRPr="00497684">
        <w:rPr>
          <w:rFonts w:ascii="Times New Roman" w:hAnsi="Times New Roman" w:cs="Times New Roman"/>
          <w:sz w:val="24"/>
          <w:szCs w:val="24"/>
        </w:rPr>
        <w:t xml:space="preserve">. </w:t>
      </w:r>
    </w:p>
    <w:p w:rsidR="00CA708D" w:rsidRPr="00497684" w:rsidRDefault="00CA708D" w:rsidP="00F80D2E">
      <w:pPr>
        <w:spacing w:after="0"/>
        <w:jc w:val="both"/>
        <w:rPr>
          <w:rFonts w:ascii="Times New Roman" w:hAnsi="Times New Roman" w:cs="Times New Roman"/>
          <w:sz w:val="24"/>
          <w:szCs w:val="24"/>
        </w:rPr>
      </w:pPr>
    </w:p>
    <w:p w:rsidR="00CA708D" w:rsidRPr="00497684" w:rsidRDefault="00CA708D"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5. Libre circulación de resoluciones y principio de confianza mutua</w:t>
      </w:r>
    </w:p>
    <w:p w:rsidR="00E35553" w:rsidRPr="00497684" w:rsidRDefault="00E35553" w:rsidP="00E3555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caso </w:t>
      </w:r>
      <w:proofErr w:type="spellStart"/>
      <w:r w:rsidRPr="00497684">
        <w:rPr>
          <w:rFonts w:ascii="Times New Roman" w:hAnsi="Times New Roman" w:cs="Times New Roman"/>
          <w:i/>
          <w:sz w:val="24"/>
          <w:szCs w:val="24"/>
        </w:rPr>
        <w:t>Gazprom</w:t>
      </w:r>
      <w:proofErr w:type="spellEnd"/>
      <w:r w:rsidRPr="00497684">
        <w:rPr>
          <w:rFonts w:ascii="Times New Roman" w:hAnsi="Times New Roman" w:cs="Times New Roman"/>
          <w:sz w:val="24"/>
          <w:szCs w:val="24"/>
        </w:rPr>
        <w:t xml:space="preserve"> consagra el p</w:t>
      </w:r>
      <w:r w:rsidRPr="00497684">
        <w:rPr>
          <w:rFonts w:ascii="Times New Roman" w:hAnsi="Times New Roman" w:cs="Times New Roman"/>
          <w:sz w:val="24"/>
          <w:szCs w:val="24"/>
          <w:shd w:val="clear" w:color="auto" w:fill="FFFFFF"/>
        </w:rPr>
        <w:t>rincipio de la confianza mutua en lo relativa al control de la propia competencia se eleva a principio general del derecho de la UE</w:t>
      </w:r>
      <w:r w:rsidRPr="00497684">
        <w:rPr>
          <w:rStyle w:val="Refernciadenotaapeudepgina"/>
          <w:rFonts w:ascii="Times New Roman" w:hAnsi="Times New Roman" w:cs="Times New Roman"/>
          <w:sz w:val="24"/>
          <w:szCs w:val="24"/>
          <w:shd w:val="clear" w:color="auto" w:fill="FFFFFF"/>
        </w:rPr>
        <w:footnoteReference w:id="54"/>
      </w:r>
      <w:r w:rsidRPr="00497684">
        <w:rPr>
          <w:rFonts w:ascii="Times New Roman" w:hAnsi="Times New Roman" w:cs="Times New Roman"/>
          <w:sz w:val="24"/>
          <w:szCs w:val="24"/>
          <w:shd w:val="clear" w:color="auto" w:fill="FFFFFF"/>
        </w:rPr>
        <w:t xml:space="preserve">. La ejecución judicial del laudo arbitral </w:t>
      </w:r>
      <w:r w:rsidR="00CA708D" w:rsidRPr="00497684">
        <w:rPr>
          <w:rFonts w:ascii="Times New Roman" w:hAnsi="Times New Roman" w:cs="Times New Roman"/>
          <w:sz w:val="24"/>
          <w:szCs w:val="24"/>
          <w:shd w:val="clear" w:color="auto" w:fill="FFFFFF"/>
        </w:rPr>
        <w:t xml:space="preserve">inglés </w:t>
      </w:r>
      <w:r w:rsidRPr="00497684">
        <w:rPr>
          <w:rFonts w:ascii="Times New Roman" w:hAnsi="Times New Roman" w:cs="Times New Roman"/>
          <w:sz w:val="24"/>
          <w:szCs w:val="24"/>
          <w:shd w:val="clear" w:color="auto" w:fill="FFFFFF"/>
        </w:rPr>
        <w:t xml:space="preserve">perseguía blindar el arbitraje y entorpecer el efecto útil del Reglamento 44/2001, como la propia </w:t>
      </w:r>
      <w:r w:rsidRPr="00497684">
        <w:rPr>
          <w:rFonts w:ascii="Times New Roman" w:hAnsi="Times New Roman" w:cs="Times New Roman"/>
          <w:i/>
          <w:sz w:val="24"/>
          <w:szCs w:val="24"/>
          <w:shd w:val="clear" w:color="auto" w:fill="FFFFFF"/>
        </w:rPr>
        <w:t>High Court</w:t>
      </w:r>
      <w:r w:rsidRPr="00497684">
        <w:rPr>
          <w:rFonts w:ascii="Times New Roman" w:hAnsi="Times New Roman" w:cs="Times New Roman"/>
          <w:sz w:val="24"/>
          <w:szCs w:val="24"/>
          <w:shd w:val="clear" w:color="auto" w:fill="FFFFFF"/>
        </w:rPr>
        <w:t xml:space="preserve"> reconocía, y ello es contrario a la doctrina del TJUE expresada en el caso </w:t>
      </w:r>
      <w:r w:rsidRPr="00497684">
        <w:rPr>
          <w:rFonts w:ascii="Times New Roman" w:hAnsi="Times New Roman" w:cs="Times New Roman"/>
          <w:i/>
          <w:sz w:val="24"/>
          <w:szCs w:val="24"/>
          <w:shd w:val="clear" w:color="auto" w:fill="FFFFFF"/>
        </w:rPr>
        <w:t>West Tankers</w:t>
      </w:r>
      <w:r w:rsidRPr="00497684">
        <w:rPr>
          <w:rFonts w:ascii="Times New Roman" w:hAnsi="Times New Roman" w:cs="Times New Roman"/>
          <w:sz w:val="24"/>
          <w:szCs w:val="24"/>
          <w:shd w:val="clear" w:color="auto" w:fill="FFFFFF"/>
        </w:rPr>
        <w:t xml:space="preserve">. </w:t>
      </w:r>
      <w:r w:rsidRPr="00497684">
        <w:rPr>
          <w:rFonts w:ascii="Times New Roman" w:hAnsi="Times New Roman" w:cs="Times New Roman"/>
          <w:sz w:val="24"/>
          <w:szCs w:val="24"/>
        </w:rPr>
        <w:t xml:space="preserve">La sentencia de la </w:t>
      </w:r>
      <w:r w:rsidRPr="00497684">
        <w:rPr>
          <w:rFonts w:ascii="Times New Roman" w:hAnsi="Times New Roman" w:cs="Times New Roman"/>
          <w:i/>
          <w:sz w:val="24"/>
          <w:szCs w:val="24"/>
        </w:rPr>
        <w:t>Court of Appeal</w:t>
      </w:r>
      <w:r w:rsidRPr="00497684">
        <w:rPr>
          <w:rFonts w:ascii="Times New Roman" w:hAnsi="Times New Roman" w:cs="Times New Roman"/>
          <w:sz w:val="24"/>
          <w:szCs w:val="24"/>
        </w:rPr>
        <w:t xml:space="preserve"> en el caso </w:t>
      </w:r>
      <w:r w:rsidRPr="00497684">
        <w:rPr>
          <w:rFonts w:ascii="Times New Roman" w:hAnsi="Times New Roman" w:cs="Times New Roman"/>
          <w:i/>
          <w:sz w:val="24"/>
          <w:szCs w:val="24"/>
        </w:rPr>
        <w:t xml:space="preserve">West </w:t>
      </w:r>
      <w:proofErr w:type="spellStart"/>
      <w:r w:rsidRPr="00497684">
        <w:rPr>
          <w:rFonts w:ascii="Times New Roman" w:hAnsi="Times New Roman" w:cs="Times New Roman"/>
          <w:i/>
          <w:sz w:val="24"/>
          <w:szCs w:val="24"/>
        </w:rPr>
        <w:t>Tankers</w:t>
      </w:r>
      <w:proofErr w:type="spellEnd"/>
      <w:r w:rsidR="00114244" w:rsidRPr="00497684">
        <w:rPr>
          <w:rFonts w:ascii="Times New Roman" w:hAnsi="Times New Roman" w:cs="Times New Roman"/>
          <w:i/>
          <w:sz w:val="24"/>
          <w:szCs w:val="24"/>
        </w:rPr>
        <w:t xml:space="preserve"> v. Allianz</w:t>
      </w:r>
      <w:r w:rsidRPr="00497684">
        <w:rPr>
          <w:rFonts w:ascii="Times New Roman" w:hAnsi="Times New Roman" w:cs="Times New Roman"/>
          <w:sz w:val="24"/>
          <w:szCs w:val="24"/>
        </w:rPr>
        <w:t xml:space="preserve"> es, junto con otras sentencias, el fundamento principal utilizado por 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para considerar que el laudo arbitral ejecutado judicialmente puede permitir en el caso “Prestige”, por ser inconciliable, puede impedir el </w:t>
      </w:r>
      <w:r w:rsidRPr="00497684">
        <w:rPr>
          <w:rFonts w:ascii="Times New Roman" w:hAnsi="Times New Roman" w:cs="Times New Roman"/>
          <w:sz w:val="24"/>
          <w:szCs w:val="24"/>
        </w:rPr>
        <w:lastRenderedPageBreak/>
        <w:t xml:space="preserve">reconocimiento y ejecución en el Reino Unido de la sentencia judicial dictada en otro Estado de la Unión Europea (pars. 183-186). </w:t>
      </w:r>
    </w:p>
    <w:p w:rsidR="00E35553" w:rsidRPr="00497684" w:rsidRDefault="00E35553" w:rsidP="00E3555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A la vista de la sentencia del caso </w:t>
      </w:r>
      <w:r w:rsidRPr="00497684">
        <w:rPr>
          <w:rFonts w:ascii="Times New Roman" w:hAnsi="Times New Roman" w:cs="Times New Roman"/>
          <w:i/>
          <w:sz w:val="24"/>
          <w:szCs w:val="24"/>
        </w:rPr>
        <w:t xml:space="preserve">West </w:t>
      </w:r>
      <w:proofErr w:type="spellStart"/>
      <w:r w:rsidR="000B5899" w:rsidRPr="00497684">
        <w:rPr>
          <w:rFonts w:ascii="Times New Roman" w:hAnsi="Times New Roman" w:cs="Times New Roman"/>
          <w:i/>
          <w:sz w:val="24"/>
          <w:szCs w:val="24"/>
        </w:rPr>
        <w:t>T</w:t>
      </w:r>
      <w:r w:rsidRPr="00497684">
        <w:rPr>
          <w:rFonts w:ascii="Times New Roman" w:hAnsi="Times New Roman" w:cs="Times New Roman"/>
          <w:i/>
          <w:sz w:val="24"/>
          <w:szCs w:val="24"/>
        </w:rPr>
        <w:t>ankers</w:t>
      </w:r>
      <w:proofErr w:type="spellEnd"/>
      <w:r w:rsidR="00114244" w:rsidRPr="00497684">
        <w:rPr>
          <w:rFonts w:ascii="Times New Roman" w:hAnsi="Times New Roman" w:cs="Times New Roman"/>
          <w:sz w:val="24"/>
          <w:szCs w:val="24"/>
        </w:rPr>
        <w:t xml:space="preserve"> </w:t>
      </w:r>
      <w:r w:rsidR="00114244" w:rsidRPr="00497684">
        <w:rPr>
          <w:rFonts w:ascii="Times New Roman" w:hAnsi="Times New Roman" w:cs="Times New Roman"/>
          <w:i/>
          <w:sz w:val="24"/>
          <w:szCs w:val="24"/>
        </w:rPr>
        <w:t>v Allianz</w:t>
      </w:r>
      <w:r w:rsidRPr="00497684">
        <w:rPr>
          <w:rFonts w:ascii="Times New Roman" w:hAnsi="Times New Roman" w:cs="Times New Roman"/>
          <w:sz w:val="24"/>
          <w:szCs w:val="24"/>
        </w:rPr>
        <w:t xml:space="preserve"> de la </w:t>
      </w:r>
      <w:proofErr w:type="spellStart"/>
      <w:r w:rsidRPr="00497684">
        <w:rPr>
          <w:rFonts w:ascii="Times New Roman" w:hAnsi="Times New Roman" w:cs="Times New Roman"/>
          <w:i/>
          <w:sz w:val="24"/>
          <w:szCs w:val="24"/>
        </w:rPr>
        <w:t>Court</w:t>
      </w:r>
      <w:proofErr w:type="spellEnd"/>
      <w:r w:rsidRPr="00497684">
        <w:rPr>
          <w:rFonts w:ascii="Times New Roman" w:hAnsi="Times New Roman" w:cs="Times New Roman"/>
          <w:i/>
          <w:sz w:val="24"/>
          <w:szCs w:val="24"/>
        </w:rPr>
        <w:t xml:space="preserve"> of Appeal</w:t>
      </w:r>
      <w:r w:rsidRPr="00497684">
        <w:rPr>
          <w:rFonts w:ascii="Times New Roman" w:hAnsi="Times New Roman" w:cs="Times New Roman"/>
          <w:sz w:val="24"/>
          <w:szCs w:val="24"/>
        </w:rPr>
        <w:t xml:space="preserve"> de 2012, el juez de la </w:t>
      </w:r>
      <w:r w:rsidRPr="00497684">
        <w:rPr>
          <w:rFonts w:ascii="Times New Roman" w:hAnsi="Times New Roman" w:cs="Times New Roman"/>
          <w:i/>
          <w:sz w:val="24"/>
          <w:szCs w:val="24"/>
        </w:rPr>
        <w:t xml:space="preserve">High Court </w:t>
      </w:r>
      <w:r w:rsidRPr="00497684">
        <w:rPr>
          <w:rFonts w:ascii="Times New Roman" w:hAnsi="Times New Roman" w:cs="Times New Roman"/>
          <w:sz w:val="24"/>
          <w:szCs w:val="24"/>
        </w:rPr>
        <w:t xml:space="preserve">en el caso </w:t>
      </w:r>
      <w:r w:rsidRPr="00497684">
        <w:rPr>
          <w:rFonts w:ascii="Times New Roman" w:hAnsi="Times New Roman" w:cs="Times New Roman"/>
          <w:i/>
          <w:sz w:val="24"/>
          <w:szCs w:val="24"/>
        </w:rPr>
        <w:t>Prestige</w:t>
      </w:r>
      <w:r w:rsidRPr="00497684">
        <w:rPr>
          <w:rFonts w:ascii="Times New Roman" w:hAnsi="Times New Roman" w:cs="Times New Roman"/>
          <w:sz w:val="24"/>
          <w:szCs w:val="24"/>
        </w:rPr>
        <w:t xml:space="preserve"> considera que la sentencia que reconoce el laudo arbitral sí encaja en el concepto de resolución del art. 34(3) Reglamento 44/2001. Declara expresamente la utilidad clara de esta autorización con la finalidad de “</w:t>
      </w:r>
      <w:r w:rsidRPr="00497684">
        <w:rPr>
          <w:rFonts w:ascii="Times New Roman" w:hAnsi="Times New Roman" w:cs="Times New Roman"/>
          <w:i/>
          <w:sz w:val="24"/>
          <w:szCs w:val="24"/>
        </w:rPr>
        <w:t>establecer la primacía del laudo frente a cualquier sentencia incompatible que pudiese ser dictada en España</w:t>
      </w:r>
      <w:r w:rsidRPr="00497684">
        <w:rPr>
          <w:rFonts w:ascii="Times New Roman" w:hAnsi="Times New Roman" w:cs="Times New Roman"/>
          <w:sz w:val="24"/>
          <w:szCs w:val="24"/>
        </w:rPr>
        <w:t xml:space="preserve">” (párrafo 187). Añade que la perspectiva de establecer esta primacía está fundamentada en varios casos ingleses que han declarado o asumido que un laudo arbitral reconocido judicialmente conforme a la sección 66 </w:t>
      </w:r>
      <w:r w:rsidR="000B5899" w:rsidRPr="00497684">
        <w:rPr>
          <w:rFonts w:ascii="Times New Roman" w:hAnsi="Times New Roman" w:cs="Times New Roman"/>
          <w:sz w:val="24"/>
          <w:szCs w:val="24"/>
        </w:rPr>
        <w:t xml:space="preserve">AA </w:t>
      </w:r>
      <w:r w:rsidRPr="00497684">
        <w:rPr>
          <w:rFonts w:ascii="Times New Roman" w:hAnsi="Times New Roman" w:cs="Times New Roman"/>
          <w:sz w:val="24"/>
          <w:szCs w:val="24"/>
        </w:rPr>
        <w:t>1996 es una resolución a los efectos del art. 34(3) Reglamento 44/2001 (párrafo 187). Señala también que “</w:t>
      </w:r>
      <w:r w:rsidRPr="00497684">
        <w:rPr>
          <w:rFonts w:ascii="Times New Roman" w:hAnsi="Times New Roman" w:cs="Times New Roman"/>
          <w:i/>
          <w:sz w:val="24"/>
          <w:szCs w:val="24"/>
        </w:rPr>
        <w:t xml:space="preserve">la sección 66 </w:t>
      </w:r>
      <w:r w:rsidR="000B5899" w:rsidRPr="00497684">
        <w:rPr>
          <w:rFonts w:ascii="Times New Roman" w:hAnsi="Times New Roman" w:cs="Times New Roman"/>
          <w:i/>
          <w:sz w:val="24"/>
          <w:szCs w:val="24"/>
        </w:rPr>
        <w:t>AA</w:t>
      </w:r>
      <w:r w:rsidRPr="00497684">
        <w:rPr>
          <w:rFonts w:ascii="Times New Roman" w:hAnsi="Times New Roman" w:cs="Times New Roman"/>
          <w:i/>
          <w:sz w:val="24"/>
          <w:szCs w:val="24"/>
        </w:rPr>
        <w:t xml:space="preserve"> </w:t>
      </w:r>
      <w:r w:rsidR="000B5899" w:rsidRPr="00497684">
        <w:rPr>
          <w:rFonts w:ascii="Times New Roman" w:hAnsi="Times New Roman" w:cs="Times New Roman"/>
          <w:i/>
          <w:sz w:val="24"/>
          <w:szCs w:val="24"/>
        </w:rPr>
        <w:t xml:space="preserve">1996 </w:t>
      </w:r>
      <w:r w:rsidRPr="00497684">
        <w:rPr>
          <w:rFonts w:ascii="Times New Roman" w:hAnsi="Times New Roman" w:cs="Times New Roman"/>
          <w:i/>
          <w:sz w:val="24"/>
          <w:szCs w:val="24"/>
        </w:rPr>
        <w:t>no tiene la naturaleza del Reglamento 44/2001 y, por ello, le permite ignorar el mandato de suspender el procedimiento impuesto por el Reglamento 44/2001 y, sin embargo, afirmaría haber emitido una resolución para dejar sin efecto la sentencia del Tribunal de Justicia ante el que se interpuso la primera demanda</w:t>
      </w:r>
      <w:r w:rsidRPr="00497684">
        <w:rPr>
          <w:rFonts w:ascii="Times New Roman" w:hAnsi="Times New Roman" w:cs="Times New Roman"/>
          <w:sz w:val="24"/>
          <w:szCs w:val="24"/>
        </w:rPr>
        <w:t>" (párrafo 192). Concluye que “</w:t>
      </w:r>
      <w:r w:rsidRPr="00497684">
        <w:rPr>
          <w:rFonts w:ascii="Times New Roman" w:hAnsi="Times New Roman" w:cs="Times New Roman"/>
          <w:i/>
          <w:sz w:val="24"/>
          <w:szCs w:val="24"/>
        </w:rPr>
        <w:t>los demandados asumen que este Tribunal debería tratar la presente solicitud como si estuviese regulado por la Regulación. No obstante, ésta es una solicitud de arbitraje y arbitraje queda fuera de la Regulación. Las resoluciones potencialmente incompatibles y la falta de coordinación son consecuencias reconocidas de la exclusión de arbitraje</w:t>
      </w:r>
      <w:r w:rsidRPr="00497684">
        <w:rPr>
          <w:rFonts w:ascii="Times New Roman" w:hAnsi="Times New Roman" w:cs="Times New Roman"/>
          <w:sz w:val="24"/>
          <w:szCs w:val="24"/>
        </w:rPr>
        <w:t xml:space="preserve">” (párrafo 193). </w:t>
      </w:r>
    </w:p>
    <w:p w:rsidR="00E35553" w:rsidRPr="00497684" w:rsidRDefault="00E35553" w:rsidP="00E3555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 </w:t>
      </w:r>
      <w:r w:rsidRPr="00497684">
        <w:rPr>
          <w:rFonts w:ascii="Times New Roman" w:hAnsi="Times New Roman" w:cs="Times New Roman"/>
          <w:i/>
          <w:sz w:val="24"/>
          <w:szCs w:val="24"/>
        </w:rPr>
        <w:t xml:space="preserve">Court of Appeal </w:t>
      </w:r>
      <w:r w:rsidRPr="00497684">
        <w:rPr>
          <w:rFonts w:ascii="Times New Roman" w:hAnsi="Times New Roman" w:cs="Times New Roman"/>
          <w:sz w:val="24"/>
          <w:szCs w:val="24"/>
        </w:rPr>
        <w:t xml:space="preserve">en 2015 confirmó la sentencia de 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que registraba los laudos arbitrales como sentencia, desestimando las apelaciones de España y Francia. Sin embargo, la </w:t>
      </w:r>
      <w:r w:rsidRPr="00497684">
        <w:rPr>
          <w:rFonts w:ascii="Times New Roman" w:hAnsi="Times New Roman" w:cs="Times New Roman"/>
          <w:i/>
          <w:sz w:val="24"/>
          <w:szCs w:val="24"/>
        </w:rPr>
        <w:t>Court of Appeal</w:t>
      </w:r>
      <w:r w:rsidRPr="00497684">
        <w:rPr>
          <w:rFonts w:ascii="Times New Roman" w:hAnsi="Times New Roman" w:cs="Times New Roman"/>
          <w:sz w:val="24"/>
          <w:szCs w:val="24"/>
        </w:rPr>
        <w:t xml:space="preserve"> no entra a valorar la cuestión aquí planteada. Sólo recuerda que el juez de la </w:t>
      </w:r>
      <w:r w:rsidRPr="00497684">
        <w:rPr>
          <w:rFonts w:ascii="Times New Roman" w:hAnsi="Times New Roman" w:cs="Times New Roman"/>
          <w:i/>
          <w:sz w:val="24"/>
          <w:szCs w:val="24"/>
        </w:rPr>
        <w:t xml:space="preserve">High Court </w:t>
      </w:r>
      <w:r w:rsidRPr="00497684">
        <w:rPr>
          <w:rFonts w:ascii="Times New Roman" w:hAnsi="Times New Roman" w:cs="Times New Roman"/>
          <w:sz w:val="24"/>
          <w:szCs w:val="24"/>
        </w:rPr>
        <w:t>señaló que había una posibilidad real de que la sentencia de reconocimiento del laudo se incluiría dentro del ámbito de aplicación del art. 34(3) Reglamento 44/2001 e impediría la ejecución de la sentencia española en Inglaterra y en cualquier otro lugar de Europa (párrafo 8).</w:t>
      </w:r>
    </w:p>
    <w:p w:rsidR="00984619" w:rsidRPr="00497684" w:rsidRDefault="00984619" w:rsidP="00F80D2E">
      <w:pPr>
        <w:spacing w:after="0"/>
        <w:jc w:val="both"/>
        <w:rPr>
          <w:rFonts w:ascii="Times New Roman" w:hAnsi="Times New Roman" w:cs="Times New Roman"/>
          <w:sz w:val="24"/>
          <w:szCs w:val="24"/>
        </w:rPr>
      </w:pPr>
    </w:p>
    <w:p w:rsidR="00A746EF" w:rsidRPr="00497684" w:rsidRDefault="00CA708D" w:rsidP="00F80D2E">
      <w:pPr>
        <w:spacing w:after="0"/>
        <w:jc w:val="both"/>
        <w:rPr>
          <w:rFonts w:ascii="Times New Roman" w:hAnsi="Times New Roman" w:cs="Times New Roman"/>
          <w:b/>
          <w:sz w:val="24"/>
          <w:szCs w:val="24"/>
        </w:rPr>
      </w:pPr>
      <w:r w:rsidRPr="00497684">
        <w:rPr>
          <w:rFonts w:ascii="Times New Roman" w:hAnsi="Times New Roman" w:cs="Times New Roman"/>
          <w:b/>
          <w:sz w:val="24"/>
          <w:szCs w:val="24"/>
        </w:rPr>
        <w:t>6</w:t>
      </w:r>
      <w:r w:rsidR="00240B01" w:rsidRPr="00497684">
        <w:rPr>
          <w:rFonts w:ascii="Times New Roman" w:hAnsi="Times New Roman" w:cs="Times New Roman"/>
          <w:b/>
          <w:sz w:val="24"/>
          <w:szCs w:val="24"/>
        </w:rPr>
        <w:t xml:space="preserve">. </w:t>
      </w:r>
      <w:r w:rsidR="00993C1D" w:rsidRPr="00497684">
        <w:rPr>
          <w:rFonts w:ascii="Times New Roman" w:hAnsi="Times New Roman" w:cs="Times New Roman"/>
          <w:b/>
          <w:sz w:val="24"/>
          <w:szCs w:val="24"/>
        </w:rPr>
        <w:t>Sobre si cabe oponer e</w:t>
      </w:r>
      <w:r w:rsidR="005E75F6" w:rsidRPr="00497684">
        <w:rPr>
          <w:rFonts w:ascii="Times New Roman" w:hAnsi="Times New Roman" w:cs="Times New Roman"/>
          <w:b/>
          <w:sz w:val="24"/>
          <w:szCs w:val="24"/>
        </w:rPr>
        <w:t>l</w:t>
      </w:r>
      <w:bookmarkStart w:id="10" w:name="_Hlk75272519"/>
      <w:r w:rsidR="005E75F6" w:rsidRPr="00497684">
        <w:rPr>
          <w:rFonts w:ascii="Times New Roman" w:hAnsi="Times New Roman" w:cs="Times New Roman"/>
          <w:b/>
          <w:sz w:val="24"/>
          <w:szCs w:val="24"/>
        </w:rPr>
        <w:t xml:space="preserve"> p</w:t>
      </w:r>
      <w:r w:rsidR="00603EE2" w:rsidRPr="00497684">
        <w:rPr>
          <w:rFonts w:ascii="Times New Roman" w:hAnsi="Times New Roman" w:cs="Times New Roman"/>
          <w:b/>
          <w:sz w:val="24"/>
          <w:szCs w:val="24"/>
        </w:rPr>
        <w:t>rincipio de la cosa juzgada y/o inconciliabilidad</w:t>
      </w:r>
      <w:r w:rsidR="005E75F6" w:rsidRPr="00497684">
        <w:rPr>
          <w:rFonts w:ascii="Times New Roman" w:hAnsi="Times New Roman" w:cs="Times New Roman"/>
          <w:b/>
          <w:sz w:val="24"/>
          <w:szCs w:val="24"/>
        </w:rPr>
        <w:t xml:space="preserve"> de resoluciones en el motivo de orden público interno </w:t>
      </w:r>
      <w:r w:rsidR="00993C1D" w:rsidRPr="00497684">
        <w:rPr>
          <w:rFonts w:ascii="Times New Roman" w:hAnsi="Times New Roman" w:cs="Times New Roman"/>
          <w:b/>
          <w:sz w:val="24"/>
          <w:szCs w:val="24"/>
        </w:rPr>
        <w:t xml:space="preserve">del art. 34(1) Reglamento 44/2001 </w:t>
      </w:r>
      <w:r w:rsidR="005E75F6" w:rsidRPr="00497684">
        <w:rPr>
          <w:rFonts w:ascii="Times New Roman" w:hAnsi="Times New Roman" w:cs="Times New Roman"/>
          <w:b/>
          <w:sz w:val="24"/>
          <w:szCs w:val="24"/>
        </w:rPr>
        <w:t xml:space="preserve">para denegar el reconocimiento de una </w:t>
      </w:r>
      <w:r w:rsidR="000F4882" w:rsidRPr="00497684">
        <w:rPr>
          <w:rFonts w:ascii="Times New Roman" w:hAnsi="Times New Roman" w:cs="Times New Roman"/>
          <w:b/>
          <w:sz w:val="24"/>
          <w:szCs w:val="24"/>
        </w:rPr>
        <w:t>resolución</w:t>
      </w:r>
      <w:r w:rsidR="005E75F6" w:rsidRPr="00497684">
        <w:rPr>
          <w:rFonts w:ascii="Times New Roman" w:hAnsi="Times New Roman" w:cs="Times New Roman"/>
          <w:b/>
          <w:sz w:val="24"/>
          <w:szCs w:val="24"/>
        </w:rPr>
        <w:t xml:space="preserve"> extranjera</w:t>
      </w:r>
    </w:p>
    <w:bookmarkEnd w:id="10"/>
    <w:p w:rsidR="00603EE2" w:rsidRPr="00497684" w:rsidRDefault="00DF0325"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 </w:t>
      </w:r>
      <w:r w:rsidR="0007361B" w:rsidRPr="00497684">
        <w:rPr>
          <w:rFonts w:ascii="Times New Roman" w:hAnsi="Times New Roman" w:cs="Times New Roman"/>
          <w:sz w:val="24"/>
          <w:szCs w:val="24"/>
        </w:rPr>
        <w:t xml:space="preserve">tercera pregunta de la </w:t>
      </w:r>
      <w:r w:rsidRPr="00497684">
        <w:rPr>
          <w:rFonts w:ascii="Times New Roman" w:hAnsi="Times New Roman" w:cs="Times New Roman"/>
          <w:i/>
          <w:sz w:val="24"/>
          <w:szCs w:val="24"/>
        </w:rPr>
        <w:t>High Court</w:t>
      </w:r>
      <w:r w:rsidR="005E75F6" w:rsidRPr="00497684">
        <w:rPr>
          <w:rFonts w:ascii="Times New Roman" w:hAnsi="Times New Roman" w:cs="Times New Roman"/>
          <w:i/>
          <w:sz w:val="24"/>
          <w:szCs w:val="24"/>
        </w:rPr>
        <w:t xml:space="preserve">, </w:t>
      </w:r>
      <w:r w:rsidR="005E75F6" w:rsidRPr="00497684">
        <w:rPr>
          <w:rFonts w:ascii="Times New Roman" w:hAnsi="Times New Roman" w:cs="Times New Roman"/>
          <w:sz w:val="24"/>
          <w:szCs w:val="24"/>
        </w:rPr>
        <w:t>e</w:t>
      </w:r>
      <w:r w:rsidR="00603EE2" w:rsidRPr="00497684">
        <w:rPr>
          <w:rFonts w:ascii="Times New Roman" w:hAnsi="Times New Roman" w:cs="Times New Roman"/>
          <w:sz w:val="24"/>
          <w:szCs w:val="24"/>
        </w:rPr>
        <w:t xml:space="preserve">sencialmente, pregunta </w:t>
      </w:r>
      <w:r w:rsidR="005E75F6" w:rsidRPr="00497684">
        <w:rPr>
          <w:rFonts w:ascii="Times New Roman" w:hAnsi="Times New Roman" w:cs="Times New Roman"/>
          <w:sz w:val="24"/>
          <w:szCs w:val="24"/>
        </w:rPr>
        <w:t>s</w:t>
      </w:r>
      <w:r w:rsidR="00603EE2" w:rsidRPr="00497684">
        <w:rPr>
          <w:rFonts w:ascii="Times New Roman" w:hAnsi="Times New Roman" w:cs="Times New Roman"/>
          <w:sz w:val="24"/>
          <w:szCs w:val="24"/>
        </w:rPr>
        <w:t xml:space="preserve">i </w:t>
      </w:r>
      <w:r w:rsidR="00486760" w:rsidRPr="00497684">
        <w:rPr>
          <w:rFonts w:ascii="Times New Roman" w:hAnsi="Times New Roman" w:cs="Times New Roman"/>
          <w:sz w:val="24"/>
          <w:szCs w:val="24"/>
        </w:rPr>
        <w:t>la vulneración del principio de cosa juzgada y/o inconciliabilidad de resoluciones se incluye dentro d</w:t>
      </w:r>
      <w:r w:rsidR="00603EE2" w:rsidRPr="00497684">
        <w:rPr>
          <w:rFonts w:ascii="Times New Roman" w:hAnsi="Times New Roman" w:cs="Times New Roman"/>
          <w:sz w:val="24"/>
          <w:szCs w:val="24"/>
        </w:rPr>
        <w:t xml:space="preserve">el motivo de orden público interno del art. 34(1) Reglamento 44/2001 </w:t>
      </w:r>
      <w:r w:rsidR="00486760" w:rsidRPr="00497684">
        <w:rPr>
          <w:rFonts w:ascii="Times New Roman" w:hAnsi="Times New Roman" w:cs="Times New Roman"/>
          <w:sz w:val="24"/>
          <w:szCs w:val="24"/>
        </w:rPr>
        <w:t xml:space="preserve">para denegar el reconocimiento de una sentencia extranjera en el Estado requerido; </w:t>
      </w:r>
      <w:r w:rsidR="00603EE2" w:rsidRPr="00497684">
        <w:rPr>
          <w:rFonts w:ascii="Times New Roman" w:hAnsi="Times New Roman" w:cs="Times New Roman"/>
          <w:sz w:val="24"/>
          <w:szCs w:val="24"/>
        </w:rPr>
        <w:t>o</w:t>
      </w:r>
      <w:r w:rsidR="00486760" w:rsidRPr="00497684">
        <w:rPr>
          <w:rFonts w:ascii="Times New Roman" w:hAnsi="Times New Roman" w:cs="Times New Roman"/>
          <w:sz w:val="24"/>
          <w:szCs w:val="24"/>
        </w:rPr>
        <w:t>,</w:t>
      </w:r>
      <w:r w:rsidR="00603EE2" w:rsidRPr="00497684">
        <w:rPr>
          <w:rFonts w:ascii="Times New Roman" w:hAnsi="Times New Roman" w:cs="Times New Roman"/>
          <w:sz w:val="24"/>
          <w:szCs w:val="24"/>
        </w:rPr>
        <w:t xml:space="preserve"> si este supuesto ya está comprendido específicamente en el art. 34(3) y (4) Reglamento 44/2001.</w:t>
      </w:r>
      <w:r w:rsidR="00486760" w:rsidRPr="00497684">
        <w:rPr>
          <w:rFonts w:ascii="Times New Roman" w:hAnsi="Times New Roman" w:cs="Times New Roman"/>
          <w:sz w:val="24"/>
          <w:szCs w:val="24"/>
        </w:rPr>
        <w:t xml:space="preserve"> </w:t>
      </w:r>
    </w:p>
    <w:p w:rsidR="008D3EFF" w:rsidRPr="00497684" w:rsidRDefault="008D3EFF"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 interpretación sistemática del art. 34 Reglamento 44/2001, los precedentes judiciales del TJUE y la interpretación de los </w:t>
      </w:r>
      <w:r w:rsidR="00D67DED" w:rsidRPr="00497684">
        <w:rPr>
          <w:rFonts w:ascii="Times New Roman" w:hAnsi="Times New Roman" w:cs="Times New Roman"/>
          <w:sz w:val="24"/>
          <w:szCs w:val="24"/>
        </w:rPr>
        <w:t xml:space="preserve">antecedentes legales </w:t>
      </w:r>
      <w:r w:rsidRPr="00497684">
        <w:rPr>
          <w:rFonts w:ascii="Times New Roman" w:hAnsi="Times New Roman" w:cs="Times New Roman"/>
          <w:sz w:val="24"/>
          <w:szCs w:val="24"/>
        </w:rPr>
        <w:t xml:space="preserve">exigen contestar negativamente, esto es, la cosa juzgada y/o la inconciliabilidad de resoluciones no </w:t>
      </w:r>
      <w:r w:rsidR="00D67DED" w:rsidRPr="00497684">
        <w:rPr>
          <w:rFonts w:ascii="Times New Roman" w:hAnsi="Times New Roman" w:cs="Times New Roman"/>
          <w:sz w:val="24"/>
          <w:szCs w:val="24"/>
        </w:rPr>
        <w:t>debe</w:t>
      </w:r>
      <w:r w:rsidRPr="00497684">
        <w:rPr>
          <w:rFonts w:ascii="Times New Roman" w:hAnsi="Times New Roman" w:cs="Times New Roman"/>
          <w:sz w:val="24"/>
          <w:szCs w:val="24"/>
        </w:rPr>
        <w:t>n</w:t>
      </w:r>
      <w:r w:rsidR="00D67DED" w:rsidRPr="00497684">
        <w:rPr>
          <w:rFonts w:ascii="Times New Roman" w:hAnsi="Times New Roman" w:cs="Times New Roman"/>
          <w:sz w:val="24"/>
          <w:szCs w:val="24"/>
        </w:rPr>
        <w:t xml:space="preserve"> incluirse en el orden público del art. 34(1) Reglamento 44/2001. </w:t>
      </w:r>
    </w:p>
    <w:p w:rsidR="00D67DED" w:rsidRPr="00497684" w:rsidRDefault="008D3EFF"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En relación a la interpretación sistemática y de los antecedentes legales, s</w:t>
      </w:r>
      <w:r w:rsidR="002132B3" w:rsidRPr="00497684">
        <w:rPr>
          <w:rFonts w:ascii="Times New Roman" w:hAnsi="Times New Roman" w:cs="Times New Roman"/>
          <w:sz w:val="24"/>
          <w:szCs w:val="24"/>
        </w:rPr>
        <w:t>in apenas cambios</w:t>
      </w:r>
      <w:r w:rsidR="002132B3" w:rsidRPr="00497684">
        <w:rPr>
          <w:rStyle w:val="Refernciadenotaapeudepgina"/>
          <w:rFonts w:ascii="Times New Roman" w:hAnsi="Times New Roman" w:cs="Times New Roman"/>
          <w:sz w:val="24"/>
          <w:szCs w:val="24"/>
        </w:rPr>
        <w:footnoteReference w:id="55"/>
      </w:r>
      <w:r w:rsidR="002132B3" w:rsidRPr="00497684">
        <w:rPr>
          <w:rFonts w:ascii="Times New Roman" w:hAnsi="Times New Roman" w:cs="Times New Roman"/>
          <w:sz w:val="24"/>
          <w:szCs w:val="24"/>
        </w:rPr>
        <w:t xml:space="preserve">, los arts. 34(1) y (3) Reglamento 44/2001 reproducen los arts. 27(1) y (3) </w:t>
      </w:r>
      <w:r w:rsidR="002132B3" w:rsidRPr="00497684">
        <w:rPr>
          <w:rFonts w:ascii="Times New Roman" w:hAnsi="Times New Roman" w:cs="Times New Roman"/>
          <w:sz w:val="24"/>
          <w:szCs w:val="24"/>
        </w:rPr>
        <w:lastRenderedPageBreak/>
        <w:t>Convenio de Bruselas</w:t>
      </w:r>
      <w:r w:rsidR="00D67DED" w:rsidRPr="00497684">
        <w:rPr>
          <w:rFonts w:ascii="Times New Roman" w:hAnsi="Times New Roman" w:cs="Times New Roman"/>
          <w:sz w:val="24"/>
          <w:szCs w:val="24"/>
        </w:rPr>
        <w:t xml:space="preserve"> de 1968</w:t>
      </w:r>
      <w:r w:rsidR="002132B3" w:rsidRPr="00497684">
        <w:rPr>
          <w:rFonts w:ascii="Times New Roman" w:hAnsi="Times New Roman" w:cs="Times New Roman"/>
          <w:sz w:val="24"/>
          <w:szCs w:val="24"/>
        </w:rPr>
        <w:t>.</w:t>
      </w:r>
      <w:r w:rsidR="00EE577B" w:rsidRPr="00497684">
        <w:rPr>
          <w:rFonts w:ascii="Times New Roman" w:hAnsi="Times New Roman" w:cs="Times New Roman"/>
          <w:sz w:val="24"/>
          <w:szCs w:val="24"/>
        </w:rPr>
        <w:t xml:space="preserve"> </w:t>
      </w:r>
      <w:r w:rsidRPr="00497684">
        <w:rPr>
          <w:rFonts w:ascii="Times New Roman" w:hAnsi="Times New Roman" w:cs="Times New Roman"/>
          <w:sz w:val="24"/>
          <w:szCs w:val="24"/>
        </w:rPr>
        <w:t xml:space="preserve">Este </w:t>
      </w:r>
      <w:r w:rsidR="00EE577B" w:rsidRPr="00497684">
        <w:rPr>
          <w:rFonts w:ascii="Times New Roman" w:hAnsi="Times New Roman" w:cs="Times New Roman"/>
          <w:sz w:val="24"/>
          <w:szCs w:val="24"/>
        </w:rPr>
        <w:t>Convenio</w:t>
      </w:r>
      <w:r w:rsidRPr="00497684">
        <w:rPr>
          <w:rFonts w:ascii="Times New Roman" w:hAnsi="Times New Roman" w:cs="Times New Roman"/>
          <w:sz w:val="24"/>
          <w:szCs w:val="24"/>
        </w:rPr>
        <w:t>, al enumerar los motivos para no reconocer la resolución judicial de otro Estado miembro</w:t>
      </w:r>
      <w:r w:rsidR="00EE577B" w:rsidRPr="00497684">
        <w:rPr>
          <w:rFonts w:ascii="Times New Roman" w:hAnsi="Times New Roman" w:cs="Times New Roman"/>
          <w:sz w:val="24"/>
          <w:szCs w:val="24"/>
        </w:rPr>
        <w:t xml:space="preserve"> </w:t>
      </w:r>
      <w:r w:rsidRPr="00497684">
        <w:rPr>
          <w:rFonts w:ascii="Times New Roman" w:hAnsi="Times New Roman" w:cs="Times New Roman"/>
          <w:sz w:val="24"/>
          <w:szCs w:val="24"/>
        </w:rPr>
        <w:t xml:space="preserve">en el Estado requerido, </w:t>
      </w:r>
      <w:r w:rsidR="00EE577B" w:rsidRPr="00497684">
        <w:rPr>
          <w:rFonts w:ascii="Times New Roman" w:hAnsi="Times New Roman" w:cs="Times New Roman"/>
          <w:sz w:val="24"/>
          <w:szCs w:val="24"/>
        </w:rPr>
        <w:t xml:space="preserve">siguió el modelo de </w:t>
      </w:r>
      <w:r w:rsidRPr="00497684">
        <w:rPr>
          <w:rFonts w:ascii="Times New Roman" w:hAnsi="Times New Roman" w:cs="Times New Roman"/>
          <w:sz w:val="24"/>
          <w:szCs w:val="24"/>
        </w:rPr>
        <w:t xml:space="preserve">cláusula general (resolución contraria al </w:t>
      </w:r>
      <w:r w:rsidR="00EE577B" w:rsidRPr="00497684">
        <w:rPr>
          <w:rFonts w:ascii="Times New Roman" w:hAnsi="Times New Roman" w:cs="Times New Roman"/>
          <w:sz w:val="24"/>
          <w:szCs w:val="24"/>
        </w:rPr>
        <w:t>orden público</w:t>
      </w:r>
      <w:r w:rsidRPr="00497684">
        <w:rPr>
          <w:rFonts w:ascii="Times New Roman" w:hAnsi="Times New Roman" w:cs="Times New Roman"/>
          <w:sz w:val="24"/>
          <w:szCs w:val="24"/>
        </w:rPr>
        <w:t xml:space="preserve"> interno del Estado requerido) y cláusula específica (resolución inconciliable con otra dictada en el Estado requerido).</w:t>
      </w:r>
    </w:p>
    <w:p w:rsidR="00470980" w:rsidRPr="00497684" w:rsidRDefault="00D67DED"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w:t>
      </w:r>
      <w:r w:rsidR="00D569C3" w:rsidRPr="00497684">
        <w:rPr>
          <w:rFonts w:ascii="Times New Roman" w:hAnsi="Times New Roman" w:cs="Times New Roman"/>
          <w:sz w:val="24"/>
          <w:szCs w:val="24"/>
        </w:rPr>
        <w:t>l informe Jenard e</w:t>
      </w:r>
      <w:r w:rsidR="008D3EFF" w:rsidRPr="00497684">
        <w:rPr>
          <w:rFonts w:ascii="Times New Roman" w:hAnsi="Times New Roman" w:cs="Times New Roman"/>
          <w:sz w:val="24"/>
          <w:szCs w:val="24"/>
        </w:rPr>
        <w:t xml:space="preserve">s esclarecedor de cuál fue la voluntad del legislador al redactar el art. </w:t>
      </w:r>
      <w:r w:rsidR="00470980" w:rsidRPr="00497684">
        <w:rPr>
          <w:rFonts w:ascii="Times New Roman" w:hAnsi="Times New Roman" w:cs="Times New Roman"/>
          <w:sz w:val="24"/>
          <w:szCs w:val="24"/>
        </w:rPr>
        <w:t>27 Convenio de Bruselas y las razones de la cláusula general de orden público y la cláusula específica de resoluciones inconciliables. El Comité redactor explica que el no-reconocimiento de resoluciones inconciliables con sentencias nacionales "</w:t>
      </w:r>
      <w:r w:rsidR="00470980" w:rsidRPr="00497684">
        <w:rPr>
          <w:rFonts w:ascii="Times New Roman" w:hAnsi="Times New Roman" w:cs="Times New Roman"/>
          <w:i/>
          <w:sz w:val="24"/>
          <w:szCs w:val="24"/>
        </w:rPr>
        <w:t>se regulan en los acuerdos existentes, bien por el orden público, como ocurre en los Tratados franco-belga o belgo-alemán, o bien mediante una cláusula especial (énfasis añadido)</w:t>
      </w:r>
      <w:r w:rsidR="00470980" w:rsidRPr="00497684">
        <w:rPr>
          <w:rFonts w:ascii="Times New Roman" w:hAnsi="Times New Roman" w:cs="Times New Roman"/>
          <w:sz w:val="24"/>
          <w:szCs w:val="24"/>
        </w:rPr>
        <w:t xml:space="preserve">". </w:t>
      </w:r>
      <w:r w:rsidR="00BD09A9" w:rsidRPr="00497684">
        <w:rPr>
          <w:rFonts w:ascii="Times New Roman" w:hAnsi="Times New Roman" w:cs="Times New Roman"/>
          <w:sz w:val="24"/>
          <w:szCs w:val="24"/>
        </w:rPr>
        <w:t xml:space="preserve">Fue la experiencia italiana la que aconsejó al Comité redactor del Convenio de Bruselas optar </w:t>
      </w:r>
      <w:r w:rsidR="00470980" w:rsidRPr="00497684">
        <w:rPr>
          <w:rFonts w:ascii="Times New Roman" w:hAnsi="Times New Roman" w:cs="Times New Roman"/>
          <w:sz w:val="24"/>
          <w:szCs w:val="24"/>
        </w:rPr>
        <w:t xml:space="preserve">por una cláusula especial para el supuesto de resoluciones inconciliables (p. 162). </w:t>
      </w:r>
      <w:r w:rsidR="00BD09A9" w:rsidRPr="00497684">
        <w:rPr>
          <w:rFonts w:ascii="Times New Roman" w:hAnsi="Times New Roman" w:cs="Times New Roman"/>
          <w:sz w:val="24"/>
          <w:szCs w:val="24"/>
        </w:rPr>
        <w:t>Indica que en la jurisprudencia italiana, "</w:t>
      </w:r>
      <w:r w:rsidR="00BD09A9" w:rsidRPr="00497684">
        <w:rPr>
          <w:rFonts w:ascii="Times New Roman" w:hAnsi="Times New Roman" w:cs="Times New Roman"/>
          <w:i/>
          <w:sz w:val="24"/>
          <w:szCs w:val="24"/>
        </w:rPr>
        <w:t>las resoluciones judiciales extranjeras cuyo reconocimiento se invoca en Italia</w:t>
      </w:r>
      <w:r w:rsidR="00004537" w:rsidRPr="00497684">
        <w:rPr>
          <w:rFonts w:ascii="Times New Roman" w:hAnsi="Times New Roman" w:cs="Times New Roman"/>
          <w:i/>
          <w:sz w:val="24"/>
          <w:szCs w:val="24"/>
        </w:rPr>
        <w:t xml:space="preserve"> </w:t>
      </w:r>
      <w:r w:rsidR="00BD09A9" w:rsidRPr="00497684">
        <w:rPr>
          <w:rFonts w:ascii="Times New Roman" w:hAnsi="Times New Roman" w:cs="Times New Roman"/>
          <w:i/>
          <w:sz w:val="24"/>
          <w:szCs w:val="24"/>
        </w:rPr>
        <w:t>y que son contradictorias con resoluciones italianas, no entran en el ámbito del orden público</w:t>
      </w:r>
      <w:r w:rsidR="00BD09A9" w:rsidRPr="00497684">
        <w:rPr>
          <w:rFonts w:ascii="Times New Roman" w:hAnsi="Times New Roman" w:cs="Times New Roman"/>
          <w:sz w:val="24"/>
          <w:szCs w:val="24"/>
        </w:rPr>
        <w:t>". Por ello, añade el informe Jenard, "</w:t>
      </w:r>
      <w:r w:rsidR="00BD09A9" w:rsidRPr="00497684">
        <w:rPr>
          <w:rFonts w:ascii="Times New Roman" w:hAnsi="Times New Roman" w:cs="Times New Roman"/>
          <w:i/>
          <w:sz w:val="24"/>
          <w:szCs w:val="24"/>
        </w:rPr>
        <w:t>los convenios de ejecución celebrados por Italia</w:t>
      </w:r>
      <w:r w:rsidR="00004537" w:rsidRPr="00497684">
        <w:rPr>
          <w:rFonts w:ascii="Times New Roman" w:hAnsi="Times New Roman" w:cs="Times New Roman"/>
          <w:i/>
          <w:sz w:val="24"/>
          <w:szCs w:val="24"/>
        </w:rPr>
        <w:t xml:space="preserve"> </w:t>
      </w:r>
      <w:r w:rsidR="00BD09A9" w:rsidRPr="00497684">
        <w:rPr>
          <w:rFonts w:ascii="Times New Roman" w:hAnsi="Times New Roman" w:cs="Times New Roman"/>
          <w:i/>
          <w:sz w:val="24"/>
          <w:szCs w:val="24"/>
        </w:rPr>
        <w:t>contienen siempre dos disposiciones: una relativa al orden público, que desempeña un papel de protección en los casos de excepción, y otra en virtud de la cual la resolución judicial no deberá ser contraria a una resolución judicial italiana ya dictada o a un proceso pendiente ante un juez italiano</w:t>
      </w:r>
      <w:r w:rsidR="00BD09A9" w:rsidRPr="00497684">
        <w:rPr>
          <w:rFonts w:ascii="Times New Roman" w:hAnsi="Times New Roman" w:cs="Times New Roman"/>
          <w:sz w:val="24"/>
          <w:szCs w:val="24"/>
        </w:rPr>
        <w:t>".</w:t>
      </w:r>
    </w:p>
    <w:p w:rsidR="00470980" w:rsidRPr="00497684" w:rsidRDefault="00470980"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El informe Jenard aclara, </w:t>
      </w:r>
      <w:r w:rsidR="00BD09A9" w:rsidRPr="00497684">
        <w:rPr>
          <w:rFonts w:ascii="Times New Roman" w:hAnsi="Times New Roman" w:cs="Times New Roman"/>
          <w:sz w:val="24"/>
          <w:szCs w:val="24"/>
        </w:rPr>
        <w:t>de forma muy clara</w:t>
      </w:r>
      <w:r w:rsidRPr="00497684">
        <w:rPr>
          <w:rFonts w:ascii="Times New Roman" w:hAnsi="Times New Roman" w:cs="Times New Roman"/>
          <w:sz w:val="24"/>
          <w:szCs w:val="24"/>
        </w:rPr>
        <w:t xml:space="preserve">, que la voluntad </w:t>
      </w:r>
      <w:r w:rsidR="00BD09A9" w:rsidRPr="00497684">
        <w:rPr>
          <w:rFonts w:ascii="Times New Roman" w:hAnsi="Times New Roman" w:cs="Times New Roman"/>
          <w:sz w:val="24"/>
          <w:szCs w:val="24"/>
        </w:rPr>
        <w:t xml:space="preserve">del Comité redactor del Convenio de Bruselas, </w:t>
      </w:r>
      <w:r w:rsidRPr="00497684">
        <w:rPr>
          <w:rFonts w:ascii="Times New Roman" w:hAnsi="Times New Roman" w:cs="Times New Roman"/>
          <w:sz w:val="24"/>
          <w:szCs w:val="24"/>
        </w:rPr>
        <w:t>era acotar el orden público para que el riesgo de resoluciones inconciliables no formara parte del mismo</w:t>
      </w:r>
      <w:r w:rsidR="00BD09A9" w:rsidRPr="00497684">
        <w:rPr>
          <w:rFonts w:ascii="Times New Roman" w:hAnsi="Times New Roman" w:cs="Times New Roman"/>
          <w:sz w:val="24"/>
          <w:szCs w:val="24"/>
        </w:rPr>
        <w:t xml:space="preserve">, </w:t>
      </w:r>
      <w:r w:rsidRPr="00497684">
        <w:rPr>
          <w:rFonts w:ascii="Times New Roman" w:hAnsi="Times New Roman" w:cs="Times New Roman"/>
          <w:sz w:val="24"/>
          <w:szCs w:val="24"/>
        </w:rPr>
        <w:t>pues "</w:t>
      </w:r>
      <w:r w:rsidRPr="00497684">
        <w:rPr>
          <w:rFonts w:ascii="Times New Roman" w:hAnsi="Times New Roman" w:cs="Times New Roman"/>
          <w:i/>
          <w:sz w:val="24"/>
          <w:szCs w:val="24"/>
        </w:rPr>
        <w:t>el recurso al orden público podría dar a esta noción una extensión demasiado amplia</w:t>
      </w:r>
      <w:r w:rsidRPr="00497684">
        <w:rPr>
          <w:rFonts w:ascii="Times New Roman" w:hAnsi="Times New Roman" w:cs="Times New Roman"/>
          <w:sz w:val="24"/>
          <w:szCs w:val="24"/>
        </w:rPr>
        <w:t xml:space="preserve">" (p. 162). </w:t>
      </w:r>
    </w:p>
    <w:p w:rsidR="0069785D" w:rsidRPr="00497684" w:rsidRDefault="0069785D"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Por lo que respecta a la jurisprudencia, también hay una doctrina del Tribunal de Justicia de</w:t>
      </w:r>
      <w:r w:rsidR="00BD09A9" w:rsidRPr="00497684">
        <w:rPr>
          <w:rFonts w:ascii="Times New Roman" w:hAnsi="Times New Roman" w:cs="Times New Roman"/>
          <w:sz w:val="24"/>
          <w:szCs w:val="24"/>
        </w:rPr>
        <w:t xml:space="preserve"> la Unión Europea, que confirma en principio que la cosa juzgada y/o la i</w:t>
      </w:r>
      <w:r w:rsidR="000B5899" w:rsidRPr="00497684">
        <w:rPr>
          <w:rFonts w:ascii="Times New Roman" w:hAnsi="Times New Roman" w:cs="Times New Roman"/>
          <w:sz w:val="24"/>
          <w:szCs w:val="24"/>
        </w:rPr>
        <w:t>n</w:t>
      </w:r>
      <w:r w:rsidR="00BD09A9" w:rsidRPr="00497684">
        <w:rPr>
          <w:rFonts w:ascii="Times New Roman" w:hAnsi="Times New Roman" w:cs="Times New Roman"/>
          <w:sz w:val="24"/>
          <w:szCs w:val="24"/>
        </w:rPr>
        <w:t>conciliabilidad de resoluciones no está incluido en el orden público interno del art. 34(1) Reglamento 44/2001. Ello debido a la interpretación sistemática de los motivos de denegación del reconocimiento</w:t>
      </w:r>
      <w:r w:rsidRPr="00497684">
        <w:rPr>
          <w:rFonts w:ascii="Times New Roman" w:hAnsi="Times New Roman" w:cs="Times New Roman"/>
          <w:sz w:val="24"/>
          <w:szCs w:val="24"/>
        </w:rPr>
        <w:t xml:space="preserve">. </w:t>
      </w:r>
    </w:p>
    <w:p w:rsidR="00BD09A9" w:rsidRPr="00497684" w:rsidRDefault="00BD09A9"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En primer lugar, e</w:t>
      </w:r>
      <w:r w:rsidR="008C1E06" w:rsidRPr="00497684">
        <w:rPr>
          <w:rFonts w:ascii="Times New Roman" w:hAnsi="Times New Roman" w:cs="Times New Roman"/>
          <w:sz w:val="24"/>
          <w:szCs w:val="24"/>
        </w:rPr>
        <w:t xml:space="preserve">n la sentencia del Tribunal de Justicia de 4 de febrero de 1988, </w:t>
      </w:r>
      <w:r w:rsidR="008C1E06" w:rsidRPr="00497684">
        <w:rPr>
          <w:rFonts w:ascii="Times New Roman" w:hAnsi="Times New Roman" w:cs="Times New Roman"/>
          <w:i/>
          <w:sz w:val="24"/>
          <w:szCs w:val="24"/>
        </w:rPr>
        <w:t xml:space="preserve">Hoffmann </w:t>
      </w:r>
      <w:r w:rsidR="000B5899" w:rsidRPr="00497684">
        <w:rPr>
          <w:rFonts w:ascii="Times New Roman" w:hAnsi="Times New Roman" w:cs="Times New Roman"/>
          <w:i/>
          <w:sz w:val="24"/>
          <w:szCs w:val="24"/>
        </w:rPr>
        <w:t xml:space="preserve">v. </w:t>
      </w:r>
      <w:r w:rsidR="008C1E06" w:rsidRPr="00497684">
        <w:rPr>
          <w:rFonts w:ascii="Times New Roman" w:hAnsi="Times New Roman" w:cs="Times New Roman"/>
          <w:i/>
          <w:sz w:val="24"/>
          <w:szCs w:val="24"/>
        </w:rPr>
        <w:t>Krieg</w:t>
      </w:r>
      <w:r w:rsidR="008C1E06" w:rsidRPr="00497684">
        <w:rPr>
          <w:rFonts w:ascii="Times New Roman" w:hAnsi="Times New Roman" w:cs="Times New Roman"/>
          <w:sz w:val="24"/>
          <w:szCs w:val="24"/>
        </w:rPr>
        <w:t xml:space="preserve">, señaló que </w:t>
      </w:r>
      <w:r w:rsidR="008C1E06" w:rsidRPr="00497684">
        <w:rPr>
          <w:rFonts w:ascii="Times New Roman" w:hAnsi="Times New Roman" w:cs="Times New Roman"/>
          <w:i/>
          <w:iCs/>
          <w:sz w:val="24"/>
          <w:szCs w:val="24"/>
        </w:rPr>
        <w:t xml:space="preserve">el recurso a la cláusula de orden público (...) queda excluido en todo caso cuando, como ocurre en el presente, el problema planteado es el de la compatibilidad de una resolución extranjera con una resolución nacional". </w:t>
      </w:r>
      <w:r w:rsidR="008C1E06" w:rsidRPr="00497684">
        <w:rPr>
          <w:rFonts w:ascii="Times New Roman" w:hAnsi="Times New Roman" w:cs="Times New Roman"/>
          <w:iCs/>
          <w:sz w:val="24"/>
          <w:szCs w:val="24"/>
        </w:rPr>
        <w:t xml:space="preserve">Añade que el </w:t>
      </w:r>
      <w:r w:rsidR="008C1E06" w:rsidRPr="00497684">
        <w:rPr>
          <w:rFonts w:ascii="Times New Roman" w:hAnsi="Times New Roman" w:cs="Times New Roman"/>
          <w:i/>
          <w:iCs/>
          <w:sz w:val="24"/>
          <w:szCs w:val="24"/>
        </w:rPr>
        <w:t>"problema que debe zanjarse con arreglo a la disposición específica recogida en el apartado 3 del artículo 27, que se refiere al caso de que la resolución extranjera sea inconciliable con una resolución dictada entre las mismas partes en el Estado requerido" (ap. 21)</w:t>
      </w:r>
      <w:r w:rsidR="008C1E06" w:rsidRPr="00497684">
        <w:rPr>
          <w:rFonts w:ascii="Times New Roman" w:hAnsi="Times New Roman" w:cs="Times New Roman"/>
          <w:sz w:val="24"/>
          <w:szCs w:val="24"/>
        </w:rPr>
        <w:t xml:space="preserve">. </w:t>
      </w:r>
    </w:p>
    <w:p w:rsidR="008C1E06" w:rsidRPr="00497684" w:rsidRDefault="008C1E06"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w:t>
      </w:r>
      <w:r w:rsidR="00BD09A9" w:rsidRPr="00497684">
        <w:rPr>
          <w:rFonts w:ascii="Times New Roman" w:hAnsi="Times New Roman" w:cs="Times New Roman"/>
          <w:sz w:val="24"/>
          <w:szCs w:val="24"/>
        </w:rPr>
        <w:t xml:space="preserve">segundo lugar, en </w:t>
      </w:r>
      <w:r w:rsidRPr="00497684">
        <w:rPr>
          <w:rFonts w:ascii="Times New Roman" w:hAnsi="Times New Roman" w:cs="Times New Roman"/>
          <w:sz w:val="24"/>
          <w:szCs w:val="24"/>
        </w:rPr>
        <w:t xml:space="preserve">la </w:t>
      </w:r>
      <w:r w:rsidRPr="00497684">
        <w:rPr>
          <w:rFonts w:ascii="Times New Roman" w:hAnsi="Times New Roman" w:cs="Times New Roman"/>
          <w:sz w:val="24"/>
          <w:szCs w:val="24"/>
          <w:shd w:val="clear" w:color="auto" w:fill="FFFFFF"/>
        </w:rPr>
        <w:t xml:space="preserve">Sentencia del Tribunal de Justicia (Sala Quinta) de 10 de octubre de 1996, </w:t>
      </w:r>
      <w:r w:rsidRPr="00497684">
        <w:rPr>
          <w:rFonts w:ascii="Times New Roman" w:hAnsi="Times New Roman" w:cs="Times New Roman"/>
          <w:i/>
          <w:sz w:val="24"/>
          <w:szCs w:val="24"/>
          <w:shd w:val="clear" w:color="auto" w:fill="FFFFFF"/>
        </w:rPr>
        <w:t>Bernardus Hendrikman y Maria Feyen contra Magenta Druck &amp; Verlag GmbH</w:t>
      </w:r>
      <w:r w:rsidRPr="00497684">
        <w:rPr>
          <w:rFonts w:ascii="Times New Roman" w:hAnsi="Times New Roman" w:cs="Times New Roman"/>
          <w:sz w:val="24"/>
          <w:szCs w:val="24"/>
          <w:shd w:val="clear" w:color="auto" w:fill="FFFFFF"/>
        </w:rPr>
        <w:t>, se reitera que q</w:t>
      </w:r>
      <w:r w:rsidRPr="00497684">
        <w:rPr>
          <w:rFonts w:ascii="Times New Roman" w:hAnsi="Times New Roman" w:cs="Times New Roman"/>
          <w:iCs/>
          <w:sz w:val="24"/>
          <w:szCs w:val="24"/>
          <w:shd w:val="clear" w:color="auto" w:fill="FFFFFF"/>
        </w:rPr>
        <w:t xml:space="preserve">ueda excluido en todo caso recurrir a la cláusula de orden público </w:t>
      </w:r>
      <w:r w:rsidRPr="00497684">
        <w:rPr>
          <w:rFonts w:ascii="Times New Roman" w:hAnsi="Times New Roman" w:cs="Times New Roman"/>
          <w:i/>
          <w:iCs/>
          <w:sz w:val="24"/>
          <w:szCs w:val="24"/>
          <w:shd w:val="clear" w:color="auto" w:fill="FFFFFF"/>
        </w:rPr>
        <w:t>"cuando el problema planteado debe resolverse con arreglo a una disposición específica como la recogida en el número 2 del artículo 27</w:t>
      </w:r>
      <w:r w:rsidRPr="00497684">
        <w:rPr>
          <w:rFonts w:ascii="Times New Roman" w:hAnsi="Times New Roman" w:cs="Times New Roman"/>
          <w:sz w:val="24"/>
          <w:szCs w:val="24"/>
          <w:shd w:val="clear" w:color="auto" w:fill="FFFFFF"/>
        </w:rPr>
        <w:t xml:space="preserve"> " (apartado 23).</w:t>
      </w:r>
    </w:p>
    <w:p w:rsidR="00C326E2" w:rsidRPr="00497684" w:rsidRDefault="00BD09A9"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tercer lugar, en </w:t>
      </w:r>
      <w:r w:rsidR="0069785D" w:rsidRPr="00497684">
        <w:rPr>
          <w:rFonts w:ascii="Times New Roman" w:hAnsi="Times New Roman" w:cs="Times New Roman"/>
          <w:sz w:val="24"/>
          <w:szCs w:val="24"/>
        </w:rPr>
        <w:t xml:space="preserve">la sentencia del </w:t>
      </w:r>
      <w:r w:rsidR="00C326E2" w:rsidRPr="00497684">
        <w:rPr>
          <w:rFonts w:ascii="Times New Roman" w:hAnsi="Times New Roman" w:cs="Times New Roman"/>
          <w:sz w:val="24"/>
          <w:szCs w:val="24"/>
        </w:rPr>
        <w:t xml:space="preserve">Tribunal de Justicia (Sala Cuarta) de 26 de septiembre de 2013, </w:t>
      </w:r>
      <w:r w:rsidR="00C326E2" w:rsidRPr="00497684">
        <w:rPr>
          <w:rFonts w:ascii="Times New Roman" w:hAnsi="Times New Roman" w:cs="Times New Roman"/>
          <w:i/>
          <w:sz w:val="24"/>
          <w:szCs w:val="24"/>
        </w:rPr>
        <w:t>Salzgitter Mannesmann Handel GmbH contra SC Laminorul SA</w:t>
      </w:r>
      <w:r w:rsidR="00C326E2" w:rsidRPr="00497684">
        <w:rPr>
          <w:rFonts w:ascii="Times New Roman" w:hAnsi="Times New Roman" w:cs="Times New Roman"/>
          <w:sz w:val="24"/>
          <w:szCs w:val="24"/>
        </w:rPr>
        <w:t xml:space="preserve">, </w:t>
      </w:r>
      <w:r w:rsidRPr="00497684">
        <w:rPr>
          <w:rFonts w:ascii="Times New Roman" w:hAnsi="Times New Roman" w:cs="Times New Roman"/>
          <w:sz w:val="24"/>
          <w:szCs w:val="24"/>
        </w:rPr>
        <w:t xml:space="preserve">éste </w:t>
      </w:r>
      <w:r w:rsidR="00C326E2" w:rsidRPr="00497684">
        <w:rPr>
          <w:rFonts w:ascii="Times New Roman" w:hAnsi="Times New Roman" w:cs="Times New Roman"/>
          <w:sz w:val="24"/>
          <w:szCs w:val="24"/>
        </w:rPr>
        <w:t xml:space="preserve">ha </w:t>
      </w:r>
      <w:r w:rsidR="00C326E2" w:rsidRPr="00497684">
        <w:rPr>
          <w:rFonts w:ascii="Times New Roman" w:hAnsi="Times New Roman" w:cs="Times New Roman"/>
          <w:sz w:val="24"/>
          <w:szCs w:val="24"/>
        </w:rPr>
        <w:lastRenderedPageBreak/>
        <w:t>indicado que "</w:t>
      </w:r>
      <w:r w:rsidR="00C326E2" w:rsidRPr="00497684">
        <w:rPr>
          <w:rFonts w:ascii="Times New Roman" w:hAnsi="Times New Roman" w:cs="Times New Roman"/>
          <w:i/>
          <w:sz w:val="24"/>
          <w:szCs w:val="24"/>
        </w:rPr>
        <w:t>la interpretación del sentido y del contenido de los motivos de denegación de la ejecución de las resoluciones judiciales procedentes de otro Estado miembro previstos en el Reglamento no 44/2001 debe tener en cuenta el vínculo existente entre</w:t>
      </w:r>
      <w:r w:rsidRPr="00497684">
        <w:rPr>
          <w:rFonts w:ascii="Times New Roman" w:hAnsi="Times New Roman" w:cs="Times New Roman"/>
          <w:i/>
          <w:sz w:val="24"/>
          <w:szCs w:val="24"/>
        </w:rPr>
        <w:t xml:space="preserve"> (…)</w:t>
      </w:r>
      <w:r w:rsidR="00C326E2" w:rsidRPr="00497684">
        <w:rPr>
          <w:rFonts w:ascii="Times New Roman" w:hAnsi="Times New Roman" w:cs="Times New Roman"/>
          <w:i/>
          <w:sz w:val="24"/>
          <w:szCs w:val="24"/>
        </w:rPr>
        <w:t>, los referidos motivos</w:t>
      </w:r>
      <w:r w:rsidRPr="00497684">
        <w:rPr>
          <w:rFonts w:ascii="Times New Roman" w:hAnsi="Times New Roman" w:cs="Times New Roman"/>
          <w:i/>
          <w:sz w:val="24"/>
          <w:szCs w:val="24"/>
        </w:rPr>
        <w:t xml:space="preserve"> (…)</w:t>
      </w:r>
      <w:r w:rsidR="00C326E2" w:rsidRPr="00497684">
        <w:rPr>
          <w:rFonts w:ascii="Times New Roman" w:hAnsi="Times New Roman" w:cs="Times New Roman"/>
          <w:sz w:val="24"/>
          <w:szCs w:val="24"/>
        </w:rPr>
        <w:t>" (ap. 24). La cursiva es nuestra y, entendemos que, con ello, el Tribunal de Justicia evidencia la necesidad de una interpretación de cada motivo dentro del sistema de motivos de denegación del reconocimiento</w:t>
      </w:r>
      <w:r w:rsidR="0069785D" w:rsidRPr="00497684">
        <w:rPr>
          <w:rFonts w:ascii="Times New Roman" w:hAnsi="Times New Roman" w:cs="Times New Roman"/>
          <w:sz w:val="24"/>
          <w:szCs w:val="24"/>
        </w:rPr>
        <w:t>.</w:t>
      </w:r>
      <w:r w:rsidR="00004537" w:rsidRPr="00497684">
        <w:rPr>
          <w:rFonts w:ascii="Times New Roman" w:hAnsi="Times New Roman" w:cs="Times New Roman"/>
          <w:sz w:val="24"/>
          <w:szCs w:val="24"/>
        </w:rPr>
        <w:t xml:space="preserve"> </w:t>
      </w:r>
    </w:p>
    <w:p w:rsidR="001E0528" w:rsidRPr="00497684" w:rsidRDefault="001E0528"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La literatura jurídica también ha afirmado que el carácter inconciliable de las resoluciones para negar el reconocimiento y ejecución es una causa independiente de la contradicción con el orden público</w:t>
      </w:r>
      <w:r w:rsidRPr="00497684">
        <w:rPr>
          <w:rStyle w:val="Refernciadenotaapeudepgina"/>
          <w:rFonts w:ascii="Times New Roman" w:hAnsi="Times New Roman" w:cs="Times New Roman"/>
          <w:sz w:val="24"/>
          <w:szCs w:val="24"/>
        </w:rPr>
        <w:footnoteReference w:id="56"/>
      </w:r>
      <w:r w:rsidRPr="00497684">
        <w:rPr>
          <w:rFonts w:ascii="Times New Roman" w:hAnsi="Times New Roman" w:cs="Times New Roman"/>
          <w:sz w:val="24"/>
          <w:szCs w:val="24"/>
        </w:rPr>
        <w:t xml:space="preserve">. Esta </w:t>
      </w:r>
      <w:r w:rsidR="000B5899" w:rsidRPr="00497684">
        <w:rPr>
          <w:rFonts w:ascii="Times New Roman" w:hAnsi="Times New Roman" w:cs="Times New Roman"/>
          <w:sz w:val="24"/>
          <w:szCs w:val="24"/>
        </w:rPr>
        <w:t>exclusión</w:t>
      </w:r>
      <w:r w:rsidRPr="00497684">
        <w:rPr>
          <w:rFonts w:ascii="Times New Roman" w:hAnsi="Times New Roman" w:cs="Times New Roman"/>
          <w:sz w:val="24"/>
          <w:szCs w:val="24"/>
        </w:rPr>
        <w:t xml:space="preserve"> se basa en la existencia de dos causas para denegar el reconocimiento que tratan particularmente con el carácter irreconciliable de las decisiones. Además, los arts. 34(2), (3) and (4) Reglamento 44/2001 son una </w:t>
      </w:r>
      <w:r w:rsidRPr="00497684">
        <w:rPr>
          <w:rFonts w:ascii="Times New Roman" w:hAnsi="Times New Roman" w:cs="Times New Roman"/>
          <w:i/>
          <w:sz w:val="24"/>
          <w:szCs w:val="24"/>
        </w:rPr>
        <w:t>lex specialis</w:t>
      </w:r>
      <w:r w:rsidRPr="00497684">
        <w:rPr>
          <w:rFonts w:ascii="Times New Roman" w:hAnsi="Times New Roman" w:cs="Times New Roman"/>
          <w:sz w:val="24"/>
          <w:szCs w:val="24"/>
        </w:rPr>
        <w:t xml:space="preserve"> en relación con el art. 34(1), que es de naturaleza general</w:t>
      </w:r>
      <w:r w:rsidRPr="00497684">
        <w:rPr>
          <w:rStyle w:val="Refernciadenotaapeudepgina"/>
          <w:rFonts w:ascii="Times New Roman" w:hAnsi="Times New Roman" w:cs="Times New Roman"/>
          <w:sz w:val="24"/>
          <w:szCs w:val="24"/>
        </w:rPr>
        <w:footnoteReference w:id="57"/>
      </w:r>
      <w:r w:rsidRPr="00497684">
        <w:rPr>
          <w:rFonts w:ascii="Times New Roman" w:hAnsi="Times New Roman" w:cs="Times New Roman"/>
          <w:sz w:val="24"/>
          <w:szCs w:val="24"/>
        </w:rPr>
        <w:t>. Los motivos de denegación no pueden solaparse</w:t>
      </w:r>
      <w:r w:rsidRPr="00497684">
        <w:rPr>
          <w:rStyle w:val="Refernciadenotaapeudepgina"/>
          <w:rFonts w:ascii="Times New Roman" w:hAnsi="Times New Roman" w:cs="Times New Roman"/>
          <w:sz w:val="24"/>
          <w:szCs w:val="24"/>
        </w:rPr>
        <w:footnoteReference w:id="58"/>
      </w:r>
      <w:r w:rsidRPr="00497684">
        <w:rPr>
          <w:rFonts w:ascii="Times New Roman" w:hAnsi="Times New Roman" w:cs="Times New Roman"/>
          <w:sz w:val="24"/>
          <w:szCs w:val="24"/>
        </w:rPr>
        <w:t>. Por tanto, el art. 34(1) es inaplicable en la medida en que las consideraciones de orden público están tratadas por las otras causas de denegación del reconocimiento. Así, el carácter irreconciliable de las decisiones para negar el reconocimiento y ejecución es una causa independiente de la contradicción con el orden público</w:t>
      </w:r>
      <w:r w:rsidRPr="00497684">
        <w:rPr>
          <w:rStyle w:val="Refernciadenotaapeudepgina"/>
          <w:rFonts w:ascii="Times New Roman" w:hAnsi="Times New Roman" w:cs="Times New Roman"/>
          <w:sz w:val="24"/>
          <w:szCs w:val="24"/>
        </w:rPr>
        <w:footnoteReference w:id="59"/>
      </w:r>
      <w:r w:rsidRPr="00497684">
        <w:rPr>
          <w:rFonts w:ascii="Times New Roman" w:hAnsi="Times New Roman" w:cs="Times New Roman"/>
          <w:sz w:val="24"/>
          <w:szCs w:val="24"/>
        </w:rPr>
        <w:t xml:space="preserve">. </w:t>
      </w:r>
    </w:p>
    <w:p w:rsidR="00BD09A9" w:rsidRPr="00497684" w:rsidRDefault="00BD09A9"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En conclusión, a la vista de los antecedentes legales, sistemáticos y judiciales, consideramos que la inconciliabilidad de resoluciones dispone de una cláusula específica en el art. 34(3) y (4) Reglamento 44/2001 y no puede incluirse en la causal de orden público del art. 34(1) Reglamento 44/2001. </w:t>
      </w:r>
    </w:p>
    <w:p w:rsidR="001E0528" w:rsidRPr="00497684" w:rsidRDefault="00BD09A9"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La </w:t>
      </w:r>
      <w:r w:rsidRPr="00497684">
        <w:rPr>
          <w:rFonts w:ascii="Times New Roman" w:hAnsi="Times New Roman" w:cs="Times New Roman"/>
          <w:i/>
          <w:sz w:val="24"/>
          <w:szCs w:val="24"/>
        </w:rPr>
        <w:t>High Court</w:t>
      </w:r>
      <w:r w:rsidRPr="00497684">
        <w:rPr>
          <w:rFonts w:ascii="Times New Roman" w:hAnsi="Times New Roman" w:cs="Times New Roman"/>
          <w:sz w:val="24"/>
          <w:szCs w:val="24"/>
        </w:rPr>
        <w:t xml:space="preserve"> alude a la cosa juzgada, utilizando la conjunción copulativa “y” o la disyuntiva “o”, equiparándola a la inconciliabilidad o distinguiéndola.</w:t>
      </w:r>
      <w:r w:rsidR="001E0528" w:rsidRPr="00497684">
        <w:rPr>
          <w:rFonts w:ascii="Times New Roman" w:hAnsi="Times New Roman" w:cs="Times New Roman"/>
          <w:sz w:val="24"/>
          <w:szCs w:val="24"/>
        </w:rPr>
        <w:t xml:space="preserve"> A la vista de los antecedentes del Convenio de Bruselas, consideramos que la solución es común </w:t>
      </w:r>
    </w:p>
    <w:p w:rsidR="001E0528" w:rsidRPr="00497684" w:rsidRDefault="001E0528"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Obsérvese que ni el Convenio de Bruselas de 1968 ni el Reglamento 44/2001 utilizan el concepto de cosa juzgada, sino el de inconciliabilidad en el art. 34(3). De nuevo, el informe Jenard revela la razón de la norma, esto es, de porqué se prefirió una fórmula neutra que evitase exigir que la sentencia nacional hubiese creado cosa juzgada sobre el litigio. Indica que "</w:t>
      </w:r>
      <w:r w:rsidRPr="00497684">
        <w:rPr>
          <w:rFonts w:ascii="Times New Roman" w:hAnsi="Times New Roman" w:cs="Times New Roman"/>
          <w:i/>
          <w:sz w:val="24"/>
          <w:szCs w:val="24"/>
        </w:rPr>
        <w:t>Con arreglo a determinados tratados, es necesario que la decisión judicial dictada en el Estado requerido tenga y fuerza de cosa juzgada; según otros tratados, basta con que dicha resolución tenga autoridad de cosa juzgada, y, finalmente, hay tratados que no contemplan este punto concreto</w:t>
      </w:r>
      <w:r w:rsidRPr="00497684">
        <w:rPr>
          <w:rFonts w:ascii="Times New Roman" w:hAnsi="Times New Roman" w:cs="Times New Roman"/>
          <w:sz w:val="24"/>
          <w:szCs w:val="24"/>
        </w:rPr>
        <w:t>". Vista esta diversidad de soluciones, "</w:t>
      </w:r>
      <w:r w:rsidRPr="00497684">
        <w:rPr>
          <w:rFonts w:ascii="Times New Roman" w:hAnsi="Times New Roman" w:cs="Times New Roman"/>
          <w:i/>
          <w:sz w:val="24"/>
          <w:szCs w:val="24"/>
        </w:rPr>
        <w:t>El Comité prefirió limitarse a una fórmula que no</w:t>
      </w:r>
      <w:r w:rsidRPr="00497684">
        <w:rPr>
          <w:rFonts w:ascii="Times New Roman" w:hAnsi="Times New Roman" w:cs="Times New Roman"/>
          <w:sz w:val="24"/>
          <w:szCs w:val="24"/>
        </w:rPr>
        <w:t xml:space="preserve"> resuelve el problema de la fuerza o de la autoridad de la cosa juzgada, dejando que el juez que conociere del asunto resuelva esta cuestión" (p. 162). Como añade el informe Jenard, las palabras «autoridad de cosa juzgada» que figuran en varios convenios, han sido omitidas voluntariamente, dado que pueden ser reconocidas las resoluciones provisionales y las resoluciones dictadas en materia de jurisdicción voluntaria, que no siempre tienen autoridad de cosa juzgada (p. 160).</w:t>
      </w:r>
    </w:p>
    <w:p w:rsidR="0069785D" w:rsidRPr="00497684" w:rsidRDefault="001E0528"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Esta interpretación del art. 34(1) Reglamento 44/2001 es también coherente con la jurisprudencia consolidada del Tribunal de Justicia de la Unión Europea, según el cual, </w:t>
      </w:r>
      <w:r w:rsidR="00353F1B" w:rsidRPr="00497684">
        <w:rPr>
          <w:rFonts w:ascii="Times New Roman" w:hAnsi="Times New Roman" w:cs="Times New Roman"/>
          <w:sz w:val="24"/>
          <w:szCs w:val="24"/>
        </w:rPr>
        <w:lastRenderedPageBreak/>
        <w:t>la cláusula de orden público "</w:t>
      </w:r>
      <w:r w:rsidR="00353F1B" w:rsidRPr="00497684">
        <w:rPr>
          <w:rFonts w:ascii="Times New Roman" w:hAnsi="Times New Roman" w:cs="Times New Roman"/>
          <w:i/>
          <w:sz w:val="24"/>
          <w:szCs w:val="24"/>
          <w:shd w:val="clear" w:color="auto" w:fill="FFFFFF"/>
        </w:rPr>
        <w:t>debe interpretarse restrictivamente, en la medida en que constituye un obstáculo a la consecución de uno de los objetivos fundamentales de dicho Reglamento, y que únicamente debe aplicarse en casos excepcionales</w:t>
      </w:r>
      <w:r w:rsidR="00353F1B" w:rsidRPr="00497684">
        <w:rPr>
          <w:rFonts w:ascii="Times New Roman" w:hAnsi="Times New Roman" w:cs="Times New Roman"/>
          <w:sz w:val="24"/>
          <w:szCs w:val="24"/>
          <w:shd w:val="clear" w:color="auto" w:fill="FFFFFF"/>
        </w:rPr>
        <w:t>"</w:t>
      </w:r>
      <w:r w:rsidR="00353F1B" w:rsidRPr="00497684">
        <w:rPr>
          <w:rStyle w:val="Refernciadenotaapeudepgina"/>
          <w:rFonts w:ascii="Times New Roman" w:hAnsi="Times New Roman" w:cs="Times New Roman"/>
          <w:sz w:val="24"/>
          <w:szCs w:val="24"/>
          <w:shd w:val="clear" w:color="auto" w:fill="FFFFFF"/>
        </w:rPr>
        <w:footnoteReference w:id="60"/>
      </w:r>
      <w:r w:rsidR="00353F1B" w:rsidRPr="00497684">
        <w:rPr>
          <w:rFonts w:ascii="Times New Roman" w:hAnsi="Times New Roman" w:cs="Times New Roman"/>
          <w:sz w:val="24"/>
          <w:szCs w:val="24"/>
          <w:shd w:val="clear" w:color="auto" w:fill="FFFFFF"/>
        </w:rPr>
        <w:t xml:space="preserve">. </w:t>
      </w:r>
    </w:p>
    <w:p w:rsidR="001A6745" w:rsidRPr="00497684" w:rsidRDefault="00123A7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Además, s</w:t>
      </w:r>
      <w:r w:rsidR="001A6745" w:rsidRPr="00497684">
        <w:rPr>
          <w:rFonts w:ascii="Times New Roman" w:hAnsi="Times New Roman" w:cs="Times New Roman"/>
          <w:sz w:val="24"/>
          <w:szCs w:val="24"/>
        </w:rPr>
        <w:t>egún reiterada jurisprudencia del Tribunal de Justicia, en principio, los Estados miembros puedan seguir determinando libremente, en virtud de la reserva establecida en el art. 34(1) Reglamento 44/2001, conforme a sus concepciones nacionales, las exigencias de su orden público. Sin embargo, añade que los límites de este concepto son definidos a través de la interpretación del Reglamento 44/2001. En consecuencia, añade que, si bien no corresponde al Tribunal de Justicia definir el contenido del concepto de orden público de un Estado miembro, sí le corresponde controlar los límites dentro de los cuales los tribunales de un Estado miembro pueden recurrir a este concepto para no reconocer una resolución dictada por un órgano jurisdiccional de otro Estado miembro</w:t>
      </w:r>
      <w:r w:rsidR="001A6745" w:rsidRPr="00497684">
        <w:rPr>
          <w:rStyle w:val="Refernciadenotaapeudepgina"/>
          <w:rFonts w:ascii="Times New Roman" w:hAnsi="Times New Roman" w:cs="Times New Roman"/>
          <w:sz w:val="24"/>
          <w:szCs w:val="24"/>
        </w:rPr>
        <w:footnoteReference w:id="61"/>
      </w:r>
      <w:r w:rsidR="001A6745" w:rsidRPr="00497684">
        <w:rPr>
          <w:rFonts w:ascii="Times New Roman" w:hAnsi="Times New Roman" w:cs="Times New Roman"/>
          <w:sz w:val="24"/>
          <w:szCs w:val="24"/>
        </w:rPr>
        <w:t>.</w:t>
      </w:r>
    </w:p>
    <w:p w:rsidR="001A6745" w:rsidRPr="00497684" w:rsidRDefault="00123A71"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Como señaló el Tribunal de Justicia, en el caso </w:t>
      </w:r>
      <w:r w:rsidRPr="00497684">
        <w:rPr>
          <w:rFonts w:ascii="Times New Roman" w:hAnsi="Times New Roman" w:cs="Times New Roman"/>
          <w:i/>
          <w:sz w:val="24"/>
          <w:szCs w:val="24"/>
        </w:rPr>
        <w:t>Fly</w:t>
      </w:r>
      <w:r w:rsidR="000B5899" w:rsidRPr="00497684">
        <w:rPr>
          <w:rFonts w:ascii="Times New Roman" w:hAnsi="Times New Roman" w:cs="Times New Roman"/>
          <w:i/>
          <w:sz w:val="24"/>
          <w:szCs w:val="24"/>
        </w:rPr>
        <w:t>LAL</w:t>
      </w:r>
      <w:r w:rsidRPr="00497684">
        <w:rPr>
          <w:rFonts w:ascii="Times New Roman" w:hAnsi="Times New Roman" w:cs="Times New Roman"/>
          <w:sz w:val="24"/>
          <w:szCs w:val="24"/>
        </w:rPr>
        <w:t xml:space="preserve">, </w:t>
      </w:r>
      <w:r w:rsidR="001A6745" w:rsidRPr="00497684">
        <w:rPr>
          <w:rFonts w:ascii="Times New Roman" w:hAnsi="Times New Roman" w:cs="Times New Roman"/>
          <w:sz w:val="24"/>
          <w:szCs w:val="24"/>
        </w:rPr>
        <w:t>"</w:t>
      </w:r>
      <w:r w:rsidR="001A6745" w:rsidRPr="00497684">
        <w:rPr>
          <w:rFonts w:ascii="Times New Roman" w:hAnsi="Times New Roman" w:cs="Times New Roman"/>
          <w:i/>
          <w:sz w:val="24"/>
          <w:szCs w:val="24"/>
        </w:rPr>
        <w:t>Sólo cabe aplicar la cláusula de orden público del art. 34(1) Reglamento 44/2001 cuando el reconocimiento o la ejecución de la resolución dictada en otro Estado choque de manera inaceptable</w:t>
      </w:r>
      <w:r w:rsidR="00004537" w:rsidRPr="00497684">
        <w:rPr>
          <w:rFonts w:ascii="Times New Roman" w:hAnsi="Times New Roman" w:cs="Times New Roman"/>
          <w:i/>
          <w:sz w:val="24"/>
          <w:szCs w:val="24"/>
        </w:rPr>
        <w:t xml:space="preserve"> </w:t>
      </w:r>
      <w:r w:rsidR="001A6745" w:rsidRPr="00497684">
        <w:rPr>
          <w:rFonts w:ascii="Times New Roman" w:hAnsi="Times New Roman" w:cs="Times New Roman"/>
          <w:i/>
          <w:sz w:val="24"/>
          <w:szCs w:val="24"/>
        </w:rPr>
        <w:t>con el ordenamiento del Estado requerido, por menoscabar un principio fundamental</w:t>
      </w:r>
      <w:r w:rsidR="001A6745" w:rsidRPr="00497684">
        <w:rPr>
          <w:rFonts w:ascii="Times New Roman" w:hAnsi="Times New Roman" w:cs="Times New Roman"/>
          <w:sz w:val="24"/>
          <w:szCs w:val="24"/>
        </w:rPr>
        <w:t>"</w:t>
      </w:r>
      <w:r w:rsidR="001A6745" w:rsidRPr="00497684">
        <w:rPr>
          <w:rStyle w:val="Refernciadenotaapeudepgina"/>
          <w:rFonts w:ascii="Times New Roman" w:hAnsi="Times New Roman" w:cs="Times New Roman"/>
          <w:sz w:val="24"/>
          <w:szCs w:val="24"/>
        </w:rPr>
        <w:footnoteReference w:id="62"/>
      </w:r>
      <w:r w:rsidR="001A6745" w:rsidRPr="00497684">
        <w:rPr>
          <w:rFonts w:ascii="Times New Roman" w:hAnsi="Times New Roman" w:cs="Times New Roman"/>
          <w:sz w:val="24"/>
          <w:szCs w:val="24"/>
        </w:rPr>
        <w:t>.</w:t>
      </w:r>
    </w:p>
    <w:p w:rsidR="001A6745" w:rsidRPr="00497684" w:rsidRDefault="001A6745"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Asimismo, la cláusula de orden público como válvula de escape ha servido para unos pocos casos de injusticias extremas</w:t>
      </w:r>
      <w:r w:rsidRPr="00497684">
        <w:rPr>
          <w:rStyle w:val="Refernciadenotaapeudepgina"/>
          <w:rFonts w:ascii="Times New Roman" w:hAnsi="Times New Roman" w:cs="Times New Roman"/>
          <w:sz w:val="24"/>
          <w:szCs w:val="24"/>
        </w:rPr>
        <w:footnoteReference w:id="63"/>
      </w:r>
      <w:r w:rsidRPr="00497684">
        <w:rPr>
          <w:rFonts w:ascii="Times New Roman" w:hAnsi="Times New Roman" w:cs="Times New Roman"/>
          <w:sz w:val="24"/>
          <w:szCs w:val="24"/>
        </w:rPr>
        <w:t>.</w:t>
      </w:r>
      <w:r w:rsidR="00004537" w:rsidRPr="00497684">
        <w:rPr>
          <w:rFonts w:ascii="Times New Roman" w:hAnsi="Times New Roman" w:cs="Times New Roman"/>
          <w:sz w:val="24"/>
          <w:szCs w:val="24"/>
        </w:rPr>
        <w:t xml:space="preserve"> </w:t>
      </w:r>
      <w:r w:rsidRPr="00497684">
        <w:rPr>
          <w:rFonts w:ascii="Times New Roman" w:hAnsi="Times New Roman" w:cs="Times New Roman"/>
          <w:sz w:val="24"/>
          <w:szCs w:val="24"/>
        </w:rPr>
        <w:t>En el caso presente, en nuestra opinión, no encaja en uno de ellos. Precisamente se trata de reconocer el carácter ejecutivo en el territorio 44 de una sentencia dictada dentro de su ámbito de aplicación. Contra dicho procedimiento, se planteó ulteriormente una demanda arbitral dirigida precisamente a impedir que la sentencia que pudiese surgir de este procedimiento</w:t>
      </w:r>
      <w:r w:rsidR="00D27444" w:rsidRPr="00497684">
        <w:rPr>
          <w:rFonts w:ascii="Times New Roman" w:hAnsi="Times New Roman" w:cs="Times New Roman"/>
          <w:sz w:val="24"/>
          <w:szCs w:val="24"/>
        </w:rPr>
        <w:t>.</w:t>
      </w:r>
    </w:p>
    <w:p w:rsidR="001E0528" w:rsidRPr="00497684" w:rsidRDefault="001E0528" w:rsidP="00F80D2E">
      <w:pPr>
        <w:spacing w:after="0"/>
        <w:jc w:val="both"/>
        <w:rPr>
          <w:rFonts w:ascii="Times New Roman" w:hAnsi="Times New Roman" w:cs="Times New Roman"/>
          <w:sz w:val="24"/>
          <w:szCs w:val="24"/>
        </w:rPr>
      </w:pPr>
    </w:p>
    <w:p w:rsidR="00A37A54" w:rsidRPr="00497684" w:rsidRDefault="00CA708D" w:rsidP="00F80D2E">
      <w:pPr>
        <w:spacing w:after="0"/>
        <w:jc w:val="both"/>
        <w:rPr>
          <w:rFonts w:ascii="Times New Roman" w:hAnsi="Times New Roman" w:cs="Times New Roman"/>
          <w:b/>
          <w:sz w:val="24"/>
          <w:szCs w:val="24"/>
        </w:rPr>
      </w:pPr>
      <w:r w:rsidRPr="00497684">
        <w:rPr>
          <w:rFonts w:ascii="Times New Roman" w:hAnsi="Times New Roman" w:cs="Times New Roman"/>
          <w:b/>
          <w:sz w:val="24"/>
          <w:szCs w:val="24"/>
        </w:rPr>
        <w:t>7</w:t>
      </w:r>
      <w:r w:rsidR="00240B01" w:rsidRPr="00497684">
        <w:rPr>
          <w:rFonts w:ascii="Times New Roman" w:hAnsi="Times New Roman" w:cs="Times New Roman"/>
          <w:b/>
          <w:sz w:val="24"/>
          <w:szCs w:val="24"/>
        </w:rPr>
        <w:t>. Conclusiones</w:t>
      </w:r>
    </w:p>
    <w:p w:rsidR="009638EE" w:rsidRPr="00497684" w:rsidRDefault="002600D5" w:rsidP="009638EE">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1ª </w:t>
      </w:r>
      <w:r w:rsidR="009638EE" w:rsidRPr="00497684">
        <w:rPr>
          <w:rFonts w:ascii="Times New Roman" w:hAnsi="Times New Roman" w:cs="Times New Roman"/>
          <w:sz w:val="24"/>
          <w:szCs w:val="24"/>
        </w:rPr>
        <w:t xml:space="preserve">A pesar del reconocimiento judicial, el desastre medioambiental no ha ido acompañado de unas indemnizaciones proporcionales a los daños judicialmente reconocidos. Ello es debido a los sistemas legales internacionales de limitación de responsabilidad civil. Por un lado, el club P&amp;I del propietario del buque ha abonado una indemnización de unos 22,7 millones de euros, de conformidad con el Convenio Internacional sobre Responsabilidad Civil por daños debidos a la Contaminación por Hidrocarburos, hecho en Bruselas el día 29 de noviembre de 1969, tal y como quedó enmendado por el Protocolo de 1992 (en adelante, CLC). Por otro lado, el FIDAC ha pagado 147,9 millones </w:t>
      </w:r>
      <w:r w:rsidR="009638EE" w:rsidRPr="00497684">
        <w:rPr>
          <w:rFonts w:ascii="Times New Roman" w:hAnsi="Times New Roman" w:cs="Times New Roman"/>
          <w:sz w:val="24"/>
          <w:szCs w:val="24"/>
        </w:rPr>
        <w:lastRenderedPageBreak/>
        <w:t>de euros, de conformidad con el citado Convenio del Fondo. El importe de los límites de indemnización conjuntos, del asegurador y del FIDAC, calculado sobre el arqueo del buque “Prestige”, es de 171,9 millones de euros</w:t>
      </w:r>
      <w:r w:rsidR="009638EE" w:rsidRPr="00497684">
        <w:rPr>
          <w:rStyle w:val="Refernciadenotaapeudepgina"/>
          <w:rFonts w:ascii="Times New Roman" w:hAnsi="Times New Roman" w:cs="Times New Roman"/>
          <w:sz w:val="24"/>
          <w:szCs w:val="24"/>
        </w:rPr>
        <w:footnoteReference w:id="64"/>
      </w:r>
      <w:r w:rsidR="009638EE" w:rsidRPr="00497684">
        <w:rPr>
          <w:rFonts w:ascii="Times New Roman" w:hAnsi="Times New Roman" w:cs="Times New Roman"/>
          <w:sz w:val="24"/>
          <w:szCs w:val="24"/>
        </w:rPr>
        <w:t xml:space="preserve">. </w:t>
      </w:r>
      <w:r w:rsidRPr="00497684">
        <w:rPr>
          <w:rFonts w:ascii="Times New Roman" w:hAnsi="Times New Roman" w:cs="Times New Roman"/>
          <w:sz w:val="24"/>
          <w:szCs w:val="24"/>
        </w:rPr>
        <w:t xml:space="preserve">Estas cuantías son notoriamente insuficientes, y si bien se creó el Fondo Complementario del FIDAC de 2003 para sucesos catastróficos, el límite de indemnización de asegurador conforme al CLC es extraordinariamente reducido para satisfacer la responsabilidad civil derivada de estos supuestos. </w:t>
      </w:r>
    </w:p>
    <w:p w:rsidR="00CA708D" w:rsidRPr="00497684" w:rsidRDefault="002600D5" w:rsidP="00E3555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2º </w:t>
      </w:r>
      <w:r w:rsidR="00881230" w:rsidRPr="00497684">
        <w:rPr>
          <w:rFonts w:ascii="Times New Roman" w:hAnsi="Times New Roman" w:cs="Times New Roman"/>
          <w:sz w:val="24"/>
          <w:szCs w:val="24"/>
        </w:rPr>
        <w:t xml:space="preserve">El Tribunal Supremo tiene plena competencia para resolver, conforme al Reglamento 44/2001, sobre la responsabilidad civil.  </w:t>
      </w:r>
      <w:r w:rsidR="00CA708D" w:rsidRPr="00497684">
        <w:rPr>
          <w:rFonts w:ascii="Times New Roman" w:hAnsi="Times New Roman" w:cs="Times New Roman"/>
          <w:sz w:val="24"/>
          <w:szCs w:val="24"/>
        </w:rPr>
        <w:t xml:space="preserve">La responsabilidad civil derivada del siniestro del buque "Prestige" no es escindible, como pretende el club P&amp;I, de modo que el propio asegurador decide el monto total de indemnización que asume ante un tribunal español (depositó el fondo de garantía conforme al CLC), mientras que la reclamación por un importe mayor por una cuantía superior la somete a arbitraje en Inglaterra. No es coherente con los propios actos de reconocer la jurisdicción española y supone una vulneración de la obligación de plantear el supuesto convenio arbitral ante el tribunal español que conocía del asunto, conforme al art. II.3 Convenio de Nueva York. </w:t>
      </w:r>
    </w:p>
    <w:p w:rsidR="00E35553" w:rsidRPr="00497684" w:rsidRDefault="00A13FA8" w:rsidP="00E35553">
      <w:pPr>
        <w:spacing w:after="0"/>
        <w:jc w:val="both"/>
        <w:rPr>
          <w:rFonts w:ascii="Times New Roman" w:hAnsi="Times New Roman" w:cs="Times New Roman"/>
          <w:sz w:val="24"/>
          <w:szCs w:val="24"/>
        </w:rPr>
      </w:pPr>
      <w:r w:rsidRPr="00497684">
        <w:rPr>
          <w:rFonts w:ascii="Times New Roman" w:hAnsi="Times New Roman" w:cs="Times New Roman"/>
          <w:sz w:val="24"/>
          <w:szCs w:val="24"/>
        </w:rPr>
        <w:t xml:space="preserve">3º </w:t>
      </w:r>
      <w:r w:rsidR="00881230" w:rsidRPr="00497684">
        <w:rPr>
          <w:rFonts w:ascii="Times New Roman" w:hAnsi="Times New Roman" w:cs="Times New Roman"/>
          <w:sz w:val="24"/>
          <w:szCs w:val="24"/>
        </w:rPr>
        <w:t xml:space="preserve">El caso </w:t>
      </w:r>
      <w:r w:rsidR="00881230" w:rsidRPr="00497684">
        <w:rPr>
          <w:rFonts w:ascii="Times New Roman" w:hAnsi="Times New Roman" w:cs="Times New Roman"/>
          <w:i/>
          <w:sz w:val="24"/>
          <w:szCs w:val="24"/>
        </w:rPr>
        <w:t xml:space="preserve">Prestige </w:t>
      </w:r>
      <w:r w:rsidR="00E35553" w:rsidRPr="00497684">
        <w:rPr>
          <w:rFonts w:ascii="Times New Roman" w:hAnsi="Times New Roman" w:cs="Times New Roman"/>
          <w:sz w:val="24"/>
          <w:szCs w:val="24"/>
        </w:rPr>
        <w:t xml:space="preserve">llama a resolver cuestiones que ya se plantearon en el conocido caso </w:t>
      </w:r>
      <w:r w:rsidR="00316FD3" w:rsidRPr="00497684">
        <w:rPr>
          <w:rFonts w:ascii="Times New Roman" w:hAnsi="Times New Roman" w:cs="Times New Roman"/>
          <w:sz w:val="24"/>
          <w:szCs w:val="24"/>
        </w:rPr>
        <w:t xml:space="preserve">británico </w:t>
      </w:r>
      <w:r w:rsidR="00E35553" w:rsidRPr="00497684">
        <w:rPr>
          <w:rFonts w:ascii="Times New Roman" w:hAnsi="Times New Roman" w:cs="Times New Roman"/>
          <w:i/>
          <w:sz w:val="24"/>
          <w:szCs w:val="24"/>
        </w:rPr>
        <w:t xml:space="preserve">West </w:t>
      </w:r>
      <w:proofErr w:type="spellStart"/>
      <w:r w:rsidR="00E35553" w:rsidRPr="00497684">
        <w:rPr>
          <w:rFonts w:ascii="Times New Roman" w:hAnsi="Times New Roman" w:cs="Times New Roman"/>
          <w:i/>
          <w:sz w:val="24"/>
          <w:szCs w:val="24"/>
        </w:rPr>
        <w:t>Tankers</w:t>
      </w:r>
      <w:proofErr w:type="spellEnd"/>
      <w:r w:rsidR="00316FD3" w:rsidRPr="00497684">
        <w:rPr>
          <w:rFonts w:ascii="Times New Roman" w:hAnsi="Times New Roman" w:cs="Times New Roman"/>
          <w:i/>
          <w:sz w:val="24"/>
          <w:szCs w:val="24"/>
        </w:rPr>
        <w:t xml:space="preserve"> v. Allianz</w:t>
      </w:r>
      <w:r w:rsidR="00316FD3" w:rsidRPr="00497684">
        <w:rPr>
          <w:rFonts w:ascii="Times New Roman" w:hAnsi="Times New Roman" w:cs="Times New Roman"/>
          <w:sz w:val="24"/>
          <w:szCs w:val="24"/>
        </w:rPr>
        <w:t xml:space="preserve"> de 2012, pero que no fueron objeto de cuestión preliminar ante el TJUE</w:t>
      </w:r>
      <w:r w:rsidR="00E35553" w:rsidRPr="00497684">
        <w:rPr>
          <w:rFonts w:ascii="Times New Roman" w:hAnsi="Times New Roman" w:cs="Times New Roman"/>
          <w:sz w:val="24"/>
          <w:szCs w:val="24"/>
        </w:rPr>
        <w:t>. En ambos supuestos, el origen del problema son resoluciones judiciales inglesas de apoyo y protección del arbitraje y en detrimento de la libre circulación de sentencias judiciales</w:t>
      </w:r>
      <w:r w:rsidR="00E336C2" w:rsidRPr="00497684">
        <w:rPr>
          <w:rFonts w:ascii="Times New Roman" w:hAnsi="Times New Roman" w:cs="Times New Roman"/>
          <w:sz w:val="24"/>
          <w:szCs w:val="24"/>
        </w:rPr>
        <w:t xml:space="preserve"> y de la confianza mutua</w:t>
      </w:r>
      <w:r w:rsidR="00E35553" w:rsidRPr="00497684">
        <w:rPr>
          <w:rFonts w:ascii="Times New Roman" w:hAnsi="Times New Roman" w:cs="Times New Roman"/>
          <w:sz w:val="24"/>
          <w:szCs w:val="24"/>
        </w:rPr>
        <w:t xml:space="preserve"> que consagra el “sistema Bruselas”, iniciado con el Convenio de Bruselas de 1968, seguido con el Reglamento 44/2001 y consolidado en el vigente Reglamento 1215/2012. </w:t>
      </w:r>
    </w:p>
    <w:p w:rsidR="009638EE" w:rsidRPr="00497684" w:rsidRDefault="00A13FA8"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4</w:t>
      </w:r>
      <w:r w:rsidR="00316FD3" w:rsidRPr="00497684">
        <w:rPr>
          <w:rFonts w:ascii="Times New Roman" w:hAnsi="Times New Roman" w:cs="Times New Roman"/>
          <w:sz w:val="24"/>
          <w:szCs w:val="24"/>
        </w:rPr>
        <w:t xml:space="preserve">ª. A la vista de las preguntas formuladas por la </w:t>
      </w:r>
      <w:r w:rsidR="00316FD3" w:rsidRPr="00497684">
        <w:rPr>
          <w:rFonts w:ascii="Times New Roman" w:hAnsi="Times New Roman" w:cs="Times New Roman"/>
          <w:i/>
          <w:sz w:val="24"/>
          <w:szCs w:val="24"/>
        </w:rPr>
        <w:t xml:space="preserve">High </w:t>
      </w:r>
      <w:proofErr w:type="spellStart"/>
      <w:r w:rsidR="00316FD3" w:rsidRPr="00497684">
        <w:rPr>
          <w:rFonts w:ascii="Times New Roman" w:hAnsi="Times New Roman" w:cs="Times New Roman"/>
          <w:i/>
          <w:sz w:val="24"/>
          <w:szCs w:val="24"/>
        </w:rPr>
        <w:t>Court</w:t>
      </w:r>
      <w:proofErr w:type="spellEnd"/>
      <w:r w:rsidR="00316FD3" w:rsidRPr="00497684">
        <w:rPr>
          <w:rFonts w:ascii="Times New Roman" w:hAnsi="Times New Roman" w:cs="Times New Roman"/>
          <w:sz w:val="24"/>
          <w:szCs w:val="24"/>
        </w:rPr>
        <w:t xml:space="preserve"> en la cuestión preliminar, consideramos que la resolución judicial de ejecución de un laudo arbitral conforme a la sec. 66 AA 1996 ni puede circular en el territorio 44, ni puede impedir la circulación de resoluciones que sí entren dentro del ámbito de aplicación, conforme al art. 34(3) Reglamento 44/2001. Ello por razón de la </w:t>
      </w:r>
      <w:r w:rsidR="00881230" w:rsidRPr="00497684">
        <w:rPr>
          <w:rFonts w:ascii="Times New Roman" w:hAnsi="Times New Roman" w:cs="Times New Roman"/>
          <w:sz w:val="24"/>
          <w:szCs w:val="24"/>
        </w:rPr>
        <w:t xml:space="preserve">"inaplicación" del </w:t>
      </w:r>
      <w:r w:rsidR="00316FD3" w:rsidRPr="00497684">
        <w:rPr>
          <w:rFonts w:ascii="Times New Roman" w:hAnsi="Times New Roman" w:cs="Times New Roman"/>
          <w:sz w:val="24"/>
          <w:szCs w:val="24"/>
        </w:rPr>
        <w:t>Reglamento 44/2001</w:t>
      </w:r>
      <w:r w:rsidR="00881230" w:rsidRPr="00497684">
        <w:rPr>
          <w:rFonts w:ascii="Times New Roman" w:hAnsi="Times New Roman" w:cs="Times New Roman"/>
          <w:sz w:val="24"/>
          <w:szCs w:val="24"/>
        </w:rPr>
        <w:t xml:space="preserve"> al arbitraje según su art. 1.2(d).</w:t>
      </w:r>
    </w:p>
    <w:p w:rsidR="00316FD3" w:rsidRDefault="00A13FA8" w:rsidP="00F80D2E">
      <w:pPr>
        <w:spacing w:after="0"/>
        <w:jc w:val="both"/>
        <w:rPr>
          <w:rFonts w:ascii="Times New Roman" w:hAnsi="Times New Roman" w:cs="Times New Roman"/>
          <w:sz w:val="24"/>
          <w:szCs w:val="24"/>
        </w:rPr>
      </w:pPr>
      <w:r w:rsidRPr="00497684">
        <w:rPr>
          <w:rFonts w:ascii="Times New Roman" w:hAnsi="Times New Roman" w:cs="Times New Roman"/>
          <w:sz w:val="24"/>
          <w:szCs w:val="24"/>
        </w:rPr>
        <w:t>5</w:t>
      </w:r>
      <w:r w:rsidR="00316FD3" w:rsidRPr="00497684">
        <w:rPr>
          <w:rFonts w:ascii="Times New Roman" w:hAnsi="Times New Roman" w:cs="Times New Roman"/>
          <w:sz w:val="24"/>
          <w:szCs w:val="24"/>
        </w:rPr>
        <w:t xml:space="preserve">ª La excepción de orden público interno del art. 34(1) Reglamento 44/2001 no incluye la hipótesis de </w:t>
      </w:r>
      <w:proofErr w:type="spellStart"/>
      <w:r w:rsidR="00316FD3" w:rsidRPr="00497684">
        <w:rPr>
          <w:rFonts w:ascii="Times New Roman" w:hAnsi="Times New Roman" w:cs="Times New Roman"/>
          <w:sz w:val="24"/>
          <w:szCs w:val="24"/>
        </w:rPr>
        <w:t>inconciliabilidad</w:t>
      </w:r>
      <w:proofErr w:type="spellEnd"/>
      <w:r w:rsidR="00316FD3" w:rsidRPr="00497684">
        <w:rPr>
          <w:rFonts w:ascii="Times New Roman" w:hAnsi="Times New Roman" w:cs="Times New Roman"/>
          <w:sz w:val="24"/>
          <w:szCs w:val="24"/>
        </w:rPr>
        <w:t xml:space="preserve"> de resoluciones interna y extranjera, al ser objeto de una cláusula específica de aplicación preferente, como es la prevista en el art. 34(3) Reglamento 44/2001.</w:t>
      </w:r>
      <w:bookmarkStart w:id="11" w:name="_GoBack"/>
      <w:bookmarkEnd w:id="11"/>
      <w:r w:rsidR="00316FD3">
        <w:rPr>
          <w:rFonts w:ascii="Times New Roman" w:hAnsi="Times New Roman" w:cs="Times New Roman"/>
          <w:sz w:val="24"/>
          <w:szCs w:val="24"/>
        </w:rPr>
        <w:t xml:space="preserve"> </w:t>
      </w:r>
    </w:p>
    <w:p w:rsidR="00316FD3" w:rsidRPr="00316FD3" w:rsidRDefault="00316FD3" w:rsidP="00F80D2E">
      <w:pPr>
        <w:spacing w:after="0"/>
        <w:jc w:val="both"/>
        <w:rPr>
          <w:rFonts w:ascii="Times New Roman" w:hAnsi="Times New Roman" w:cs="Times New Roman"/>
          <w:sz w:val="24"/>
          <w:szCs w:val="24"/>
        </w:rPr>
      </w:pPr>
    </w:p>
    <w:p w:rsidR="00DF2EAD" w:rsidRPr="00316FD3" w:rsidRDefault="00DF2EAD" w:rsidP="00F80D2E">
      <w:pPr>
        <w:spacing w:after="0"/>
        <w:jc w:val="both"/>
        <w:rPr>
          <w:rFonts w:ascii="Times New Roman" w:hAnsi="Times New Roman" w:cs="Times New Roman"/>
          <w:sz w:val="24"/>
          <w:szCs w:val="24"/>
        </w:rPr>
      </w:pPr>
    </w:p>
    <w:sectPr w:rsidR="00DF2EAD" w:rsidRPr="00316FD3">
      <w:footerReference w:type="default" r:id="rId8"/>
      <w:pgSz w:w="11906" w:h="16838"/>
      <w:pgMar w:top="1417" w:right="1701" w:bottom="1417" w:left="1701" w:header="708" w:footer="708"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02D" w:rsidRDefault="002A102D" w:rsidP="000624AB">
      <w:pPr>
        <w:spacing w:after="0" w:line="240" w:lineRule="auto"/>
      </w:pPr>
      <w:r>
        <w:separator/>
      </w:r>
    </w:p>
  </w:endnote>
  <w:endnote w:type="continuationSeparator" w:id="0">
    <w:p w:rsidR="002A102D" w:rsidRDefault="002A102D" w:rsidP="0006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764526"/>
      <w:docPartObj>
        <w:docPartGallery w:val="Page Numbers (Bottom of Page)"/>
        <w:docPartUnique/>
      </w:docPartObj>
    </w:sdtPr>
    <w:sdtEndPr/>
    <w:sdtContent>
      <w:p w:rsidR="00092E61" w:rsidRDefault="00092E61">
        <w:pPr>
          <w:pStyle w:val="Peu"/>
          <w:jc w:val="right"/>
        </w:pPr>
        <w:r>
          <w:fldChar w:fldCharType="begin"/>
        </w:r>
        <w:r>
          <w:instrText>PAGE   \* MERGEFORMAT</w:instrText>
        </w:r>
        <w:r>
          <w:fldChar w:fldCharType="separate"/>
        </w:r>
        <w:r w:rsidR="00497684">
          <w:rPr>
            <w:noProof/>
          </w:rPr>
          <w:t>18</w:t>
        </w:r>
        <w:r>
          <w:fldChar w:fldCharType="end"/>
        </w:r>
      </w:p>
    </w:sdtContent>
  </w:sdt>
  <w:p w:rsidR="00092E61" w:rsidRDefault="00092E6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02D" w:rsidRDefault="002A102D" w:rsidP="000624AB">
      <w:pPr>
        <w:spacing w:after="0" w:line="240" w:lineRule="auto"/>
      </w:pPr>
      <w:r>
        <w:separator/>
      </w:r>
    </w:p>
  </w:footnote>
  <w:footnote w:type="continuationSeparator" w:id="0">
    <w:p w:rsidR="002A102D" w:rsidRDefault="002A102D" w:rsidP="000624AB">
      <w:pPr>
        <w:spacing w:after="0" w:line="240" w:lineRule="auto"/>
      </w:pPr>
      <w:r>
        <w:continuationSeparator/>
      </w:r>
    </w:p>
  </w:footnote>
  <w:footnote w:id="1">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Entre otros, </w:t>
      </w:r>
      <w:r w:rsidRPr="00316FD3">
        <w:rPr>
          <w:rFonts w:ascii="Times New Roman" w:hAnsi="Times New Roman" w:cs="Times New Roman"/>
          <w:i/>
          <w:lang w:val="es-ES"/>
        </w:rPr>
        <w:t>vid</w:t>
      </w:r>
      <w:r w:rsidRPr="00316FD3">
        <w:rPr>
          <w:rFonts w:ascii="Times New Roman" w:hAnsi="Times New Roman" w:cs="Times New Roman"/>
          <w:lang w:val="es-ES"/>
        </w:rPr>
        <w:t xml:space="preserve"> SIERRA NOGUERO, E., </w:t>
      </w:r>
      <w:r w:rsidRPr="00316FD3">
        <w:rPr>
          <w:rFonts w:ascii="Times New Roman" w:hAnsi="Times New Roman" w:cs="Times New Roman"/>
          <w:i/>
          <w:lang w:val="es-ES"/>
        </w:rPr>
        <w:t>El seguro de responsabilidad civil derivada de la navegación de buques</w:t>
      </w:r>
      <w:r w:rsidRPr="00316FD3">
        <w:rPr>
          <w:rFonts w:ascii="Times New Roman" w:hAnsi="Times New Roman" w:cs="Times New Roman"/>
          <w:lang w:val="es-ES"/>
        </w:rPr>
        <w:t>, Mapfre, Madrid, 2016, p. 50, así como la bibliografía y jurisprudencia aquí citada.</w:t>
      </w:r>
    </w:p>
  </w:footnote>
  <w:footnote w:id="2">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SIERRA NOGUERO, E., </w:t>
      </w:r>
      <w:r w:rsidRPr="00316FD3">
        <w:rPr>
          <w:rFonts w:ascii="Times New Roman" w:hAnsi="Times New Roman" w:cs="Times New Roman"/>
          <w:i/>
          <w:lang w:val="es-ES"/>
        </w:rPr>
        <w:t>El seguro...</w:t>
      </w:r>
      <w:r w:rsidRPr="00316FD3">
        <w:rPr>
          <w:rFonts w:ascii="Times New Roman" w:hAnsi="Times New Roman" w:cs="Times New Roman"/>
          <w:lang w:val="es-ES"/>
        </w:rPr>
        <w:t xml:space="preserve">, </w:t>
      </w:r>
      <w:r w:rsidRPr="00316FD3">
        <w:rPr>
          <w:rFonts w:ascii="Times New Roman" w:hAnsi="Times New Roman" w:cs="Times New Roman"/>
          <w:i/>
          <w:lang w:val="es-ES"/>
        </w:rPr>
        <w:t>cit.</w:t>
      </w:r>
      <w:r w:rsidRPr="00316FD3">
        <w:rPr>
          <w:rFonts w:ascii="Times New Roman" w:hAnsi="Times New Roman" w:cs="Times New Roman"/>
          <w:lang w:val="es-ES"/>
        </w:rPr>
        <w:t>, p. 233.</w:t>
      </w:r>
    </w:p>
  </w:footnote>
  <w:footnote w:id="3">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Los antecedentes de hecho aquí descritos están extraídos de las sentencias españolas e inglesas comentadas a continuación. </w:t>
      </w:r>
    </w:p>
  </w:footnote>
  <w:footnote w:id="4">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La norma no ha cambiado, puede verse en la vigente regla 11.3 de </w:t>
      </w:r>
      <w:r w:rsidRPr="00F93482">
        <w:rPr>
          <w:rFonts w:ascii="Times New Roman" w:hAnsi="Times New Roman" w:cs="Times New Roman"/>
          <w:highlight w:val="yellow"/>
          <w:lang w:val="es-ES"/>
        </w:rPr>
        <w:t>las reglas 2021-2022</w:t>
      </w:r>
      <w:r w:rsidR="00F93482" w:rsidRPr="00F93482">
        <w:rPr>
          <w:rFonts w:ascii="Times New Roman" w:hAnsi="Times New Roman" w:cs="Times New Roman"/>
          <w:highlight w:val="yellow"/>
          <w:lang w:val="es-ES"/>
        </w:rPr>
        <w:t xml:space="preserve"> del club P&amp;I </w:t>
      </w:r>
      <w:proofErr w:type="spellStart"/>
      <w:r w:rsidR="00F93482" w:rsidRPr="00F93482">
        <w:rPr>
          <w:rFonts w:ascii="Times New Roman" w:hAnsi="Times New Roman" w:cs="Times New Roman"/>
          <w:i/>
          <w:highlight w:val="yellow"/>
          <w:lang w:val="es-ES"/>
        </w:rPr>
        <w:t>The</w:t>
      </w:r>
      <w:proofErr w:type="spellEnd"/>
      <w:r w:rsidR="00F93482" w:rsidRPr="00F93482">
        <w:rPr>
          <w:rFonts w:ascii="Times New Roman" w:hAnsi="Times New Roman" w:cs="Times New Roman"/>
          <w:i/>
          <w:highlight w:val="yellow"/>
          <w:lang w:val="es-ES"/>
        </w:rPr>
        <w:t xml:space="preserve"> London</w:t>
      </w:r>
      <w:r w:rsidRPr="00316FD3">
        <w:rPr>
          <w:rFonts w:ascii="Times New Roman" w:hAnsi="Times New Roman" w:cs="Times New Roman"/>
          <w:lang w:val="es-ES"/>
        </w:rPr>
        <w:t xml:space="preserve">, disponible en https://bit.ly/3gV8LsM, consultada el 25 de junio de 2021. </w:t>
      </w:r>
    </w:p>
  </w:footnote>
  <w:footnote w:id="5">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fr-FR"/>
        </w:rPr>
        <w:t xml:space="preserve"> </w:t>
      </w:r>
      <w:r w:rsidRPr="00316FD3">
        <w:rPr>
          <w:rFonts w:ascii="Times New Roman" w:hAnsi="Times New Roman" w:cs="Times New Roman"/>
          <w:lang w:val="ca-ES"/>
        </w:rPr>
        <w:t>[2013] EWHC 3188 (Comm), disponible en https://bit.ly/3wGv9g7</w:t>
      </w:r>
    </w:p>
  </w:footnote>
  <w:footnote w:id="6">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SAP C 2641/2013 - ECLI:ES:APC:2013:2641, disponible en https://bit.ly/2YPJ3vS</w:t>
      </w:r>
    </w:p>
  </w:footnote>
  <w:footnote w:id="7">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[2015] EWCA Civ 333, disponible en https://bit.ly/3cTxCvO</w:t>
      </w:r>
    </w:p>
  </w:footnote>
  <w:footnote w:id="8">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STS 11/2016 - ECLI: ES:TS:2016:11, disponible en https://bit.ly/2TSAIE5.</w:t>
      </w:r>
    </w:p>
  </w:footnote>
  <w:footnote w:id="9">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w:t>
      </w:r>
      <w:bookmarkStart w:id="2" w:name="_Hlk75019065"/>
      <w:r w:rsidRPr="00316FD3">
        <w:rPr>
          <w:rFonts w:ascii="Times New Roman" w:hAnsi="Times New Roman" w:cs="Times New Roman"/>
          <w:i/>
          <w:lang w:val="ca-ES"/>
        </w:rPr>
        <w:t>Vid</w:t>
      </w:r>
      <w:r w:rsidRPr="00316FD3">
        <w:rPr>
          <w:rFonts w:ascii="Times New Roman" w:hAnsi="Times New Roman" w:cs="Times New Roman"/>
          <w:lang w:val="ca-ES"/>
        </w:rPr>
        <w:t xml:space="preserve"> [2021] EWHC 1247 (Comm), </w:t>
      </w:r>
      <w:r w:rsidRPr="00316FD3">
        <w:rPr>
          <w:rFonts w:ascii="Times New Roman" w:hAnsi="Times New Roman" w:cs="Times New Roman"/>
          <w:i/>
          <w:lang w:val="ca-ES"/>
        </w:rPr>
        <w:t>introduction</w:t>
      </w:r>
      <w:r w:rsidRPr="00316FD3">
        <w:rPr>
          <w:rFonts w:ascii="Times New Roman" w:hAnsi="Times New Roman" w:cs="Times New Roman"/>
          <w:lang w:val="ca-ES"/>
        </w:rPr>
        <w:t>, disponible en https://bit.ly/3vHmtVi</w:t>
      </w:r>
      <w:bookmarkEnd w:id="2"/>
    </w:p>
  </w:footnote>
  <w:footnote w:id="10">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AAP C 1056/2017 - ECLI:ES:APC:2017:1056A, disponible en https://bit.ly/2Uh2eA1</w:t>
      </w:r>
    </w:p>
  </w:footnote>
  <w:footnote w:id="11">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STS 4136/2018 - ECLI:ES:TS:2018:4136, disponible en https://bit.ly/2VitBWL</w:t>
      </w:r>
    </w:p>
  </w:footnote>
  <w:footnote w:id="12">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Diario Oficial de las Comunidades Europeas</w:t>
      </w:r>
      <w:r w:rsidRPr="00316FD3">
        <w:rPr>
          <w:rFonts w:ascii="Times New Roman" w:hAnsi="Times New Roman" w:cs="Times New Roman"/>
          <w:lang w:val="es-ES"/>
        </w:rPr>
        <w:t>, L 12/1, de 16 de enero de 2001.</w:t>
      </w:r>
    </w:p>
  </w:footnote>
  <w:footnote w:id="13">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Diario Oficial de la Unión Europea</w:t>
      </w:r>
      <w:r w:rsidRPr="00316FD3">
        <w:rPr>
          <w:rFonts w:ascii="Times New Roman" w:hAnsi="Times New Roman" w:cs="Times New Roman"/>
          <w:lang w:val="es-ES"/>
        </w:rPr>
        <w:t xml:space="preserve">, L 351/1, de 20 de diciembre de 2012. </w:t>
      </w:r>
    </w:p>
  </w:footnote>
  <w:footnote w:id="14">
    <w:p w:rsidR="00092E61" w:rsidRPr="00316FD3" w:rsidRDefault="00092E61" w:rsidP="006A39A0">
      <w:pPr>
        <w:pStyle w:val="Textdenotaapeudepgina"/>
        <w:jc w:val="both"/>
        <w:rPr>
          <w:rFonts w:ascii="Times New Roman" w:hAnsi="Times New Roman" w:cs="Times New Roman"/>
        </w:rPr>
      </w:pPr>
      <w:r w:rsidRPr="00316FD3">
        <w:rPr>
          <w:rStyle w:val="Refernciadenotaapeudepgina"/>
          <w:rFonts w:ascii="Times New Roman" w:hAnsi="Times New Roman" w:cs="Times New Roman"/>
        </w:rPr>
        <w:footnoteRef/>
      </w:r>
      <w:r w:rsidRPr="00316FD3">
        <w:rPr>
          <w:rFonts w:ascii="Times New Roman" w:hAnsi="Times New Roman" w:cs="Times New Roman"/>
        </w:rPr>
        <w:t xml:space="preserve"> FRANQ, S., "Commentary to art. 34", en MAGNUS, U. y MANKOWSKY, P. (eds.), </w:t>
      </w:r>
      <w:r w:rsidRPr="00316FD3">
        <w:rPr>
          <w:rFonts w:ascii="Times New Roman" w:hAnsi="Times New Roman" w:cs="Times New Roman"/>
          <w:i/>
        </w:rPr>
        <w:t>Brussels I Regulation</w:t>
      </w:r>
      <w:r w:rsidRPr="00316FD3">
        <w:rPr>
          <w:rFonts w:ascii="Times New Roman" w:hAnsi="Times New Roman" w:cs="Times New Roman"/>
        </w:rPr>
        <w:t>, Sellier European Law Publishers, Munich, 2007, p. 594</w:t>
      </w:r>
    </w:p>
  </w:footnote>
  <w:footnote w:id="15">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Entre otros, </w:t>
      </w:r>
      <w:r w:rsidRPr="00316FD3">
        <w:rPr>
          <w:rFonts w:ascii="Times New Roman" w:hAnsi="Times New Roman" w:cs="Times New Roman"/>
          <w:i/>
          <w:lang w:val="es-ES"/>
        </w:rPr>
        <w:t>vid</w:t>
      </w:r>
      <w:r w:rsidRPr="00316FD3">
        <w:rPr>
          <w:rFonts w:ascii="Times New Roman" w:hAnsi="Times New Roman" w:cs="Times New Roman"/>
          <w:lang w:val="es-ES"/>
        </w:rPr>
        <w:t xml:space="preserve"> asuntos </w:t>
      </w:r>
      <w:r w:rsidRPr="00316FD3">
        <w:rPr>
          <w:rFonts w:ascii="Times New Roman" w:hAnsi="Times New Roman" w:cs="Times New Roman"/>
          <w:i/>
          <w:lang w:val="es-ES"/>
        </w:rPr>
        <w:t>Marc Rich</w:t>
      </w:r>
      <w:r w:rsidRPr="00316FD3">
        <w:rPr>
          <w:rFonts w:ascii="Times New Roman" w:hAnsi="Times New Roman" w:cs="Times New Roman"/>
          <w:lang w:val="es-ES"/>
        </w:rPr>
        <w:t xml:space="preserve">, pár. 26, </w:t>
      </w:r>
      <w:r w:rsidRPr="00316FD3">
        <w:rPr>
          <w:rFonts w:ascii="Times New Roman" w:hAnsi="Times New Roman" w:cs="Times New Roman"/>
          <w:i/>
          <w:lang w:val="es-ES"/>
        </w:rPr>
        <w:t>West Tankers</w:t>
      </w:r>
      <w:r w:rsidRPr="00316FD3">
        <w:rPr>
          <w:rFonts w:ascii="Times New Roman" w:hAnsi="Times New Roman" w:cs="Times New Roman"/>
          <w:lang w:val="es-ES"/>
        </w:rPr>
        <w:t xml:space="preserve">, pár. 22 y </w:t>
      </w:r>
      <w:r w:rsidRPr="00316FD3">
        <w:rPr>
          <w:rFonts w:ascii="Times New Roman" w:hAnsi="Times New Roman" w:cs="Times New Roman"/>
          <w:i/>
          <w:lang w:val="es-ES"/>
        </w:rPr>
        <w:t>Gazprom</w:t>
      </w:r>
      <w:r w:rsidRPr="00316FD3">
        <w:rPr>
          <w:rFonts w:ascii="Times New Roman" w:hAnsi="Times New Roman" w:cs="Times New Roman"/>
          <w:lang w:val="es-ES"/>
        </w:rPr>
        <w:t>, pár. 29.</w:t>
      </w:r>
    </w:p>
  </w:footnote>
  <w:footnote w:id="16">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Entre otros, </w:t>
      </w:r>
      <w:r w:rsidRPr="00316FD3">
        <w:rPr>
          <w:rFonts w:ascii="Times New Roman" w:hAnsi="Times New Roman" w:cs="Times New Roman"/>
          <w:i/>
          <w:lang w:val="es-ES"/>
        </w:rPr>
        <w:t>vid</w:t>
      </w:r>
      <w:r w:rsidRPr="00316FD3">
        <w:rPr>
          <w:rFonts w:ascii="Times New Roman" w:hAnsi="Times New Roman" w:cs="Times New Roman"/>
          <w:lang w:val="es-ES"/>
        </w:rPr>
        <w:t xml:space="preserve"> asuntos </w:t>
      </w:r>
      <w:r w:rsidRPr="00316FD3">
        <w:rPr>
          <w:rFonts w:ascii="Times New Roman" w:hAnsi="Times New Roman" w:cs="Times New Roman"/>
          <w:i/>
          <w:lang w:val="es-ES"/>
        </w:rPr>
        <w:t>Van Uden</w:t>
      </w:r>
      <w:r w:rsidRPr="00316FD3">
        <w:rPr>
          <w:rFonts w:ascii="Times New Roman" w:hAnsi="Times New Roman" w:cs="Times New Roman"/>
          <w:lang w:val="es-ES"/>
        </w:rPr>
        <w:t xml:space="preserve">, pár. 33 y </w:t>
      </w:r>
      <w:r w:rsidRPr="00316FD3">
        <w:rPr>
          <w:rFonts w:ascii="Times New Roman" w:hAnsi="Times New Roman" w:cs="Times New Roman"/>
          <w:i/>
          <w:lang w:val="es-ES"/>
        </w:rPr>
        <w:t>West Tankers</w:t>
      </w:r>
      <w:r w:rsidRPr="00316FD3">
        <w:rPr>
          <w:rFonts w:ascii="Times New Roman" w:hAnsi="Times New Roman" w:cs="Times New Roman"/>
          <w:lang w:val="es-ES"/>
        </w:rPr>
        <w:t>, pár. 26.</w:t>
      </w:r>
    </w:p>
  </w:footnote>
  <w:footnote w:id="17">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[2021] EWHC 1247 (Comm), </w:t>
      </w:r>
      <w:r w:rsidRPr="00316FD3">
        <w:rPr>
          <w:rFonts w:ascii="Times New Roman" w:hAnsi="Times New Roman" w:cs="Times New Roman"/>
          <w:i/>
          <w:lang w:val="ca-ES"/>
        </w:rPr>
        <w:t>introduction</w:t>
      </w:r>
      <w:r w:rsidRPr="00316FD3">
        <w:rPr>
          <w:rFonts w:ascii="Times New Roman" w:hAnsi="Times New Roman" w:cs="Times New Roman"/>
          <w:lang w:val="ca-ES"/>
        </w:rPr>
        <w:t>, párrafos 32 y 33, disponible en https://bit.ly/3vHmtVi</w:t>
      </w:r>
    </w:p>
  </w:footnote>
  <w:footnote w:id="18">
    <w:p w:rsidR="00092E61" w:rsidRPr="00F93482"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F93482">
        <w:rPr>
          <w:rFonts w:ascii="Times New Roman" w:hAnsi="Times New Roman" w:cs="Times New Roman"/>
          <w:lang w:val="es-ES"/>
        </w:rPr>
        <w:t xml:space="preserve"> [2020] EWHC 1582 (</w:t>
      </w:r>
      <w:proofErr w:type="spellStart"/>
      <w:r w:rsidRPr="00F93482">
        <w:rPr>
          <w:rFonts w:ascii="Times New Roman" w:hAnsi="Times New Roman" w:cs="Times New Roman"/>
          <w:lang w:val="es-ES"/>
        </w:rPr>
        <w:t>Comm</w:t>
      </w:r>
      <w:proofErr w:type="spellEnd"/>
      <w:r w:rsidRPr="00F93482">
        <w:rPr>
          <w:rFonts w:ascii="Times New Roman" w:hAnsi="Times New Roman" w:cs="Times New Roman"/>
          <w:lang w:val="es-ES"/>
        </w:rPr>
        <w:t xml:space="preserve">), disponible en https://bit.ly/3gOBT4C. </w:t>
      </w:r>
    </w:p>
  </w:footnote>
  <w:footnote w:id="19">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F93482">
        <w:rPr>
          <w:rFonts w:ascii="Times New Roman" w:hAnsi="Times New Roman" w:cs="Times New Roman"/>
          <w:lang w:val="es-ES"/>
        </w:rPr>
        <w:t xml:space="preserve"> </w:t>
      </w:r>
      <w:r w:rsidRPr="00F93482">
        <w:rPr>
          <w:rFonts w:ascii="Times New Roman" w:hAnsi="Times New Roman" w:cs="Times New Roman"/>
          <w:bCs/>
          <w:lang w:val="es-ES"/>
        </w:rPr>
        <w:t>[2020] EWHC 1920 (</w:t>
      </w:r>
      <w:proofErr w:type="spellStart"/>
      <w:r w:rsidRPr="00F93482">
        <w:rPr>
          <w:rFonts w:ascii="Times New Roman" w:hAnsi="Times New Roman" w:cs="Times New Roman"/>
          <w:bCs/>
          <w:lang w:val="es-ES"/>
        </w:rPr>
        <w:t>Comm</w:t>
      </w:r>
      <w:proofErr w:type="spellEnd"/>
      <w:r w:rsidRPr="00F93482">
        <w:rPr>
          <w:rFonts w:ascii="Times New Roman" w:hAnsi="Times New Roman" w:cs="Times New Roman"/>
          <w:bCs/>
          <w:lang w:val="es-ES"/>
        </w:rPr>
        <w:t>)</w:t>
      </w:r>
      <w:r w:rsidRPr="00F93482">
        <w:rPr>
          <w:rFonts w:ascii="Times New Roman" w:hAnsi="Times New Roman" w:cs="Times New Roman"/>
          <w:lang w:val="es-ES"/>
        </w:rPr>
        <w:t xml:space="preserve"> disponible en </w:t>
      </w:r>
      <w:r w:rsidRPr="00F93482">
        <w:rPr>
          <w:rFonts w:ascii="Times New Roman" w:hAnsi="Times New Roman" w:cs="Times New Roman"/>
          <w:bCs/>
          <w:lang w:val="es-ES"/>
        </w:rPr>
        <w:t>https://bit.ly/3gLfPYL</w:t>
      </w:r>
    </w:p>
  </w:footnote>
  <w:footnote w:id="20">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Diario Oficial de la Unión Europea</w:t>
      </w:r>
      <w:r w:rsidRPr="00316FD3">
        <w:rPr>
          <w:rFonts w:ascii="Times New Roman" w:hAnsi="Times New Roman" w:cs="Times New Roman"/>
          <w:lang w:val="es-ES"/>
        </w:rPr>
        <w:t xml:space="preserve"> C 110/18, de 29 de marzo de 2021.</w:t>
      </w:r>
    </w:p>
  </w:footnote>
  <w:footnote w:id="21">
    <w:p w:rsidR="00EA294D" w:rsidRPr="00316FD3" w:rsidRDefault="00EA294D" w:rsidP="00EA294D">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F93482">
        <w:rPr>
          <w:rFonts w:ascii="Times New Roman" w:hAnsi="Times New Roman" w:cs="Times New Roman"/>
          <w:lang w:val="es-ES"/>
        </w:rPr>
        <w:t xml:space="preserve"> </w:t>
      </w:r>
      <w:r w:rsidRPr="00F93482">
        <w:rPr>
          <w:rFonts w:ascii="Times New Roman" w:hAnsi="Times New Roman" w:cs="Times New Roman"/>
          <w:bCs/>
          <w:lang w:val="es-ES"/>
        </w:rPr>
        <w:t>[</w:t>
      </w:r>
      <w:r w:rsidRPr="00316FD3">
        <w:rPr>
          <w:rFonts w:ascii="Times New Roman" w:hAnsi="Times New Roman" w:cs="Times New Roman"/>
          <w:lang w:val="ca-ES"/>
        </w:rPr>
        <w:t>2021] EWHC 1247 (</w:t>
      </w:r>
      <w:proofErr w:type="spellStart"/>
      <w:r w:rsidRPr="00316FD3">
        <w:rPr>
          <w:rFonts w:ascii="Times New Roman" w:hAnsi="Times New Roman" w:cs="Times New Roman"/>
          <w:lang w:val="ca-ES"/>
        </w:rPr>
        <w:t>Comm</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párrafo</w:t>
      </w:r>
      <w:proofErr w:type="spellEnd"/>
      <w:r w:rsidRPr="00316FD3">
        <w:rPr>
          <w:rFonts w:ascii="Times New Roman" w:hAnsi="Times New Roman" w:cs="Times New Roman"/>
          <w:lang w:val="ca-ES"/>
        </w:rPr>
        <w:t xml:space="preserve"> 127.</w:t>
      </w:r>
    </w:p>
  </w:footnote>
  <w:footnote w:id="22">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Boletín Oficial del Estado</w:t>
      </w:r>
      <w:r w:rsidRPr="00316FD3">
        <w:rPr>
          <w:rFonts w:ascii="Times New Roman" w:hAnsi="Times New Roman" w:cs="Times New Roman"/>
          <w:lang w:val="es-ES"/>
        </w:rPr>
        <w:t>, n. 164, de 11 de julio de 1977.</w:t>
      </w:r>
    </w:p>
  </w:footnote>
  <w:footnote w:id="23">
    <w:p w:rsidR="00092E61" w:rsidRPr="00F93482" w:rsidRDefault="00092E61" w:rsidP="00516C13">
      <w:pPr>
        <w:pStyle w:val="NormalWeb"/>
        <w:shd w:val="clear" w:color="auto" w:fill="FFFFFF"/>
        <w:spacing w:after="0" w:line="240" w:lineRule="auto"/>
        <w:jc w:val="both"/>
        <w:rPr>
          <w:sz w:val="20"/>
          <w:szCs w:val="20"/>
        </w:rPr>
      </w:pPr>
      <w:r w:rsidRPr="00316FD3">
        <w:rPr>
          <w:rStyle w:val="Refernciadenotaapeudepgina"/>
          <w:sz w:val="20"/>
          <w:szCs w:val="20"/>
        </w:rPr>
        <w:footnoteRef/>
      </w:r>
      <w:r w:rsidRPr="00F93482">
        <w:rPr>
          <w:rFonts w:eastAsia="Times New Roman"/>
          <w:sz w:val="20"/>
          <w:szCs w:val="20"/>
          <w:lang w:eastAsia="es-ES"/>
        </w:rPr>
        <w:t xml:space="preserve"> Disponible en https://bit.ly/3x1h90N</w:t>
      </w:r>
    </w:p>
  </w:footnote>
  <w:footnote w:id="24">
    <w:p w:rsidR="00092E61" w:rsidRPr="00316FD3" w:rsidRDefault="00092E61" w:rsidP="00516C13">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[2012] EWCA </w:t>
      </w:r>
      <w:proofErr w:type="spellStart"/>
      <w:r w:rsidRPr="00316FD3">
        <w:rPr>
          <w:rFonts w:ascii="Times New Roman" w:hAnsi="Times New Roman" w:cs="Times New Roman"/>
          <w:lang w:val="es-ES"/>
        </w:rPr>
        <w:t>Civ</w:t>
      </w:r>
      <w:proofErr w:type="spellEnd"/>
      <w:r w:rsidRPr="00316FD3">
        <w:rPr>
          <w:rFonts w:ascii="Times New Roman" w:hAnsi="Times New Roman" w:cs="Times New Roman"/>
          <w:lang w:val="es-ES"/>
        </w:rPr>
        <w:t xml:space="preserve"> 27, disponible en https://bit.ly/3qeOvXi</w:t>
      </w:r>
    </w:p>
  </w:footnote>
  <w:footnote w:id="25">
    <w:p w:rsidR="00092E61" w:rsidRPr="00316FD3" w:rsidRDefault="00092E61" w:rsidP="00E35553">
      <w:pPr>
        <w:spacing w:after="0" w:line="240" w:lineRule="auto"/>
        <w:jc w:val="both"/>
        <w:rPr>
          <w:rFonts w:ascii="Times New Roman" w:hAnsi="Times New Roman" w:cs="Times New Roman"/>
          <w:sz w:val="20"/>
          <w:szCs w:val="20"/>
        </w:rPr>
      </w:pPr>
      <w:r w:rsidRPr="00316FD3">
        <w:rPr>
          <w:rStyle w:val="Refernciadenotaapeudepgina"/>
          <w:rFonts w:ascii="Times New Roman" w:hAnsi="Times New Roman" w:cs="Times New Roman"/>
          <w:sz w:val="20"/>
          <w:szCs w:val="20"/>
        </w:rPr>
        <w:footnoteRef/>
      </w:r>
      <w:r w:rsidRPr="00316FD3">
        <w:rPr>
          <w:rFonts w:ascii="Times New Roman" w:hAnsi="Times New Roman" w:cs="Times New Roman"/>
          <w:sz w:val="20"/>
          <w:szCs w:val="20"/>
        </w:rPr>
        <w:t xml:space="preserve"> GARCIMARTÍN ALFÉREZ F. J. </w:t>
      </w:r>
      <w:r w:rsidRPr="00316FD3">
        <w:rPr>
          <w:rFonts w:ascii="Times New Roman" w:hAnsi="Times New Roman" w:cs="Times New Roman"/>
          <w:i/>
          <w:sz w:val="20"/>
          <w:szCs w:val="20"/>
        </w:rPr>
        <w:t>Derecho internacional privado</w:t>
      </w:r>
      <w:r w:rsidRPr="00316FD3">
        <w:rPr>
          <w:rFonts w:ascii="Times New Roman" w:hAnsi="Times New Roman" w:cs="Times New Roman"/>
          <w:sz w:val="20"/>
          <w:szCs w:val="20"/>
        </w:rPr>
        <w:t xml:space="preserve">, 5ª ed., Civitas Thomson Reuters, Madrid, 2019, señala que el Reglamento 1215/2012, Reglamento Bruselas I bis establece también la prioridad de la primera resolución dictada (art. 45.1.d). </w:t>
      </w:r>
    </w:p>
  </w:footnote>
  <w:footnote w:id="26">
    <w:p w:rsidR="00092E61" w:rsidRPr="00316FD3" w:rsidRDefault="00092E61" w:rsidP="00E35553">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VIRGÓS SORIANO, M. y GARCIMARTÍN ALFÉREZ F. J. </w:t>
      </w:r>
      <w:r w:rsidRPr="00316FD3">
        <w:rPr>
          <w:rFonts w:ascii="Times New Roman" w:hAnsi="Times New Roman" w:cs="Times New Roman"/>
          <w:i/>
          <w:lang w:val="es-ES"/>
        </w:rPr>
        <w:t>Derecho procesal civil internacional. Litigación internacional</w:t>
      </w:r>
      <w:r w:rsidRPr="00316FD3">
        <w:rPr>
          <w:rFonts w:ascii="Times New Roman" w:hAnsi="Times New Roman" w:cs="Times New Roman"/>
          <w:lang w:val="es-ES"/>
        </w:rPr>
        <w:t>, 2ª ed., Thomson Civitas, Madrid, 2007, p. 650.</w:t>
      </w:r>
    </w:p>
  </w:footnote>
  <w:footnote w:id="27">
    <w:p w:rsidR="00092E61" w:rsidRPr="00316FD3" w:rsidRDefault="00092E61" w:rsidP="00E35553">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AGUILAR GRIEDER, H., “La inconciliabilidad..., </w:t>
      </w:r>
      <w:r w:rsidRPr="00316FD3">
        <w:rPr>
          <w:rFonts w:ascii="Times New Roman" w:hAnsi="Times New Roman" w:cs="Times New Roman"/>
          <w:i/>
          <w:lang w:val="es-ES"/>
        </w:rPr>
        <w:t>cit.</w:t>
      </w:r>
      <w:r w:rsidRPr="00316FD3">
        <w:rPr>
          <w:rFonts w:ascii="Times New Roman" w:hAnsi="Times New Roman" w:cs="Times New Roman"/>
          <w:lang w:val="es-ES"/>
        </w:rPr>
        <w:t xml:space="preserve">, p. 80 y LÓPEZ DE TEJADA RUIZ, M., “La incompatibilidad de decisiones en los nuevos reglamentos comunitarios”, en </w:t>
      </w:r>
      <w:r w:rsidRPr="00316FD3">
        <w:rPr>
          <w:rFonts w:ascii="Times New Roman" w:hAnsi="Times New Roman" w:cs="Times New Roman"/>
          <w:i/>
          <w:lang w:val="es-ES"/>
        </w:rPr>
        <w:t>Anuario Español de Derecho Internacional Privado</w:t>
      </w:r>
      <w:r w:rsidRPr="00316FD3">
        <w:rPr>
          <w:rFonts w:ascii="Times New Roman" w:hAnsi="Times New Roman" w:cs="Times New Roman"/>
          <w:lang w:val="es-ES"/>
        </w:rPr>
        <w:t>, t. IX, 2009, p. 432.</w:t>
      </w:r>
    </w:p>
  </w:footnote>
  <w:footnote w:id="28">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Boletín Oficial del Estado</w:t>
      </w:r>
      <w:r w:rsidRPr="00316FD3">
        <w:rPr>
          <w:rFonts w:ascii="Times New Roman" w:hAnsi="Times New Roman" w:cs="Times New Roman"/>
          <w:lang w:val="es-ES"/>
        </w:rPr>
        <w:t>, núm. 164, de 11 de julio de 1977. </w:t>
      </w:r>
    </w:p>
  </w:footnote>
  <w:footnote w:id="29">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Entre otros, </w:t>
      </w:r>
      <w:r w:rsidRPr="00316FD3">
        <w:rPr>
          <w:rFonts w:ascii="Times New Roman" w:hAnsi="Times New Roman" w:cs="Times New Roman"/>
          <w:i/>
          <w:lang w:val="es-ES"/>
        </w:rPr>
        <w:t>vid</w:t>
      </w:r>
      <w:r w:rsidRPr="00316FD3">
        <w:rPr>
          <w:rFonts w:ascii="Times New Roman" w:hAnsi="Times New Roman" w:cs="Times New Roman"/>
          <w:lang w:val="es-ES"/>
        </w:rPr>
        <w:t xml:space="preserve"> </w:t>
      </w:r>
      <w:bookmarkStart w:id="8" w:name="_Hlk75706927"/>
      <w:r w:rsidRPr="00316FD3">
        <w:rPr>
          <w:rFonts w:ascii="Times New Roman" w:hAnsi="Times New Roman" w:cs="Times New Roman"/>
          <w:lang w:val="es-ES"/>
        </w:rPr>
        <w:t xml:space="preserve">GAUDEMET-TALLON, H., </w:t>
      </w:r>
      <w:r w:rsidRPr="00316FD3">
        <w:rPr>
          <w:rFonts w:ascii="Times New Roman" w:hAnsi="Times New Roman" w:cs="Times New Roman"/>
          <w:i/>
          <w:lang w:val="es-ES"/>
        </w:rPr>
        <w:t>Les Conventions de Bruxelles et de Lugano: compétence internationale, reconaissance et exécution des jugements en Europe</w:t>
      </w:r>
      <w:r w:rsidRPr="00316FD3">
        <w:rPr>
          <w:rFonts w:ascii="Times New Roman" w:hAnsi="Times New Roman" w:cs="Times New Roman"/>
          <w:lang w:val="es-ES"/>
        </w:rPr>
        <w:t>, 2ª ed., LGDJ, 1996</w:t>
      </w:r>
      <w:bookmarkEnd w:id="8"/>
      <w:r w:rsidRPr="00316FD3">
        <w:rPr>
          <w:rFonts w:ascii="Times New Roman" w:hAnsi="Times New Roman" w:cs="Times New Roman"/>
          <w:lang w:val="es-ES"/>
        </w:rPr>
        <w:t xml:space="preserve">, París, p. 30; CALVO-CARAVACA, A.-L., </w:t>
      </w:r>
      <w:r w:rsidRPr="00316FD3">
        <w:rPr>
          <w:rFonts w:ascii="Times New Roman" w:hAnsi="Times New Roman" w:cs="Times New Roman"/>
          <w:i/>
          <w:lang w:val="es-ES"/>
        </w:rPr>
        <w:t>Comentario al Convenio de Bruselas relativo a la competencia judicial y a la ejecución de resoluciones judiciales en materia civil y mercantil</w:t>
      </w:r>
      <w:r w:rsidRPr="00316FD3">
        <w:rPr>
          <w:rFonts w:ascii="Times New Roman" w:hAnsi="Times New Roman" w:cs="Times New Roman"/>
          <w:lang w:val="es-ES"/>
        </w:rPr>
        <w:t xml:space="preserve">, Boletín Oficial del Estado, Madrid, 1994, p. 57; HARTLEY, T. C., “The Brussels I Regulation and Arbitration”, en </w:t>
      </w:r>
      <w:r w:rsidRPr="00316FD3">
        <w:rPr>
          <w:rFonts w:ascii="Times New Roman" w:hAnsi="Times New Roman" w:cs="Times New Roman"/>
          <w:i/>
          <w:lang w:val="es-ES"/>
        </w:rPr>
        <w:t>The International and Comparative Law Quarterly</w:t>
      </w:r>
      <w:r w:rsidRPr="00316FD3">
        <w:rPr>
          <w:rFonts w:ascii="Times New Roman" w:hAnsi="Times New Roman" w:cs="Times New Roman"/>
          <w:lang w:val="es-ES"/>
        </w:rPr>
        <w:t xml:space="preserve">, vol. 63, n. 4, octubre 2014, p. 864; </w:t>
      </w:r>
      <w:r w:rsidRPr="00316FD3">
        <w:rPr>
          <w:rFonts w:ascii="Times New Roman" w:hAnsi="Times New Roman" w:cs="Times New Roman"/>
          <w:lang w:val="ca-ES"/>
        </w:rPr>
        <w:t xml:space="preserve">QUINZÁ REDONDO, P., "El arbitraje comercial internacional y los </w:t>
      </w:r>
      <w:proofErr w:type="spellStart"/>
      <w:r w:rsidRPr="00316FD3">
        <w:rPr>
          <w:rFonts w:ascii="Times New Roman" w:hAnsi="Times New Roman" w:cs="Times New Roman"/>
          <w:lang w:val="ca-ES"/>
        </w:rPr>
        <w:t>instrumentos</w:t>
      </w:r>
      <w:proofErr w:type="spellEnd"/>
      <w:r w:rsidRPr="00316FD3">
        <w:rPr>
          <w:rFonts w:ascii="Times New Roman" w:hAnsi="Times New Roman" w:cs="Times New Roman"/>
          <w:lang w:val="ca-ES"/>
        </w:rPr>
        <w:t xml:space="preserve"> de </w:t>
      </w:r>
      <w:proofErr w:type="spellStart"/>
      <w:r w:rsidRPr="00316FD3">
        <w:rPr>
          <w:rFonts w:ascii="Times New Roman" w:hAnsi="Times New Roman" w:cs="Times New Roman"/>
          <w:lang w:val="ca-ES"/>
        </w:rPr>
        <w:t>Bruselas</w:t>
      </w:r>
      <w:proofErr w:type="spellEnd"/>
      <w:r w:rsidRPr="00316FD3">
        <w:rPr>
          <w:rFonts w:ascii="Times New Roman" w:hAnsi="Times New Roman" w:cs="Times New Roman"/>
          <w:lang w:val="ca-ES"/>
        </w:rPr>
        <w:t>: (re)</w:t>
      </w:r>
      <w:proofErr w:type="spellStart"/>
      <w:r w:rsidRPr="00316FD3">
        <w:rPr>
          <w:rFonts w:ascii="Times New Roman" w:hAnsi="Times New Roman" w:cs="Times New Roman"/>
          <w:lang w:val="ca-ES"/>
        </w:rPr>
        <w:t>pensando</w:t>
      </w:r>
      <w:proofErr w:type="spellEnd"/>
      <w:r w:rsidRPr="00316FD3">
        <w:rPr>
          <w:rFonts w:ascii="Times New Roman" w:hAnsi="Times New Roman" w:cs="Times New Roman"/>
          <w:lang w:val="ca-ES"/>
        </w:rPr>
        <w:t xml:space="preserve"> sobre </w:t>
      </w:r>
      <w:proofErr w:type="spellStart"/>
      <w:r w:rsidRPr="00316FD3">
        <w:rPr>
          <w:rFonts w:ascii="Times New Roman" w:hAnsi="Times New Roman" w:cs="Times New Roman"/>
          <w:lang w:val="ca-ES"/>
        </w:rPr>
        <w:t>su</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compleja</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relación</w:t>
      </w:r>
      <w:proofErr w:type="spellEnd"/>
      <w:r w:rsidRPr="00316FD3">
        <w:rPr>
          <w:rFonts w:ascii="Times New Roman" w:hAnsi="Times New Roman" w:cs="Times New Roman"/>
          <w:lang w:val="ca-ES"/>
        </w:rPr>
        <w:t xml:space="preserve">", en BARONA VILAR, S. (dir.), </w:t>
      </w:r>
      <w:proofErr w:type="spellStart"/>
      <w:r w:rsidRPr="00316FD3">
        <w:rPr>
          <w:rFonts w:ascii="Times New Roman" w:hAnsi="Times New Roman" w:cs="Times New Roman"/>
          <w:i/>
          <w:lang w:val="ca-ES"/>
        </w:rPr>
        <w:t>Psicoanálisis</w:t>
      </w:r>
      <w:proofErr w:type="spellEnd"/>
      <w:r w:rsidRPr="00316FD3">
        <w:rPr>
          <w:rFonts w:ascii="Times New Roman" w:hAnsi="Times New Roman" w:cs="Times New Roman"/>
          <w:i/>
          <w:lang w:val="ca-ES"/>
        </w:rPr>
        <w:t xml:space="preserve"> del </w:t>
      </w:r>
      <w:proofErr w:type="spellStart"/>
      <w:r w:rsidRPr="00316FD3">
        <w:rPr>
          <w:rFonts w:ascii="Times New Roman" w:hAnsi="Times New Roman" w:cs="Times New Roman"/>
          <w:i/>
          <w:lang w:val="ca-ES"/>
        </w:rPr>
        <w:t>arbitraje</w:t>
      </w:r>
      <w:proofErr w:type="spellEnd"/>
      <w:r w:rsidRPr="00316FD3">
        <w:rPr>
          <w:rFonts w:ascii="Times New Roman" w:hAnsi="Times New Roman" w:cs="Times New Roman"/>
          <w:i/>
          <w:lang w:val="ca-ES"/>
        </w:rPr>
        <w:t xml:space="preserve">: </w:t>
      </w:r>
      <w:proofErr w:type="spellStart"/>
      <w:r w:rsidRPr="00316FD3">
        <w:rPr>
          <w:rFonts w:ascii="Times New Roman" w:hAnsi="Times New Roman" w:cs="Times New Roman"/>
          <w:i/>
          <w:lang w:val="ca-ES"/>
        </w:rPr>
        <w:t>solución</w:t>
      </w:r>
      <w:proofErr w:type="spellEnd"/>
      <w:r w:rsidRPr="00316FD3">
        <w:rPr>
          <w:rFonts w:ascii="Times New Roman" w:hAnsi="Times New Roman" w:cs="Times New Roman"/>
          <w:i/>
          <w:lang w:val="ca-ES"/>
        </w:rPr>
        <w:t xml:space="preserve"> o problema en el actual paradigma de la </w:t>
      </w:r>
      <w:proofErr w:type="spellStart"/>
      <w:r w:rsidRPr="00316FD3">
        <w:rPr>
          <w:rFonts w:ascii="Times New Roman" w:hAnsi="Times New Roman" w:cs="Times New Roman"/>
          <w:i/>
          <w:lang w:val="ca-ES"/>
        </w:rPr>
        <w:t>justicia</w:t>
      </w:r>
      <w:proofErr w:type="spellEnd"/>
      <w:r w:rsidRPr="00316FD3">
        <w:rPr>
          <w:rFonts w:ascii="Times New Roman" w:hAnsi="Times New Roman" w:cs="Times New Roman"/>
          <w:lang w:val="ca-ES"/>
        </w:rPr>
        <w:t xml:space="preserve">, Tirant lo Blanch, Valencia, 2020, p. </w:t>
      </w:r>
      <w:r w:rsidRPr="00316FD3">
        <w:rPr>
          <w:rFonts w:ascii="Times New Roman" w:hAnsi="Times New Roman" w:cs="Times New Roman"/>
          <w:lang w:val="es-ES"/>
        </w:rPr>
        <w:t>413; y, VALBUENA GONZÁLEZ, F., "La propuesta de reforma del Reglamento &lt;Bruselas I&gt;: Coordinación entre arbitraje y vía judicial en la Unión Europea", en PÉREZ GIL, J. y DE ROMÁN PÉREZ, R. (</w:t>
      </w:r>
      <w:proofErr w:type="spellStart"/>
      <w:r w:rsidRPr="00316FD3">
        <w:rPr>
          <w:rFonts w:ascii="Times New Roman" w:hAnsi="Times New Roman" w:cs="Times New Roman"/>
          <w:lang w:val="es-ES"/>
        </w:rPr>
        <w:t>dirs</w:t>
      </w:r>
      <w:proofErr w:type="spellEnd"/>
      <w:r w:rsidRPr="00316FD3">
        <w:rPr>
          <w:rFonts w:ascii="Times New Roman" w:hAnsi="Times New Roman" w:cs="Times New Roman"/>
          <w:lang w:val="es-ES"/>
        </w:rPr>
        <w:t xml:space="preserve">.), </w:t>
      </w:r>
      <w:r w:rsidRPr="00316FD3">
        <w:rPr>
          <w:rFonts w:ascii="Times New Roman" w:hAnsi="Times New Roman" w:cs="Times New Roman"/>
          <w:i/>
          <w:lang w:val="es-ES"/>
        </w:rPr>
        <w:t>Estudios jurídicos sobre la empresa y los negocios: una perspectiva multidisciplinar. Libro conmemorativo del XXV aniversario de la Facultad de Derecho de Burgos</w:t>
      </w:r>
      <w:r w:rsidRPr="00316FD3">
        <w:rPr>
          <w:rFonts w:ascii="Times New Roman" w:hAnsi="Times New Roman" w:cs="Times New Roman"/>
          <w:lang w:val="es-ES"/>
        </w:rPr>
        <w:t xml:space="preserve">, Universidad de Burgos, Burgos, 2011, p. 414. </w:t>
      </w:r>
    </w:p>
  </w:footnote>
  <w:footnote w:id="30">
    <w:p w:rsidR="00092E61" w:rsidRPr="00316FD3" w:rsidRDefault="00092E61" w:rsidP="006A39A0">
      <w:pPr>
        <w:pStyle w:val="Textdenotaapeudepgina"/>
        <w:jc w:val="both"/>
        <w:rPr>
          <w:rFonts w:ascii="Times New Roman" w:hAnsi="Times New Roman" w:cs="Times New Roman"/>
        </w:rPr>
      </w:pPr>
      <w:r w:rsidRPr="00316FD3">
        <w:rPr>
          <w:rStyle w:val="Refernciadenotaapeudepgina"/>
          <w:rFonts w:ascii="Times New Roman" w:hAnsi="Times New Roman" w:cs="Times New Roman"/>
        </w:rPr>
        <w:footnoteRef/>
      </w:r>
      <w:r w:rsidRPr="00F93482">
        <w:rPr>
          <w:rFonts w:ascii="Times New Roman" w:hAnsi="Times New Roman" w:cs="Times New Roman"/>
          <w:lang w:val="es-ES"/>
        </w:rPr>
        <w:t xml:space="preserve"> HARTLEY, T. C., “</w:t>
      </w:r>
      <w:proofErr w:type="spellStart"/>
      <w:r w:rsidRPr="00F93482">
        <w:rPr>
          <w:rFonts w:ascii="Times New Roman" w:hAnsi="Times New Roman" w:cs="Times New Roman"/>
          <w:lang w:val="es-ES"/>
        </w:rPr>
        <w:t>The</w:t>
      </w:r>
      <w:proofErr w:type="spellEnd"/>
      <w:r w:rsidRPr="00F93482">
        <w:rPr>
          <w:rFonts w:ascii="Times New Roman" w:hAnsi="Times New Roman" w:cs="Times New Roman"/>
          <w:lang w:val="es-ES"/>
        </w:rPr>
        <w:t xml:space="preserve"> </w:t>
      </w:r>
      <w:proofErr w:type="spellStart"/>
      <w:r w:rsidRPr="00F93482">
        <w:rPr>
          <w:rFonts w:ascii="Times New Roman" w:hAnsi="Times New Roman" w:cs="Times New Roman"/>
          <w:lang w:val="es-ES"/>
        </w:rPr>
        <w:t>Brussels</w:t>
      </w:r>
      <w:proofErr w:type="spellEnd"/>
      <w:r w:rsidRPr="00F93482">
        <w:rPr>
          <w:rFonts w:ascii="Times New Roman" w:hAnsi="Times New Roman" w:cs="Times New Roman"/>
          <w:lang w:val="es-ES"/>
        </w:rPr>
        <w:t xml:space="preserve"> I…”, </w:t>
      </w:r>
      <w:r w:rsidRPr="00F93482">
        <w:rPr>
          <w:rFonts w:ascii="Times New Roman" w:hAnsi="Times New Roman" w:cs="Times New Roman"/>
          <w:i/>
          <w:lang w:val="es-ES"/>
        </w:rPr>
        <w:t>cit.</w:t>
      </w:r>
      <w:r w:rsidRPr="00F93482">
        <w:rPr>
          <w:rFonts w:ascii="Times New Roman" w:hAnsi="Times New Roman" w:cs="Times New Roman"/>
          <w:lang w:val="es-ES"/>
        </w:rPr>
        <w:t xml:space="preserve">, p. 866; </w:t>
      </w:r>
      <w:bookmarkStart w:id="9" w:name="_Hlk75775420"/>
      <w:r w:rsidRPr="00F93482">
        <w:rPr>
          <w:rFonts w:ascii="Times New Roman" w:hAnsi="Times New Roman" w:cs="Times New Roman"/>
          <w:lang w:val="es-ES"/>
        </w:rPr>
        <w:t>FRANQ, S., "</w:t>
      </w:r>
      <w:proofErr w:type="spellStart"/>
      <w:r w:rsidRPr="00F93482">
        <w:rPr>
          <w:rFonts w:ascii="Times New Roman" w:hAnsi="Times New Roman" w:cs="Times New Roman"/>
          <w:lang w:val="es-ES"/>
        </w:rPr>
        <w:t>Commentary</w:t>
      </w:r>
      <w:proofErr w:type="spellEnd"/>
      <w:r w:rsidRPr="00F93482">
        <w:rPr>
          <w:rFonts w:ascii="Times New Roman" w:hAnsi="Times New Roman" w:cs="Times New Roman"/>
          <w:lang w:val="es-ES"/>
        </w:rPr>
        <w:t xml:space="preserve"> to art. 45", </w:t>
      </w:r>
      <w:bookmarkEnd w:id="9"/>
      <w:r w:rsidRPr="00F93482">
        <w:rPr>
          <w:rFonts w:ascii="Times New Roman" w:hAnsi="Times New Roman" w:cs="Times New Roman"/>
          <w:i/>
          <w:lang w:val="es-ES"/>
        </w:rPr>
        <w:t>cit.</w:t>
      </w:r>
      <w:r w:rsidRPr="00F93482">
        <w:rPr>
          <w:rFonts w:ascii="Times New Roman" w:hAnsi="Times New Roman" w:cs="Times New Roman"/>
          <w:lang w:val="es-ES"/>
        </w:rPr>
        <w:t xml:space="preserve">, </w:t>
      </w:r>
      <w:r w:rsidRPr="00316FD3">
        <w:rPr>
          <w:rFonts w:ascii="Times New Roman" w:hAnsi="Times New Roman" w:cs="Times New Roman"/>
          <w:lang w:val="es-ES"/>
        </w:rPr>
        <w:t xml:space="preserve">p. 922; y CALVO CARAVACA, A. L., y CARRASCOSA GONZÁLEZ, J., </w:t>
      </w:r>
      <w:r w:rsidRPr="00316FD3">
        <w:rPr>
          <w:rFonts w:ascii="Times New Roman" w:hAnsi="Times New Roman" w:cs="Times New Roman"/>
          <w:i/>
          <w:lang w:val="es-ES"/>
        </w:rPr>
        <w:t>Derecho internacional privado</w:t>
      </w:r>
      <w:r w:rsidRPr="00316FD3">
        <w:rPr>
          <w:rFonts w:ascii="Times New Roman" w:hAnsi="Times New Roman" w:cs="Times New Roman"/>
          <w:lang w:val="es-ES"/>
        </w:rPr>
        <w:t xml:space="preserve">, vol. </w:t>
      </w:r>
      <w:r w:rsidRPr="00316FD3">
        <w:rPr>
          <w:rFonts w:ascii="Times New Roman" w:hAnsi="Times New Roman" w:cs="Times New Roman"/>
        </w:rPr>
        <w:t xml:space="preserve">I, 15ª ed., </w:t>
      </w:r>
      <w:proofErr w:type="spellStart"/>
      <w:r w:rsidRPr="00316FD3">
        <w:rPr>
          <w:rFonts w:ascii="Times New Roman" w:hAnsi="Times New Roman" w:cs="Times New Roman"/>
        </w:rPr>
        <w:t>Comares</w:t>
      </w:r>
      <w:proofErr w:type="spellEnd"/>
      <w:r w:rsidRPr="00316FD3">
        <w:rPr>
          <w:rFonts w:ascii="Times New Roman" w:hAnsi="Times New Roman" w:cs="Times New Roman"/>
        </w:rPr>
        <w:t>, Granada, 2014, p. 608</w:t>
      </w:r>
      <w:r w:rsidRPr="00316FD3">
        <w:rPr>
          <w:rFonts w:ascii="Times New Roman" w:hAnsi="Times New Roman" w:cs="Times New Roman"/>
          <w:b/>
        </w:rPr>
        <w:t xml:space="preserve">. </w:t>
      </w:r>
    </w:p>
  </w:footnote>
  <w:footnote w:id="31">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rPr>
        <w:t xml:space="preserve"> HARTLEY, T. C., “The Brussels I…”, </w:t>
      </w:r>
      <w:r w:rsidRPr="00316FD3">
        <w:rPr>
          <w:rFonts w:ascii="Times New Roman" w:hAnsi="Times New Roman" w:cs="Times New Roman"/>
          <w:i/>
        </w:rPr>
        <w:t>cit.</w:t>
      </w:r>
      <w:r w:rsidRPr="00316FD3">
        <w:rPr>
          <w:rFonts w:ascii="Times New Roman" w:hAnsi="Times New Roman" w:cs="Times New Roman"/>
        </w:rPr>
        <w:t>, p. 866.</w:t>
      </w:r>
    </w:p>
  </w:footnote>
  <w:footnote w:id="32">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MARTÍNEZ SANTOS, A., "Reconocimiento y ejecución (II). Motivos de denegación del reconocimiento y la ejecución. Ejecución de transacciones y documentos públicos extranjeros", en DE LA OLIVA SANTOS, A. (</w:t>
      </w:r>
      <w:proofErr w:type="spellStart"/>
      <w:r w:rsidRPr="00316FD3">
        <w:rPr>
          <w:rFonts w:ascii="Times New Roman" w:hAnsi="Times New Roman" w:cs="Times New Roman"/>
          <w:lang w:val="es-ES"/>
        </w:rPr>
        <w:t>dir.</w:t>
      </w:r>
      <w:proofErr w:type="spellEnd"/>
      <w:r w:rsidRPr="00316FD3">
        <w:rPr>
          <w:rFonts w:ascii="Times New Roman" w:hAnsi="Times New Roman" w:cs="Times New Roman"/>
          <w:lang w:val="es-ES"/>
        </w:rPr>
        <w:t>) y GASCÓN INCHAUSTI, F. (coord.),</w:t>
      </w:r>
      <w:r w:rsidRPr="00316FD3">
        <w:rPr>
          <w:rFonts w:ascii="Times New Roman" w:hAnsi="Times New Roman" w:cs="Times New Roman"/>
          <w:i/>
          <w:lang w:val="es-ES"/>
        </w:rPr>
        <w:t xml:space="preserve"> Derecho procesal civil europeo</w:t>
      </w:r>
      <w:r w:rsidRPr="00316FD3">
        <w:rPr>
          <w:rFonts w:ascii="Times New Roman" w:hAnsi="Times New Roman" w:cs="Times New Roman"/>
          <w:lang w:val="es-ES"/>
        </w:rPr>
        <w:t>, vol. I. Competencia judicial internacional, reconocimiento y ejecución de resoluciones extranjeras en la Unión Europea, Aranzadi-Thomson Reuters, Cizur Menor, 2011, p. 398.</w:t>
      </w:r>
    </w:p>
  </w:footnote>
  <w:footnote w:id="33">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rPr>
        <w:t xml:space="preserve"> HESS, B., PFEIFFER, T. y SCHLOSSER, P., </w:t>
      </w:r>
      <w:r w:rsidRPr="00316FD3">
        <w:rPr>
          <w:rFonts w:ascii="Times New Roman" w:hAnsi="Times New Roman" w:cs="Times New Roman"/>
          <w:i/>
        </w:rPr>
        <w:t>The Brussels I-Regulation (EC) No 44/2001</w:t>
      </w:r>
      <w:r w:rsidRPr="00316FD3">
        <w:rPr>
          <w:rFonts w:ascii="Times New Roman" w:hAnsi="Times New Roman" w:cs="Times New Roman"/>
        </w:rPr>
        <w:t>, Verlag C. H. Beck München, Munich, 2008, p. 34.</w:t>
      </w:r>
    </w:p>
  </w:footnote>
  <w:footnote w:id="34">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SALERNO, F., “</w:t>
      </w:r>
      <w:proofErr w:type="spellStart"/>
      <w:r w:rsidRPr="00316FD3">
        <w:rPr>
          <w:rFonts w:ascii="Times New Roman" w:hAnsi="Times New Roman" w:cs="Times New Roman"/>
          <w:lang w:val="es-ES"/>
        </w:rPr>
        <w:t>Coordinamento</w:t>
      </w:r>
      <w:proofErr w:type="spellEnd"/>
      <w:r w:rsidRPr="00316FD3">
        <w:rPr>
          <w:rFonts w:ascii="Times New Roman" w:hAnsi="Times New Roman" w:cs="Times New Roman"/>
          <w:lang w:val="es-ES"/>
        </w:rPr>
        <w:t xml:space="preserve"> e </w:t>
      </w:r>
      <w:proofErr w:type="spellStart"/>
      <w:r w:rsidRPr="00316FD3">
        <w:rPr>
          <w:rFonts w:ascii="Times New Roman" w:hAnsi="Times New Roman" w:cs="Times New Roman"/>
          <w:lang w:val="es-ES"/>
        </w:rPr>
        <w:t>primato</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lang w:val="es-ES"/>
        </w:rPr>
        <w:t>tra</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lang w:val="es-ES"/>
        </w:rPr>
        <w:t>giurisdizioni</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lang w:val="es-ES"/>
        </w:rPr>
        <w:t>civili</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lang w:val="es-ES"/>
        </w:rPr>
        <w:t>nella</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lang w:val="es-ES"/>
        </w:rPr>
        <w:t>prospettiva</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lang w:val="es-ES"/>
        </w:rPr>
        <w:t>della</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lang w:val="es-ES"/>
        </w:rPr>
        <w:t>revisione</w:t>
      </w:r>
      <w:proofErr w:type="spellEnd"/>
      <w:r w:rsidRPr="00316FD3">
        <w:rPr>
          <w:rFonts w:ascii="Times New Roman" w:hAnsi="Times New Roman" w:cs="Times New Roman"/>
          <w:lang w:val="es-ES"/>
        </w:rPr>
        <w:t xml:space="preserve"> del </w:t>
      </w:r>
      <w:proofErr w:type="spellStart"/>
      <w:r w:rsidRPr="00316FD3">
        <w:rPr>
          <w:rFonts w:ascii="Times New Roman" w:hAnsi="Times New Roman" w:cs="Times New Roman"/>
          <w:lang w:val="es-ES"/>
        </w:rPr>
        <w:t>Regolamento</w:t>
      </w:r>
      <w:proofErr w:type="spellEnd"/>
      <w:r w:rsidRPr="00316FD3">
        <w:rPr>
          <w:rFonts w:ascii="Times New Roman" w:hAnsi="Times New Roman" w:cs="Times New Roman"/>
          <w:lang w:val="es-ES"/>
        </w:rPr>
        <w:t xml:space="preserve"> (CE) n. 44/2001”, en </w:t>
      </w:r>
      <w:r w:rsidRPr="00316FD3">
        <w:rPr>
          <w:rFonts w:ascii="Times New Roman" w:hAnsi="Times New Roman" w:cs="Times New Roman"/>
          <w:i/>
          <w:lang w:val="es-ES"/>
        </w:rPr>
        <w:t>Cuadernos de Derecho Transnacional</w:t>
      </w:r>
      <w:r w:rsidRPr="00316FD3">
        <w:rPr>
          <w:rFonts w:ascii="Times New Roman" w:hAnsi="Times New Roman" w:cs="Times New Roman"/>
          <w:lang w:val="es-ES"/>
        </w:rPr>
        <w:t>, 2010, vol. 2, n. 1, pp. 5-25, ap. 14, p. 18,</w:t>
      </w:r>
    </w:p>
  </w:footnote>
  <w:footnote w:id="35">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shd w:val="clear" w:color="auto" w:fill="FFFFFF"/>
          <w:lang w:val="es-ES"/>
        </w:rPr>
        <w:t xml:space="preserve">Informe del Sr. P. </w:t>
      </w:r>
      <w:proofErr w:type="spellStart"/>
      <w:r w:rsidRPr="00316FD3">
        <w:rPr>
          <w:rFonts w:ascii="Times New Roman" w:hAnsi="Times New Roman" w:cs="Times New Roman"/>
          <w:shd w:val="clear" w:color="auto" w:fill="FFFFFF"/>
          <w:lang w:val="es-ES"/>
        </w:rPr>
        <w:t>Jenard</w:t>
      </w:r>
      <w:proofErr w:type="spellEnd"/>
      <w:r w:rsidRPr="00316FD3">
        <w:rPr>
          <w:rFonts w:ascii="Times New Roman" w:hAnsi="Times New Roman" w:cs="Times New Roman"/>
          <w:shd w:val="clear" w:color="auto" w:fill="FFFFFF"/>
          <w:lang w:val="es-ES"/>
        </w:rPr>
        <w:t xml:space="preserve"> sobre el Convenio de 27 de septiembre de 1968 relativo a la competencia judicial y a la ejecución de resoluciones judiciales en materia civil y mercantil, </w:t>
      </w:r>
      <w:r w:rsidR="00F13E55" w:rsidRPr="00F13E55">
        <w:rPr>
          <w:rFonts w:ascii="Times New Roman" w:hAnsi="Times New Roman" w:cs="Times New Roman"/>
          <w:i/>
          <w:highlight w:val="yellow"/>
          <w:shd w:val="clear" w:color="auto" w:fill="FFFFFF"/>
          <w:lang w:val="es-ES"/>
        </w:rPr>
        <w:t>Diario Oficial de las Comunidades Europeas</w:t>
      </w:r>
      <w:r w:rsidR="00F13E55" w:rsidRPr="00F13E55">
        <w:rPr>
          <w:rFonts w:ascii="Times New Roman" w:hAnsi="Times New Roman" w:cs="Times New Roman"/>
          <w:highlight w:val="yellow"/>
          <w:shd w:val="clear" w:color="auto" w:fill="FFFFFF"/>
          <w:lang w:val="es-ES"/>
        </w:rPr>
        <w:t xml:space="preserve">, </w:t>
      </w:r>
      <w:r w:rsidR="00F13E55">
        <w:rPr>
          <w:rFonts w:ascii="Times New Roman" w:hAnsi="Times New Roman" w:cs="Times New Roman"/>
          <w:highlight w:val="yellow"/>
          <w:shd w:val="clear" w:color="auto" w:fill="FFFFFF"/>
          <w:lang w:val="es-ES"/>
        </w:rPr>
        <w:t xml:space="preserve">C </w:t>
      </w:r>
      <w:r w:rsidRPr="00F13E55">
        <w:rPr>
          <w:rStyle w:val="mfasi"/>
          <w:rFonts w:ascii="Times New Roman" w:hAnsi="Times New Roman" w:cs="Times New Roman"/>
          <w:i w:val="0"/>
          <w:highlight w:val="yellow"/>
          <w:shd w:val="clear" w:color="auto" w:fill="FFFFFF"/>
          <w:lang w:val="es-ES"/>
        </w:rPr>
        <w:t>189,</w:t>
      </w:r>
      <w:r w:rsidR="00F13E55" w:rsidRPr="00F13E55">
        <w:rPr>
          <w:rStyle w:val="mfasi"/>
          <w:rFonts w:ascii="Times New Roman" w:hAnsi="Times New Roman" w:cs="Times New Roman"/>
          <w:i w:val="0"/>
          <w:highlight w:val="yellow"/>
          <w:shd w:val="clear" w:color="auto" w:fill="FFFFFF"/>
          <w:lang w:val="es-ES"/>
        </w:rPr>
        <w:t xml:space="preserve"> de 28 de julio de </w:t>
      </w:r>
      <w:r w:rsidRPr="00F13E55">
        <w:rPr>
          <w:rStyle w:val="mfasi"/>
          <w:rFonts w:ascii="Times New Roman" w:hAnsi="Times New Roman" w:cs="Times New Roman"/>
          <w:i w:val="0"/>
          <w:highlight w:val="yellow"/>
          <w:shd w:val="clear" w:color="auto" w:fill="FFFFFF"/>
          <w:lang w:val="es-ES"/>
        </w:rPr>
        <w:t>1990</w:t>
      </w:r>
      <w:r w:rsidRPr="00316FD3">
        <w:rPr>
          <w:rStyle w:val="mfasi"/>
          <w:rFonts w:ascii="Times New Roman" w:hAnsi="Times New Roman" w:cs="Times New Roman"/>
          <w:shd w:val="clear" w:color="auto" w:fill="FFFFFF"/>
          <w:lang w:val="es-ES"/>
        </w:rPr>
        <w:t>,</w:t>
      </w:r>
      <w:r w:rsidRPr="00316FD3">
        <w:rPr>
          <w:rFonts w:ascii="Times New Roman" w:hAnsi="Times New Roman" w:cs="Times New Roman"/>
          <w:lang w:val="es-ES"/>
        </w:rPr>
        <w:t xml:space="preserve"> disponible en https://bit.ly/3gFyqGJ</w:t>
      </w:r>
    </w:p>
  </w:footnote>
  <w:footnote w:id="36">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FERNÁNDEZ ROZAS, J. C., “El Reglamento Bruselas I revisado y el arbitraje: crónica de un desencuentro”, en </w:t>
      </w:r>
      <w:r w:rsidRPr="00316FD3">
        <w:rPr>
          <w:rFonts w:ascii="Times New Roman" w:hAnsi="Times New Roman" w:cs="Times New Roman"/>
          <w:i/>
          <w:lang w:val="es-ES"/>
        </w:rPr>
        <w:t>La Ley Unión Europea</w:t>
      </w:r>
      <w:r w:rsidRPr="00316FD3">
        <w:rPr>
          <w:rFonts w:ascii="Times New Roman" w:hAnsi="Times New Roman" w:cs="Times New Roman"/>
          <w:lang w:val="es-ES"/>
        </w:rPr>
        <w:t xml:space="preserve">, núm. 9, noviembre, 2013, apartado II.1, punto 3, recuerda que hubo un debate entre las posiciones anglosajonas (favorables a la interpretación amplia de la exclusión del arbitraje, independientemente del objeto material del litigio) y las de los países originarios del Convenio de Bruselas, que mantenían que debía tenerse en cuenta, en primer lugar, el objeto material </w:t>
      </w:r>
    </w:p>
  </w:footnote>
  <w:footnote w:id="37">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Capítulo III, Sección IV, Apartado D. </w:t>
      </w:r>
    </w:p>
  </w:footnote>
  <w:footnote w:id="38">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FERNÁNDEZ ROZAS, J. C., "El Reglamento…”, </w:t>
      </w:r>
      <w:r w:rsidRPr="00316FD3">
        <w:rPr>
          <w:rFonts w:ascii="Times New Roman" w:hAnsi="Times New Roman" w:cs="Times New Roman"/>
          <w:i/>
          <w:lang w:val="es-ES"/>
        </w:rPr>
        <w:t>cit.</w:t>
      </w:r>
      <w:r w:rsidRPr="00316FD3">
        <w:rPr>
          <w:rFonts w:ascii="Times New Roman" w:hAnsi="Times New Roman" w:cs="Times New Roman"/>
          <w:lang w:val="es-ES"/>
        </w:rPr>
        <w:t xml:space="preserve">, apartado II.1, punto 4. </w:t>
      </w:r>
    </w:p>
  </w:footnote>
  <w:footnote w:id="39">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Diario Oficial de las Comunidades Europeas</w:t>
      </w:r>
      <w:r w:rsidRPr="00316FD3">
        <w:rPr>
          <w:rFonts w:ascii="Times New Roman" w:hAnsi="Times New Roman" w:cs="Times New Roman"/>
          <w:lang w:val="es-ES"/>
        </w:rPr>
        <w:t xml:space="preserve">, </w:t>
      </w:r>
      <w:r w:rsidRPr="00F13E55">
        <w:rPr>
          <w:rFonts w:ascii="Times New Roman" w:hAnsi="Times New Roman" w:cs="Times New Roman"/>
          <w:highlight w:val="yellow"/>
          <w:lang w:val="es-ES"/>
        </w:rPr>
        <w:t>C</w:t>
      </w:r>
      <w:r w:rsidRPr="00316FD3">
        <w:rPr>
          <w:rFonts w:ascii="Times New Roman" w:hAnsi="Times New Roman" w:cs="Times New Roman"/>
          <w:lang w:val="es-ES"/>
        </w:rPr>
        <w:t xml:space="preserve"> 198/184, de 28 de julio de 1990</w:t>
      </w:r>
      <w:r w:rsidR="00F13E55" w:rsidRPr="00F13E55">
        <w:rPr>
          <w:rFonts w:ascii="Times New Roman" w:hAnsi="Times New Roman" w:cs="Times New Roman"/>
          <w:highlight w:val="yellow"/>
          <w:lang w:val="es-ES"/>
        </w:rPr>
        <w:t>.</w:t>
      </w:r>
    </w:p>
  </w:footnote>
  <w:footnote w:id="40">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FERNÁNDEZ ROZAS, J. C., "El Reglamento…”, </w:t>
      </w:r>
      <w:r w:rsidRPr="00316FD3">
        <w:rPr>
          <w:rFonts w:ascii="Times New Roman" w:hAnsi="Times New Roman" w:cs="Times New Roman"/>
          <w:i/>
          <w:lang w:val="es-ES"/>
        </w:rPr>
        <w:t>cit.</w:t>
      </w:r>
      <w:r w:rsidRPr="00316FD3">
        <w:rPr>
          <w:rFonts w:ascii="Times New Roman" w:hAnsi="Times New Roman" w:cs="Times New Roman"/>
          <w:lang w:val="es-ES"/>
        </w:rPr>
        <w:t xml:space="preserve">, ap. II.1, punto 5. </w:t>
      </w:r>
    </w:p>
  </w:footnote>
  <w:footnote w:id="41">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Disponible en https://bit.ly/3gP3Afc</w:t>
      </w:r>
    </w:p>
  </w:footnote>
  <w:footnote w:id="42">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lang w:val="ca-ES"/>
        </w:rPr>
        <w:t xml:space="preserve">QUINZÁ REDONDO, P., "El </w:t>
      </w:r>
      <w:proofErr w:type="spellStart"/>
      <w:r w:rsidRPr="00316FD3">
        <w:rPr>
          <w:rFonts w:ascii="Times New Roman" w:hAnsi="Times New Roman" w:cs="Times New Roman"/>
          <w:lang w:val="ca-ES"/>
        </w:rPr>
        <w:t>arbitraje</w:t>
      </w:r>
      <w:proofErr w:type="spellEnd"/>
      <w:r w:rsidRPr="00316FD3">
        <w:rPr>
          <w:rFonts w:ascii="Times New Roman" w:hAnsi="Times New Roman" w:cs="Times New Roman"/>
          <w:lang w:val="ca-ES"/>
        </w:rPr>
        <w:t xml:space="preserve">...”, </w:t>
      </w:r>
      <w:r w:rsidRPr="00316FD3">
        <w:rPr>
          <w:rFonts w:ascii="Times New Roman" w:hAnsi="Times New Roman" w:cs="Times New Roman"/>
          <w:i/>
          <w:lang w:val="ca-ES"/>
        </w:rPr>
        <w:t>cit.</w:t>
      </w:r>
      <w:r w:rsidRPr="00316FD3">
        <w:rPr>
          <w:rFonts w:ascii="Times New Roman" w:hAnsi="Times New Roman" w:cs="Times New Roman"/>
          <w:lang w:val="ca-ES"/>
        </w:rPr>
        <w:t>, p. 415.</w:t>
      </w:r>
    </w:p>
  </w:footnote>
  <w:footnote w:id="43">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Disponible en https://bit.ly/2U7xpOS</w:t>
      </w:r>
    </w:p>
  </w:footnote>
  <w:footnote w:id="44">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lang w:val="ca-ES"/>
        </w:rPr>
        <w:t>GÓMEZ JENÉ, M., "</w:t>
      </w:r>
      <w:proofErr w:type="spellStart"/>
      <w:r w:rsidRPr="00316FD3">
        <w:rPr>
          <w:rFonts w:ascii="Times New Roman" w:hAnsi="Times New Roman" w:cs="Times New Roman"/>
          <w:lang w:val="ca-ES"/>
        </w:rPr>
        <w:t>Arbitraje</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medidas</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cautelares</w:t>
      </w:r>
      <w:proofErr w:type="spellEnd"/>
      <w:r w:rsidRPr="00316FD3">
        <w:rPr>
          <w:rFonts w:ascii="Times New Roman" w:hAnsi="Times New Roman" w:cs="Times New Roman"/>
          <w:lang w:val="ca-ES"/>
        </w:rPr>
        <w:t xml:space="preserve"> y Reglamento </w:t>
      </w:r>
      <w:proofErr w:type="spellStart"/>
      <w:r w:rsidRPr="00316FD3">
        <w:rPr>
          <w:rFonts w:ascii="Times New Roman" w:hAnsi="Times New Roman" w:cs="Times New Roman"/>
          <w:lang w:val="ca-ES"/>
        </w:rPr>
        <w:t>Bruselas</w:t>
      </w:r>
      <w:proofErr w:type="spellEnd"/>
      <w:r w:rsidRPr="00316FD3">
        <w:rPr>
          <w:rFonts w:ascii="Times New Roman" w:hAnsi="Times New Roman" w:cs="Times New Roman"/>
          <w:lang w:val="ca-ES"/>
        </w:rPr>
        <w:t xml:space="preserve"> I", en </w:t>
      </w:r>
      <w:proofErr w:type="spellStart"/>
      <w:r w:rsidRPr="00316FD3">
        <w:rPr>
          <w:rFonts w:ascii="Times New Roman" w:hAnsi="Times New Roman" w:cs="Times New Roman"/>
          <w:i/>
          <w:lang w:val="ca-ES"/>
        </w:rPr>
        <w:t>Diario</w:t>
      </w:r>
      <w:proofErr w:type="spellEnd"/>
      <w:r w:rsidRPr="00316FD3">
        <w:rPr>
          <w:rFonts w:ascii="Times New Roman" w:hAnsi="Times New Roman" w:cs="Times New Roman"/>
          <w:i/>
          <w:lang w:val="ca-ES"/>
        </w:rPr>
        <w:t xml:space="preserve"> La </w:t>
      </w:r>
      <w:proofErr w:type="spellStart"/>
      <w:r w:rsidRPr="00316FD3">
        <w:rPr>
          <w:rFonts w:ascii="Times New Roman" w:hAnsi="Times New Roman" w:cs="Times New Roman"/>
          <w:i/>
          <w:lang w:val="ca-ES"/>
        </w:rPr>
        <w:t>Ley</w:t>
      </w:r>
      <w:proofErr w:type="spellEnd"/>
      <w:r w:rsidRPr="00316FD3">
        <w:rPr>
          <w:rFonts w:ascii="Times New Roman" w:hAnsi="Times New Roman" w:cs="Times New Roman"/>
          <w:lang w:val="ca-ES"/>
        </w:rPr>
        <w:t xml:space="preserve">, n. 7601, 31 de </w:t>
      </w:r>
      <w:proofErr w:type="spellStart"/>
      <w:r w:rsidRPr="00316FD3">
        <w:rPr>
          <w:rFonts w:ascii="Times New Roman" w:hAnsi="Times New Roman" w:cs="Times New Roman"/>
          <w:lang w:val="ca-ES"/>
        </w:rPr>
        <w:t>marzo</w:t>
      </w:r>
      <w:proofErr w:type="spellEnd"/>
      <w:r w:rsidRPr="00316FD3">
        <w:rPr>
          <w:rFonts w:ascii="Times New Roman" w:hAnsi="Times New Roman" w:cs="Times New Roman"/>
          <w:lang w:val="ca-ES"/>
        </w:rPr>
        <w:t xml:space="preserve"> de 2011, ap. VI y QUINZÁ REDONDO, P., "El </w:t>
      </w:r>
      <w:proofErr w:type="spellStart"/>
      <w:r w:rsidRPr="00316FD3">
        <w:rPr>
          <w:rFonts w:ascii="Times New Roman" w:hAnsi="Times New Roman" w:cs="Times New Roman"/>
          <w:lang w:val="ca-ES"/>
        </w:rPr>
        <w:t>arbitraje</w:t>
      </w:r>
      <w:proofErr w:type="spellEnd"/>
      <w:r w:rsidRPr="00316FD3">
        <w:rPr>
          <w:rFonts w:ascii="Times New Roman" w:hAnsi="Times New Roman" w:cs="Times New Roman"/>
          <w:lang w:val="ca-ES"/>
        </w:rPr>
        <w:t xml:space="preserve">...", </w:t>
      </w:r>
      <w:r w:rsidRPr="00316FD3">
        <w:rPr>
          <w:rFonts w:ascii="Times New Roman" w:hAnsi="Times New Roman" w:cs="Times New Roman"/>
          <w:i/>
          <w:lang w:val="ca-ES"/>
        </w:rPr>
        <w:t>cit.</w:t>
      </w:r>
      <w:r w:rsidRPr="00316FD3">
        <w:rPr>
          <w:rFonts w:ascii="Times New Roman" w:hAnsi="Times New Roman" w:cs="Times New Roman"/>
          <w:lang w:val="ca-ES"/>
        </w:rPr>
        <w:t>, p. 416</w:t>
      </w:r>
    </w:p>
  </w:footnote>
  <w:footnote w:id="45">
    <w:p w:rsidR="00092E61" w:rsidRPr="00316FD3" w:rsidRDefault="00092E61" w:rsidP="006A39A0">
      <w:pPr>
        <w:spacing w:after="0" w:line="240" w:lineRule="auto"/>
        <w:jc w:val="both"/>
        <w:rPr>
          <w:rFonts w:ascii="Times New Roman" w:hAnsi="Times New Roman" w:cs="Times New Roman"/>
          <w:sz w:val="20"/>
          <w:szCs w:val="20"/>
          <w:lang w:val="ca-ES"/>
        </w:rPr>
      </w:pPr>
      <w:r w:rsidRPr="00316FD3">
        <w:rPr>
          <w:rStyle w:val="Refernciadenotaapeudepgina"/>
          <w:rFonts w:ascii="Times New Roman" w:hAnsi="Times New Roman" w:cs="Times New Roman"/>
          <w:sz w:val="20"/>
          <w:szCs w:val="20"/>
        </w:rPr>
        <w:footnoteRef/>
      </w:r>
      <w:r w:rsidRPr="00316FD3">
        <w:rPr>
          <w:rFonts w:ascii="Times New Roman" w:hAnsi="Times New Roman" w:cs="Times New Roman"/>
          <w:sz w:val="20"/>
          <w:szCs w:val="20"/>
        </w:rPr>
        <w:t xml:space="preserve"> </w:t>
      </w:r>
      <w:r w:rsidRPr="00316FD3">
        <w:rPr>
          <w:rFonts w:ascii="Times New Roman" w:hAnsi="Times New Roman" w:cs="Times New Roman"/>
          <w:sz w:val="20"/>
          <w:szCs w:val="20"/>
          <w:shd w:val="clear" w:color="auto" w:fill="FFFFFF"/>
        </w:rPr>
        <w:t xml:space="preserve">DE LA MATA, F., “El arbitraje y el Nuevo Reglamento 1215/2012. Una solución de compromiso al duelo de titanes, en </w:t>
      </w:r>
      <w:r w:rsidRPr="00316FD3">
        <w:rPr>
          <w:rFonts w:ascii="Times New Roman" w:hAnsi="Times New Roman" w:cs="Times New Roman"/>
          <w:i/>
          <w:sz w:val="20"/>
          <w:szCs w:val="20"/>
          <w:shd w:val="clear" w:color="auto" w:fill="FFFFFF"/>
        </w:rPr>
        <w:t>Justicia</w:t>
      </w:r>
      <w:r w:rsidRPr="00316FD3">
        <w:rPr>
          <w:rFonts w:ascii="Times New Roman" w:hAnsi="Times New Roman" w:cs="Times New Roman"/>
          <w:sz w:val="20"/>
          <w:szCs w:val="20"/>
          <w:shd w:val="clear" w:color="auto" w:fill="FFFFFF"/>
        </w:rPr>
        <w:t>, 2015, n. 1, p. 274</w:t>
      </w:r>
      <w:r w:rsidR="00A13FA8">
        <w:rPr>
          <w:rFonts w:ascii="Times New Roman" w:hAnsi="Times New Roman" w:cs="Times New Roman"/>
          <w:sz w:val="20"/>
          <w:szCs w:val="20"/>
          <w:shd w:val="clear" w:color="auto" w:fill="FFFFFF"/>
        </w:rPr>
        <w:t xml:space="preserve"> y </w:t>
      </w:r>
      <w:r w:rsidR="00A13FA8" w:rsidRPr="00316FD3">
        <w:rPr>
          <w:rFonts w:ascii="Times New Roman" w:hAnsi="Times New Roman" w:cs="Times New Roman"/>
          <w:lang w:val="ca-ES"/>
        </w:rPr>
        <w:t>BERMANN, G. A., "</w:t>
      </w:r>
      <w:proofErr w:type="spellStart"/>
      <w:r w:rsidR="00A13FA8" w:rsidRPr="00316FD3">
        <w:rPr>
          <w:rFonts w:ascii="Times New Roman" w:hAnsi="Times New Roman" w:cs="Times New Roman"/>
          <w:lang w:val="ca-ES"/>
        </w:rPr>
        <w:t>European</w:t>
      </w:r>
      <w:proofErr w:type="spellEnd"/>
      <w:r w:rsidR="00A13FA8" w:rsidRPr="00316FD3">
        <w:rPr>
          <w:rFonts w:ascii="Times New Roman" w:hAnsi="Times New Roman" w:cs="Times New Roman"/>
          <w:lang w:val="ca-ES"/>
        </w:rPr>
        <w:t xml:space="preserve"> Union Law </w:t>
      </w:r>
      <w:proofErr w:type="spellStart"/>
      <w:r w:rsidR="00A13FA8" w:rsidRPr="00316FD3">
        <w:rPr>
          <w:rFonts w:ascii="Times New Roman" w:hAnsi="Times New Roman" w:cs="Times New Roman"/>
          <w:lang w:val="ca-ES"/>
        </w:rPr>
        <w:t>and</w:t>
      </w:r>
      <w:proofErr w:type="spellEnd"/>
      <w:r w:rsidR="00A13FA8" w:rsidRPr="00316FD3">
        <w:rPr>
          <w:rFonts w:ascii="Times New Roman" w:hAnsi="Times New Roman" w:cs="Times New Roman"/>
          <w:lang w:val="ca-ES"/>
        </w:rPr>
        <w:t xml:space="preserve"> International </w:t>
      </w:r>
      <w:proofErr w:type="spellStart"/>
      <w:r w:rsidR="00A13FA8" w:rsidRPr="00316FD3">
        <w:rPr>
          <w:rFonts w:ascii="Times New Roman" w:hAnsi="Times New Roman" w:cs="Times New Roman"/>
          <w:lang w:val="ca-ES"/>
        </w:rPr>
        <w:t>Arbitration</w:t>
      </w:r>
      <w:proofErr w:type="spellEnd"/>
      <w:r w:rsidR="00A13FA8" w:rsidRPr="00316FD3">
        <w:rPr>
          <w:rFonts w:ascii="Times New Roman" w:hAnsi="Times New Roman" w:cs="Times New Roman"/>
          <w:lang w:val="ca-ES"/>
        </w:rPr>
        <w:t xml:space="preserve"> </w:t>
      </w:r>
      <w:proofErr w:type="spellStart"/>
      <w:r w:rsidR="00A13FA8" w:rsidRPr="00316FD3">
        <w:rPr>
          <w:rFonts w:ascii="Times New Roman" w:hAnsi="Times New Roman" w:cs="Times New Roman"/>
          <w:lang w:val="ca-ES"/>
        </w:rPr>
        <w:t>at</w:t>
      </w:r>
      <w:proofErr w:type="spellEnd"/>
      <w:r w:rsidR="00A13FA8" w:rsidRPr="00316FD3">
        <w:rPr>
          <w:rFonts w:ascii="Times New Roman" w:hAnsi="Times New Roman" w:cs="Times New Roman"/>
          <w:lang w:val="ca-ES"/>
        </w:rPr>
        <w:t xml:space="preserve"> a </w:t>
      </w:r>
      <w:proofErr w:type="spellStart"/>
      <w:r w:rsidR="00A13FA8" w:rsidRPr="00316FD3">
        <w:rPr>
          <w:rFonts w:ascii="Times New Roman" w:hAnsi="Times New Roman" w:cs="Times New Roman"/>
          <w:lang w:val="ca-ES"/>
        </w:rPr>
        <w:t>Crossroads</w:t>
      </w:r>
      <w:proofErr w:type="spellEnd"/>
      <w:r w:rsidR="00A13FA8" w:rsidRPr="00316FD3">
        <w:rPr>
          <w:rFonts w:ascii="Times New Roman" w:hAnsi="Times New Roman" w:cs="Times New Roman"/>
          <w:lang w:val="ca-ES"/>
        </w:rPr>
        <w:t xml:space="preserve">", en </w:t>
      </w:r>
      <w:proofErr w:type="spellStart"/>
      <w:r w:rsidR="00A13FA8" w:rsidRPr="00316FD3">
        <w:rPr>
          <w:rFonts w:ascii="Times New Roman" w:hAnsi="Times New Roman" w:cs="Times New Roman"/>
          <w:i/>
          <w:lang w:val="ca-ES"/>
        </w:rPr>
        <w:t>Fordham</w:t>
      </w:r>
      <w:proofErr w:type="spellEnd"/>
      <w:r w:rsidR="00A13FA8" w:rsidRPr="00316FD3">
        <w:rPr>
          <w:rFonts w:ascii="Times New Roman" w:hAnsi="Times New Roman" w:cs="Times New Roman"/>
          <w:i/>
          <w:lang w:val="ca-ES"/>
        </w:rPr>
        <w:t xml:space="preserve"> International Law </w:t>
      </w:r>
      <w:proofErr w:type="spellStart"/>
      <w:r w:rsidR="00A13FA8" w:rsidRPr="00316FD3">
        <w:rPr>
          <w:rFonts w:ascii="Times New Roman" w:hAnsi="Times New Roman" w:cs="Times New Roman"/>
          <w:i/>
          <w:lang w:val="ca-ES"/>
        </w:rPr>
        <w:t>Journal</w:t>
      </w:r>
      <w:proofErr w:type="spellEnd"/>
      <w:r w:rsidR="00A13FA8" w:rsidRPr="00316FD3">
        <w:rPr>
          <w:rFonts w:ascii="Times New Roman" w:hAnsi="Times New Roman" w:cs="Times New Roman"/>
          <w:lang w:val="ca-ES"/>
        </w:rPr>
        <w:t>, vol. 42, 967, 2019, p. 971.</w:t>
      </w:r>
    </w:p>
  </w:footnote>
  <w:footnote w:id="46">
    <w:p w:rsidR="00092E61" w:rsidRPr="00316FD3" w:rsidRDefault="00092E61" w:rsidP="00E35553">
      <w:pPr>
        <w:spacing w:after="0" w:line="240" w:lineRule="auto"/>
        <w:jc w:val="both"/>
        <w:rPr>
          <w:rFonts w:ascii="Times New Roman" w:hAnsi="Times New Roman" w:cs="Times New Roman"/>
          <w:sz w:val="20"/>
          <w:szCs w:val="20"/>
          <w:lang w:val="ca-ES"/>
        </w:rPr>
      </w:pPr>
      <w:r w:rsidRPr="00316FD3">
        <w:rPr>
          <w:rStyle w:val="Refernciadenotaapeudepgina"/>
          <w:rFonts w:ascii="Times New Roman" w:hAnsi="Times New Roman" w:cs="Times New Roman"/>
          <w:sz w:val="20"/>
          <w:szCs w:val="20"/>
        </w:rPr>
        <w:footnoteRef/>
      </w:r>
      <w:r w:rsidRPr="00316FD3">
        <w:rPr>
          <w:rFonts w:ascii="Times New Roman" w:hAnsi="Times New Roman" w:cs="Times New Roman"/>
          <w:sz w:val="20"/>
          <w:szCs w:val="20"/>
        </w:rPr>
        <w:t xml:space="preserve"> </w:t>
      </w:r>
      <w:r w:rsidRPr="00316FD3">
        <w:rPr>
          <w:rFonts w:ascii="Times New Roman" w:hAnsi="Times New Roman" w:cs="Times New Roman"/>
          <w:sz w:val="20"/>
          <w:szCs w:val="20"/>
          <w:shd w:val="clear" w:color="auto" w:fill="FFFFFF"/>
        </w:rPr>
        <w:t xml:space="preserve">DE LA MATA, F., “El arbitraje...", </w:t>
      </w:r>
      <w:r w:rsidRPr="00316FD3">
        <w:rPr>
          <w:rFonts w:ascii="Times New Roman" w:hAnsi="Times New Roman" w:cs="Times New Roman"/>
          <w:i/>
          <w:sz w:val="20"/>
          <w:szCs w:val="20"/>
          <w:shd w:val="clear" w:color="auto" w:fill="FFFFFF"/>
        </w:rPr>
        <w:t>cit</w:t>
      </w:r>
      <w:r w:rsidRPr="00316FD3">
        <w:rPr>
          <w:rFonts w:ascii="Times New Roman" w:hAnsi="Times New Roman" w:cs="Times New Roman"/>
          <w:sz w:val="20"/>
          <w:szCs w:val="20"/>
          <w:shd w:val="clear" w:color="auto" w:fill="FFFFFF"/>
        </w:rPr>
        <w:t>., p. 276, señala que, e</w:t>
      </w:r>
      <w:r w:rsidRPr="00316FD3">
        <w:rPr>
          <w:rFonts w:ascii="Times New Roman" w:hAnsi="Times New Roman" w:cs="Times New Roman"/>
          <w:sz w:val="20"/>
          <w:szCs w:val="20"/>
        </w:rPr>
        <w:t>n el terreno de la práctica, el TJCE daba por buena la estrategia de las «demandas torpedo».</w:t>
      </w:r>
    </w:p>
  </w:footnote>
  <w:footnote w:id="47">
    <w:p w:rsidR="00092E61" w:rsidRPr="00316FD3" w:rsidRDefault="00092E61" w:rsidP="00E35553">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BERMANN, G. A., "</w:t>
      </w:r>
      <w:proofErr w:type="spellStart"/>
      <w:r w:rsidRPr="00316FD3">
        <w:rPr>
          <w:rFonts w:ascii="Times New Roman" w:hAnsi="Times New Roman" w:cs="Times New Roman"/>
          <w:lang w:val="ca-ES"/>
        </w:rPr>
        <w:t>Navigating</w:t>
      </w:r>
      <w:proofErr w:type="spellEnd"/>
      <w:r w:rsidRPr="00316FD3">
        <w:rPr>
          <w:rFonts w:ascii="Times New Roman" w:hAnsi="Times New Roman" w:cs="Times New Roman"/>
          <w:lang w:val="ca-ES"/>
        </w:rPr>
        <w:t xml:space="preserve"> EU Law </w:t>
      </w:r>
      <w:proofErr w:type="spellStart"/>
      <w:r w:rsidRPr="00316FD3">
        <w:rPr>
          <w:rFonts w:ascii="Times New Roman" w:hAnsi="Times New Roman" w:cs="Times New Roman"/>
          <w:lang w:val="ca-ES"/>
        </w:rPr>
        <w:t>and</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the</w:t>
      </w:r>
      <w:proofErr w:type="spellEnd"/>
      <w:r w:rsidRPr="00316FD3">
        <w:rPr>
          <w:rFonts w:ascii="Times New Roman" w:hAnsi="Times New Roman" w:cs="Times New Roman"/>
          <w:lang w:val="ca-ES"/>
        </w:rPr>
        <w:t xml:space="preserve"> Law of International </w:t>
      </w:r>
      <w:proofErr w:type="spellStart"/>
      <w:r w:rsidRPr="00316FD3">
        <w:rPr>
          <w:rFonts w:ascii="Times New Roman" w:hAnsi="Times New Roman" w:cs="Times New Roman"/>
          <w:lang w:val="ca-ES"/>
        </w:rPr>
        <w:t>Arbitration</w:t>
      </w:r>
      <w:proofErr w:type="spellEnd"/>
      <w:r w:rsidRPr="00316FD3">
        <w:rPr>
          <w:rFonts w:ascii="Times New Roman" w:hAnsi="Times New Roman" w:cs="Times New Roman"/>
          <w:lang w:val="ca-ES"/>
        </w:rPr>
        <w:t xml:space="preserve">", en </w:t>
      </w:r>
      <w:proofErr w:type="spellStart"/>
      <w:r w:rsidRPr="00316FD3">
        <w:rPr>
          <w:rFonts w:ascii="Times New Roman" w:hAnsi="Times New Roman" w:cs="Times New Roman"/>
          <w:i/>
          <w:lang w:val="ca-ES"/>
        </w:rPr>
        <w:t>Columbian</w:t>
      </w:r>
      <w:proofErr w:type="spellEnd"/>
      <w:r w:rsidRPr="00316FD3">
        <w:rPr>
          <w:rFonts w:ascii="Times New Roman" w:hAnsi="Times New Roman" w:cs="Times New Roman"/>
          <w:i/>
          <w:lang w:val="ca-ES"/>
        </w:rPr>
        <w:t xml:space="preserve"> Law </w:t>
      </w:r>
      <w:proofErr w:type="spellStart"/>
      <w:r w:rsidRPr="00316FD3">
        <w:rPr>
          <w:rFonts w:ascii="Times New Roman" w:hAnsi="Times New Roman" w:cs="Times New Roman"/>
          <w:i/>
          <w:lang w:val="ca-ES"/>
        </w:rPr>
        <w:t>School</w:t>
      </w:r>
      <w:proofErr w:type="spellEnd"/>
      <w:r w:rsidRPr="00316FD3">
        <w:rPr>
          <w:rFonts w:ascii="Times New Roman" w:hAnsi="Times New Roman" w:cs="Times New Roman"/>
          <w:lang w:val="ca-ES"/>
        </w:rPr>
        <w:t xml:space="preserve">, 2012, p. 403. </w:t>
      </w:r>
    </w:p>
  </w:footnote>
  <w:footnote w:id="48">
    <w:p w:rsidR="00092E61" w:rsidRPr="00316FD3" w:rsidRDefault="00092E61" w:rsidP="00E35553">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w:t>
      </w:r>
      <w:r w:rsidRPr="00316FD3">
        <w:rPr>
          <w:rFonts w:ascii="Times New Roman" w:hAnsi="Times New Roman" w:cs="Times New Roman"/>
          <w:lang w:val="es-ES"/>
        </w:rPr>
        <w:t xml:space="preserve">FERNÁNDEZ ROZAS, J. C., "El Reglamento...", </w:t>
      </w:r>
      <w:r w:rsidRPr="00316FD3">
        <w:rPr>
          <w:rFonts w:ascii="Times New Roman" w:hAnsi="Times New Roman" w:cs="Times New Roman"/>
          <w:i/>
          <w:lang w:val="es-ES"/>
        </w:rPr>
        <w:t>cit.</w:t>
      </w:r>
      <w:r w:rsidRPr="00316FD3">
        <w:rPr>
          <w:rFonts w:ascii="Times New Roman" w:hAnsi="Times New Roman" w:cs="Times New Roman"/>
          <w:lang w:val="es-ES"/>
        </w:rPr>
        <w:t xml:space="preserve">, ap. III.2, p. </w:t>
      </w:r>
      <w:r w:rsidRPr="00316FD3">
        <w:rPr>
          <w:rFonts w:ascii="Times New Roman" w:hAnsi="Times New Roman" w:cs="Times New Roman"/>
          <w:lang w:val="ca-ES"/>
        </w:rPr>
        <w:t>12</w:t>
      </w:r>
    </w:p>
  </w:footnote>
  <w:footnote w:id="49">
    <w:p w:rsidR="00092E61" w:rsidRPr="00316FD3" w:rsidRDefault="00092E61" w:rsidP="00E35553">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w:t>
      </w:r>
      <w:r w:rsidRPr="00316FD3">
        <w:rPr>
          <w:rFonts w:ascii="Times New Roman" w:hAnsi="Times New Roman" w:cs="Times New Roman"/>
          <w:lang w:val="es-ES"/>
        </w:rPr>
        <w:t xml:space="preserve">FERNÁNDEZ ROZAS, J. C., "El Reglamento...", </w:t>
      </w:r>
      <w:r w:rsidRPr="00316FD3">
        <w:rPr>
          <w:rFonts w:ascii="Times New Roman" w:hAnsi="Times New Roman" w:cs="Times New Roman"/>
          <w:i/>
          <w:lang w:val="es-ES"/>
        </w:rPr>
        <w:t>cit.</w:t>
      </w:r>
      <w:r w:rsidRPr="00316FD3">
        <w:rPr>
          <w:rFonts w:ascii="Times New Roman" w:hAnsi="Times New Roman" w:cs="Times New Roman"/>
          <w:lang w:val="es-ES"/>
        </w:rPr>
        <w:t xml:space="preserve">, ap. IV.3, punto </w:t>
      </w:r>
      <w:r w:rsidRPr="00316FD3">
        <w:rPr>
          <w:rFonts w:ascii="Times New Roman" w:hAnsi="Times New Roman" w:cs="Times New Roman"/>
          <w:lang w:val="ca-ES"/>
        </w:rPr>
        <w:t>19.</w:t>
      </w:r>
    </w:p>
  </w:footnote>
  <w:footnote w:id="50">
    <w:p w:rsidR="00092E61" w:rsidRPr="00316FD3" w:rsidRDefault="00092E61" w:rsidP="00E35553">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w:t>
      </w:r>
      <w:r w:rsidRPr="00316FD3">
        <w:rPr>
          <w:rFonts w:ascii="Times New Roman" w:hAnsi="Times New Roman" w:cs="Times New Roman"/>
          <w:lang w:val="es-ES"/>
        </w:rPr>
        <w:t xml:space="preserve">FERNÁNDEZ ROZAS, J. C., "El Reglamento...", </w:t>
      </w:r>
      <w:r w:rsidRPr="00316FD3">
        <w:rPr>
          <w:rFonts w:ascii="Times New Roman" w:hAnsi="Times New Roman" w:cs="Times New Roman"/>
          <w:i/>
          <w:lang w:val="es-ES"/>
        </w:rPr>
        <w:t>cit.</w:t>
      </w:r>
      <w:r w:rsidRPr="00316FD3">
        <w:rPr>
          <w:rFonts w:ascii="Times New Roman" w:hAnsi="Times New Roman" w:cs="Times New Roman"/>
          <w:lang w:val="es-ES"/>
        </w:rPr>
        <w:t xml:space="preserve">, ap. V, punto </w:t>
      </w:r>
      <w:r w:rsidRPr="00316FD3">
        <w:rPr>
          <w:rFonts w:ascii="Times New Roman" w:hAnsi="Times New Roman" w:cs="Times New Roman"/>
          <w:lang w:val="ca-ES"/>
        </w:rPr>
        <w:t>21.</w:t>
      </w:r>
    </w:p>
  </w:footnote>
  <w:footnote w:id="51">
    <w:p w:rsidR="00092E61" w:rsidRPr="00F93482"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ca-ES"/>
        </w:rPr>
        <w:t xml:space="preserve"> Disponible en https://bit.ly/3x0Pywk</w:t>
      </w:r>
    </w:p>
  </w:footnote>
  <w:footnote w:id="52">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rPr>
        <w:t xml:space="preserve"> </w:t>
      </w:r>
      <w:r w:rsidRPr="00316FD3">
        <w:rPr>
          <w:rFonts w:ascii="Times New Roman" w:hAnsi="Times New Roman" w:cs="Times New Roman"/>
          <w:lang w:val="ca-ES"/>
        </w:rPr>
        <w:t xml:space="preserve">QUINZÁ REDONDO, P., "El </w:t>
      </w:r>
      <w:proofErr w:type="spellStart"/>
      <w:r w:rsidRPr="00316FD3">
        <w:rPr>
          <w:rFonts w:ascii="Times New Roman" w:hAnsi="Times New Roman" w:cs="Times New Roman"/>
          <w:lang w:val="ca-ES"/>
        </w:rPr>
        <w:t>arbitraje</w:t>
      </w:r>
      <w:proofErr w:type="spellEnd"/>
      <w:r w:rsidRPr="00316FD3">
        <w:rPr>
          <w:rFonts w:ascii="Times New Roman" w:hAnsi="Times New Roman" w:cs="Times New Roman"/>
          <w:lang w:val="ca-ES"/>
        </w:rPr>
        <w:t xml:space="preserve">...", </w:t>
      </w:r>
      <w:r w:rsidRPr="00316FD3">
        <w:rPr>
          <w:rFonts w:ascii="Times New Roman" w:hAnsi="Times New Roman" w:cs="Times New Roman"/>
          <w:i/>
          <w:lang w:val="ca-ES"/>
        </w:rPr>
        <w:t>op. cit.</w:t>
      </w:r>
      <w:r w:rsidRPr="00316FD3">
        <w:rPr>
          <w:rFonts w:ascii="Times New Roman" w:hAnsi="Times New Roman" w:cs="Times New Roman"/>
          <w:lang w:val="ca-ES"/>
        </w:rPr>
        <w:t>, p. 419 y SUNDARAN, J., "</w:t>
      </w:r>
      <w:proofErr w:type="spellStart"/>
      <w:r w:rsidRPr="00316FD3">
        <w:rPr>
          <w:rFonts w:ascii="Times New Roman" w:hAnsi="Times New Roman" w:cs="Times New Roman"/>
          <w:lang w:val="ca-ES"/>
        </w:rPr>
        <w:t>Does</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the</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judgment</w:t>
      </w:r>
      <w:proofErr w:type="spellEnd"/>
      <w:r w:rsidRPr="00316FD3">
        <w:rPr>
          <w:rFonts w:ascii="Times New Roman" w:hAnsi="Times New Roman" w:cs="Times New Roman"/>
          <w:lang w:val="ca-ES"/>
        </w:rPr>
        <w:t xml:space="preserve"> of </w:t>
      </w:r>
      <w:proofErr w:type="spellStart"/>
      <w:r w:rsidRPr="00316FD3">
        <w:rPr>
          <w:rFonts w:ascii="Times New Roman" w:hAnsi="Times New Roman" w:cs="Times New Roman"/>
          <w:lang w:val="ca-ES"/>
        </w:rPr>
        <w:t>the</w:t>
      </w:r>
      <w:proofErr w:type="spellEnd"/>
      <w:r w:rsidRPr="00316FD3">
        <w:rPr>
          <w:rFonts w:ascii="Times New Roman" w:hAnsi="Times New Roman" w:cs="Times New Roman"/>
          <w:lang w:val="ca-ES"/>
        </w:rPr>
        <w:t xml:space="preserve"> CJEU in </w:t>
      </w:r>
      <w:proofErr w:type="spellStart"/>
      <w:r w:rsidRPr="00316FD3">
        <w:rPr>
          <w:rFonts w:ascii="Times New Roman" w:hAnsi="Times New Roman" w:cs="Times New Roman"/>
          <w:lang w:val="ca-ES"/>
        </w:rPr>
        <w:t>Gazprom</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bring</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about</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clarity</w:t>
      </w:r>
      <w:proofErr w:type="spellEnd"/>
      <w:r w:rsidRPr="00316FD3">
        <w:rPr>
          <w:rFonts w:ascii="Times New Roman" w:hAnsi="Times New Roman" w:cs="Times New Roman"/>
          <w:lang w:val="ca-ES"/>
        </w:rPr>
        <w:t xml:space="preserve"> on </w:t>
      </w:r>
      <w:proofErr w:type="spellStart"/>
      <w:r w:rsidRPr="00316FD3">
        <w:rPr>
          <w:rFonts w:ascii="Times New Roman" w:hAnsi="Times New Roman" w:cs="Times New Roman"/>
          <w:lang w:val="ca-ES"/>
        </w:rPr>
        <w:t>the</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grant</w:t>
      </w:r>
      <w:proofErr w:type="spellEnd"/>
      <w:r w:rsidRPr="00316FD3">
        <w:rPr>
          <w:rFonts w:ascii="Times New Roman" w:hAnsi="Times New Roman" w:cs="Times New Roman"/>
          <w:lang w:val="ca-ES"/>
        </w:rPr>
        <w:t xml:space="preserve"> of </w:t>
      </w:r>
      <w:proofErr w:type="spellStart"/>
      <w:r w:rsidRPr="00316FD3">
        <w:rPr>
          <w:rFonts w:ascii="Times New Roman" w:hAnsi="Times New Roman" w:cs="Times New Roman"/>
          <w:lang w:val="ca-ES"/>
        </w:rPr>
        <w:t>anti-suit</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injunctions</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under</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the</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Brussels</w:t>
      </w:r>
      <w:proofErr w:type="spellEnd"/>
      <w:r w:rsidRPr="00316FD3">
        <w:rPr>
          <w:rFonts w:ascii="Times New Roman" w:hAnsi="Times New Roman" w:cs="Times New Roman"/>
          <w:lang w:val="ca-ES"/>
        </w:rPr>
        <w:t xml:space="preserve"> I </w:t>
      </w:r>
      <w:proofErr w:type="spellStart"/>
      <w:r w:rsidRPr="00316FD3">
        <w:rPr>
          <w:rFonts w:ascii="Times New Roman" w:hAnsi="Times New Roman" w:cs="Times New Roman"/>
          <w:lang w:val="ca-ES"/>
        </w:rPr>
        <w:t>Regulation</w:t>
      </w:r>
      <w:proofErr w:type="spellEnd"/>
      <w:r w:rsidRPr="00316FD3">
        <w:rPr>
          <w:rFonts w:ascii="Times New Roman" w:hAnsi="Times New Roman" w:cs="Times New Roman"/>
          <w:lang w:val="ca-ES"/>
        </w:rPr>
        <w:t xml:space="preserve">?", in </w:t>
      </w:r>
      <w:proofErr w:type="spellStart"/>
      <w:r w:rsidRPr="00316FD3">
        <w:rPr>
          <w:rFonts w:ascii="Times New Roman" w:hAnsi="Times New Roman" w:cs="Times New Roman"/>
          <w:i/>
          <w:lang w:val="ca-ES"/>
        </w:rPr>
        <w:t>Denning</w:t>
      </w:r>
      <w:proofErr w:type="spellEnd"/>
      <w:r w:rsidRPr="00316FD3">
        <w:rPr>
          <w:rFonts w:ascii="Times New Roman" w:hAnsi="Times New Roman" w:cs="Times New Roman"/>
          <w:i/>
          <w:lang w:val="ca-ES"/>
        </w:rPr>
        <w:t xml:space="preserve"> Law </w:t>
      </w:r>
      <w:proofErr w:type="spellStart"/>
      <w:r w:rsidRPr="00316FD3">
        <w:rPr>
          <w:rFonts w:ascii="Times New Roman" w:hAnsi="Times New Roman" w:cs="Times New Roman"/>
          <w:i/>
          <w:lang w:val="ca-ES"/>
        </w:rPr>
        <w:t>Journal</w:t>
      </w:r>
      <w:proofErr w:type="spellEnd"/>
      <w:r w:rsidRPr="00316FD3">
        <w:rPr>
          <w:rFonts w:ascii="Times New Roman" w:hAnsi="Times New Roman" w:cs="Times New Roman"/>
          <w:lang w:val="ca-ES"/>
        </w:rPr>
        <w:t xml:space="preserve">, 2015, vol. 27, p. 321. </w:t>
      </w:r>
    </w:p>
  </w:footnote>
  <w:footnote w:id="53">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lang w:val="ca-ES"/>
        </w:rPr>
        <w:t>GÓMEZ JENÉ, M., "</w:t>
      </w:r>
      <w:proofErr w:type="spellStart"/>
      <w:r w:rsidRPr="00316FD3">
        <w:rPr>
          <w:rFonts w:ascii="Times New Roman" w:hAnsi="Times New Roman" w:cs="Times New Roman"/>
          <w:lang w:val="ca-ES"/>
        </w:rPr>
        <w:t>Anti-suit</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injunction</w:t>
      </w:r>
      <w:proofErr w:type="spellEnd"/>
      <w:r w:rsidRPr="00316FD3">
        <w:rPr>
          <w:rFonts w:ascii="Times New Roman" w:hAnsi="Times New Roman" w:cs="Times New Roman"/>
          <w:lang w:val="ca-ES"/>
        </w:rPr>
        <w:t xml:space="preserve"> en forma de laudo arbitral (a </w:t>
      </w:r>
      <w:proofErr w:type="spellStart"/>
      <w:r w:rsidRPr="00316FD3">
        <w:rPr>
          <w:rFonts w:ascii="Times New Roman" w:hAnsi="Times New Roman" w:cs="Times New Roman"/>
          <w:lang w:val="ca-ES"/>
        </w:rPr>
        <w:t>propósito</w:t>
      </w:r>
      <w:proofErr w:type="spellEnd"/>
      <w:r w:rsidRPr="00316FD3">
        <w:rPr>
          <w:rFonts w:ascii="Times New Roman" w:hAnsi="Times New Roman" w:cs="Times New Roman"/>
          <w:lang w:val="ca-ES"/>
        </w:rPr>
        <w:t xml:space="preserve"> de la sentencia </w:t>
      </w:r>
      <w:proofErr w:type="spellStart"/>
      <w:r w:rsidRPr="00316FD3">
        <w:rPr>
          <w:rFonts w:ascii="Times New Roman" w:hAnsi="Times New Roman" w:cs="Times New Roman"/>
          <w:lang w:val="ca-ES"/>
        </w:rPr>
        <w:t>Gazprom</w:t>
      </w:r>
      <w:proofErr w:type="spellEnd"/>
      <w:r w:rsidRPr="00316FD3">
        <w:rPr>
          <w:rFonts w:ascii="Times New Roman" w:hAnsi="Times New Roman" w:cs="Times New Roman"/>
          <w:lang w:val="ca-ES"/>
        </w:rPr>
        <w:t xml:space="preserve"> del TJUE)", en </w:t>
      </w:r>
      <w:proofErr w:type="spellStart"/>
      <w:r w:rsidRPr="00316FD3">
        <w:rPr>
          <w:rFonts w:ascii="Times New Roman" w:hAnsi="Times New Roman" w:cs="Times New Roman"/>
          <w:i/>
          <w:lang w:val="ca-ES"/>
        </w:rPr>
        <w:t>Cuadernos</w:t>
      </w:r>
      <w:proofErr w:type="spellEnd"/>
      <w:r w:rsidRPr="00316FD3">
        <w:rPr>
          <w:rFonts w:ascii="Times New Roman" w:hAnsi="Times New Roman" w:cs="Times New Roman"/>
          <w:i/>
          <w:lang w:val="ca-ES"/>
        </w:rPr>
        <w:t xml:space="preserve"> de </w:t>
      </w:r>
      <w:proofErr w:type="spellStart"/>
      <w:r w:rsidRPr="00316FD3">
        <w:rPr>
          <w:rFonts w:ascii="Times New Roman" w:hAnsi="Times New Roman" w:cs="Times New Roman"/>
          <w:i/>
          <w:lang w:val="ca-ES"/>
        </w:rPr>
        <w:t>Derecho</w:t>
      </w:r>
      <w:proofErr w:type="spellEnd"/>
      <w:r w:rsidRPr="00316FD3">
        <w:rPr>
          <w:rFonts w:ascii="Times New Roman" w:hAnsi="Times New Roman" w:cs="Times New Roman"/>
          <w:i/>
          <w:lang w:val="ca-ES"/>
        </w:rPr>
        <w:t xml:space="preserve"> Transnacional</w:t>
      </w:r>
      <w:r w:rsidRPr="00316FD3">
        <w:rPr>
          <w:rFonts w:ascii="Times New Roman" w:hAnsi="Times New Roman" w:cs="Times New Roman"/>
          <w:lang w:val="ca-ES"/>
        </w:rPr>
        <w:t>, octubre 2015, p. 446.</w:t>
      </w:r>
    </w:p>
  </w:footnote>
  <w:footnote w:id="54">
    <w:p w:rsidR="00092E61" w:rsidRPr="00316FD3" w:rsidRDefault="00092E61" w:rsidP="00E35553">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lang w:val="ca-ES"/>
        </w:rPr>
        <w:t xml:space="preserve">ORTOLANI, P., "Los </w:t>
      </w:r>
      <w:proofErr w:type="spellStart"/>
      <w:r w:rsidRPr="00316FD3">
        <w:rPr>
          <w:rFonts w:ascii="Times New Roman" w:hAnsi="Times New Roman" w:cs="Times New Roman"/>
          <w:lang w:val="ca-ES"/>
        </w:rPr>
        <w:t>efectos</w:t>
      </w:r>
      <w:proofErr w:type="spellEnd"/>
      <w:r w:rsidRPr="00316FD3">
        <w:rPr>
          <w:rFonts w:ascii="Times New Roman" w:hAnsi="Times New Roman" w:cs="Times New Roman"/>
          <w:lang w:val="ca-ES"/>
        </w:rPr>
        <w:t xml:space="preserve"> de una </w:t>
      </w:r>
      <w:proofErr w:type="spellStart"/>
      <w:r w:rsidRPr="00316FD3">
        <w:rPr>
          <w:rFonts w:ascii="Times New Roman" w:hAnsi="Times New Roman" w:cs="Times New Roman"/>
          <w:lang w:val="ca-ES"/>
        </w:rPr>
        <w:t>orden</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anti-suit</w:t>
      </w:r>
      <w:proofErr w:type="spellEnd"/>
      <w:r w:rsidRPr="00316FD3">
        <w:rPr>
          <w:rFonts w:ascii="Times New Roman" w:hAnsi="Times New Roman" w:cs="Times New Roman"/>
          <w:lang w:val="ca-ES"/>
        </w:rPr>
        <w:t xml:space="preserve"> dictada por un </w:t>
      </w:r>
      <w:proofErr w:type="spellStart"/>
      <w:r w:rsidRPr="00316FD3">
        <w:rPr>
          <w:rFonts w:ascii="Times New Roman" w:hAnsi="Times New Roman" w:cs="Times New Roman"/>
          <w:lang w:val="ca-ES"/>
        </w:rPr>
        <w:t>órgano</w:t>
      </w:r>
      <w:proofErr w:type="spellEnd"/>
      <w:r w:rsidRPr="00316FD3">
        <w:rPr>
          <w:rFonts w:ascii="Times New Roman" w:hAnsi="Times New Roman" w:cs="Times New Roman"/>
          <w:lang w:val="ca-ES"/>
        </w:rPr>
        <w:t xml:space="preserve"> arbitral sobre el Reglamento </w:t>
      </w:r>
      <w:proofErr w:type="spellStart"/>
      <w:r w:rsidRPr="00316FD3">
        <w:rPr>
          <w:rFonts w:ascii="Times New Roman" w:hAnsi="Times New Roman" w:cs="Times New Roman"/>
          <w:lang w:val="ca-ES"/>
        </w:rPr>
        <w:t>Bruselas</w:t>
      </w:r>
      <w:proofErr w:type="spellEnd"/>
      <w:r w:rsidRPr="00316FD3">
        <w:rPr>
          <w:rFonts w:ascii="Times New Roman" w:hAnsi="Times New Roman" w:cs="Times New Roman"/>
          <w:lang w:val="ca-ES"/>
        </w:rPr>
        <w:t xml:space="preserve"> I. Nota crítica a la STJUE en el as. </w:t>
      </w:r>
      <w:proofErr w:type="spellStart"/>
      <w:r w:rsidRPr="00316FD3">
        <w:rPr>
          <w:rFonts w:ascii="Times New Roman" w:hAnsi="Times New Roman" w:cs="Times New Roman"/>
          <w:lang w:val="ca-ES"/>
        </w:rPr>
        <w:t>Gazprom</w:t>
      </w:r>
      <w:proofErr w:type="spellEnd"/>
      <w:r w:rsidRPr="00316FD3">
        <w:rPr>
          <w:rFonts w:ascii="Times New Roman" w:hAnsi="Times New Roman" w:cs="Times New Roman"/>
          <w:lang w:val="ca-ES"/>
        </w:rPr>
        <w:t xml:space="preserve">", </w:t>
      </w:r>
      <w:r w:rsidRPr="00316FD3">
        <w:rPr>
          <w:rFonts w:ascii="Times New Roman" w:hAnsi="Times New Roman" w:cs="Times New Roman"/>
          <w:i/>
          <w:lang w:val="ca-ES"/>
        </w:rPr>
        <w:t xml:space="preserve">La </w:t>
      </w:r>
      <w:proofErr w:type="spellStart"/>
      <w:r w:rsidRPr="00316FD3">
        <w:rPr>
          <w:rFonts w:ascii="Times New Roman" w:hAnsi="Times New Roman" w:cs="Times New Roman"/>
          <w:i/>
          <w:lang w:val="ca-ES"/>
        </w:rPr>
        <w:t>Ley</w:t>
      </w:r>
      <w:proofErr w:type="spellEnd"/>
      <w:r w:rsidRPr="00316FD3">
        <w:rPr>
          <w:rFonts w:ascii="Times New Roman" w:hAnsi="Times New Roman" w:cs="Times New Roman"/>
          <w:i/>
          <w:lang w:val="ca-ES"/>
        </w:rPr>
        <w:t xml:space="preserve"> Unión Europea</w:t>
      </w:r>
      <w:r w:rsidRPr="00316FD3">
        <w:rPr>
          <w:rFonts w:ascii="Times New Roman" w:hAnsi="Times New Roman" w:cs="Times New Roman"/>
          <w:lang w:val="ca-ES"/>
        </w:rPr>
        <w:t xml:space="preserve">, n. 29, 30 de </w:t>
      </w:r>
      <w:proofErr w:type="spellStart"/>
      <w:r w:rsidRPr="00316FD3">
        <w:rPr>
          <w:rFonts w:ascii="Times New Roman" w:hAnsi="Times New Roman" w:cs="Times New Roman"/>
          <w:lang w:val="ca-ES"/>
        </w:rPr>
        <w:t>septiembre</w:t>
      </w:r>
      <w:proofErr w:type="spellEnd"/>
      <w:r w:rsidRPr="00316FD3">
        <w:rPr>
          <w:rFonts w:ascii="Times New Roman" w:hAnsi="Times New Roman" w:cs="Times New Roman"/>
          <w:lang w:val="ca-ES"/>
        </w:rPr>
        <w:t xml:space="preserve"> de 2015.</w:t>
      </w:r>
    </w:p>
  </w:footnote>
  <w:footnote w:id="55">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El tenor literal de ambos preceptos es igual, con la sola excepción de que el Reglamento 44/2001 incluye el </w:t>
      </w:r>
      <w:proofErr w:type="spellStart"/>
      <w:r w:rsidRPr="00316FD3">
        <w:rPr>
          <w:rFonts w:ascii="Times New Roman" w:hAnsi="Times New Roman" w:cs="Times New Roman"/>
          <w:lang w:val="ca-ES"/>
        </w:rPr>
        <w:t>adverbio</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manifiestamente</w:t>
      </w:r>
      <w:proofErr w:type="spellEnd"/>
      <w:r w:rsidRPr="00316FD3">
        <w:rPr>
          <w:rFonts w:ascii="Times New Roman" w:hAnsi="Times New Roman" w:cs="Times New Roman"/>
          <w:lang w:val="ca-ES"/>
        </w:rPr>
        <w:t xml:space="preserve">" para </w:t>
      </w:r>
      <w:proofErr w:type="spellStart"/>
      <w:r w:rsidRPr="00316FD3">
        <w:rPr>
          <w:rFonts w:ascii="Times New Roman" w:hAnsi="Times New Roman" w:cs="Times New Roman"/>
          <w:lang w:val="ca-ES"/>
        </w:rPr>
        <w:t>reforzar</w:t>
      </w:r>
      <w:proofErr w:type="spellEnd"/>
      <w:r w:rsidRPr="00316FD3">
        <w:rPr>
          <w:rFonts w:ascii="Times New Roman" w:hAnsi="Times New Roman" w:cs="Times New Roman"/>
          <w:lang w:val="ca-ES"/>
        </w:rPr>
        <w:t xml:space="preserve"> el </w:t>
      </w:r>
      <w:proofErr w:type="spellStart"/>
      <w:r w:rsidRPr="00316FD3">
        <w:rPr>
          <w:rFonts w:ascii="Times New Roman" w:hAnsi="Times New Roman" w:cs="Times New Roman"/>
          <w:lang w:val="ca-ES"/>
        </w:rPr>
        <w:t>carácter</w:t>
      </w:r>
      <w:proofErr w:type="spellEnd"/>
      <w:r w:rsidRPr="00316FD3">
        <w:rPr>
          <w:rFonts w:ascii="Times New Roman" w:hAnsi="Times New Roman" w:cs="Times New Roman"/>
          <w:lang w:val="ca-ES"/>
        </w:rPr>
        <w:t xml:space="preserve"> excepcional de la causal de </w:t>
      </w:r>
      <w:proofErr w:type="spellStart"/>
      <w:r w:rsidRPr="00316FD3">
        <w:rPr>
          <w:rFonts w:ascii="Times New Roman" w:hAnsi="Times New Roman" w:cs="Times New Roman"/>
          <w:lang w:val="ca-ES"/>
        </w:rPr>
        <w:t>orden</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público</w:t>
      </w:r>
      <w:proofErr w:type="spellEnd"/>
      <w:r w:rsidRPr="00316FD3">
        <w:rPr>
          <w:rFonts w:ascii="Times New Roman" w:hAnsi="Times New Roman" w:cs="Times New Roman"/>
          <w:lang w:val="ca-ES"/>
        </w:rPr>
        <w:t xml:space="preserve"> para denegar el </w:t>
      </w:r>
      <w:proofErr w:type="spellStart"/>
      <w:r w:rsidRPr="00316FD3">
        <w:rPr>
          <w:rFonts w:ascii="Times New Roman" w:hAnsi="Times New Roman" w:cs="Times New Roman"/>
          <w:lang w:val="ca-ES"/>
        </w:rPr>
        <w:t>reconocimiento</w:t>
      </w:r>
      <w:proofErr w:type="spellEnd"/>
      <w:r w:rsidRPr="00316FD3">
        <w:rPr>
          <w:rFonts w:ascii="Times New Roman" w:hAnsi="Times New Roman" w:cs="Times New Roman"/>
          <w:lang w:val="ca-ES"/>
        </w:rPr>
        <w:t xml:space="preserve"> de una </w:t>
      </w:r>
      <w:proofErr w:type="spellStart"/>
      <w:r w:rsidRPr="00316FD3">
        <w:rPr>
          <w:rFonts w:ascii="Times New Roman" w:hAnsi="Times New Roman" w:cs="Times New Roman"/>
          <w:lang w:val="ca-ES"/>
        </w:rPr>
        <w:t>resolución</w:t>
      </w:r>
      <w:proofErr w:type="spellEnd"/>
      <w:r w:rsidRPr="00316FD3">
        <w:rPr>
          <w:rFonts w:ascii="Times New Roman" w:hAnsi="Times New Roman" w:cs="Times New Roman"/>
          <w:lang w:val="ca-ES"/>
        </w:rPr>
        <w:t xml:space="preserve"> judicial </w:t>
      </w:r>
      <w:proofErr w:type="spellStart"/>
      <w:r w:rsidRPr="00316FD3">
        <w:rPr>
          <w:rFonts w:ascii="Times New Roman" w:hAnsi="Times New Roman" w:cs="Times New Roman"/>
          <w:lang w:val="ca-ES"/>
        </w:rPr>
        <w:t>extranjera</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También</w:t>
      </w:r>
      <w:proofErr w:type="spellEnd"/>
      <w:r w:rsidRPr="00316FD3">
        <w:rPr>
          <w:rFonts w:ascii="Times New Roman" w:hAnsi="Times New Roman" w:cs="Times New Roman"/>
          <w:lang w:val="ca-ES"/>
        </w:rPr>
        <w:t xml:space="preserve"> HESS, B., PFEIFFER, T. y SCHLOSSER, P., </w:t>
      </w:r>
      <w:proofErr w:type="spellStart"/>
      <w:r w:rsidRPr="00316FD3">
        <w:rPr>
          <w:rFonts w:ascii="Times New Roman" w:hAnsi="Times New Roman" w:cs="Times New Roman"/>
          <w:i/>
          <w:lang w:val="ca-ES"/>
        </w:rPr>
        <w:t>The</w:t>
      </w:r>
      <w:proofErr w:type="spellEnd"/>
      <w:r w:rsidRPr="00316FD3">
        <w:rPr>
          <w:rFonts w:ascii="Times New Roman" w:hAnsi="Times New Roman" w:cs="Times New Roman"/>
          <w:i/>
          <w:lang w:val="ca-ES"/>
        </w:rPr>
        <w:t xml:space="preserve"> </w:t>
      </w:r>
      <w:proofErr w:type="spellStart"/>
      <w:r w:rsidRPr="00316FD3">
        <w:rPr>
          <w:rFonts w:ascii="Times New Roman" w:hAnsi="Times New Roman" w:cs="Times New Roman"/>
          <w:i/>
          <w:lang w:val="ca-ES"/>
        </w:rPr>
        <w:t>Brussels</w:t>
      </w:r>
      <w:proofErr w:type="spellEnd"/>
      <w:r w:rsidRPr="00316FD3">
        <w:rPr>
          <w:rFonts w:ascii="Times New Roman" w:hAnsi="Times New Roman" w:cs="Times New Roman"/>
          <w:i/>
          <w:lang w:val="ca-ES"/>
        </w:rPr>
        <w:t xml:space="preserve"> I...</w:t>
      </w:r>
      <w:r w:rsidRPr="00316FD3">
        <w:rPr>
          <w:rFonts w:ascii="Times New Roman" w:hAnsi="Times New Roman" w:cs="Times New Roman"/>
          <w:lang w:val="ca-ES"/>
        </w:rPr>
        <w:t>,</w:t>
      </w:r>
      <w:r w:rsidRPr="00316FD3">
        <w:rPr>
          <w:rFonts w:ascii="Times New Roman" w:hAnsi="Times New Roman" w:cs="Times New Roman"/>
          <w:i/>
          <w:lang w:val="ca-ES"/>
        </w:rPr>
        <w:t xml:space="preserve"> cit.</w:t>
      </w:r>
      <w:r w:rsidRPr="00316FD3">
        <w:rPr>
          <w:rFonts w:ascii="Times New Roman" w:hAnsi="Times New Roman" w:cs="Times New Roman"/>
          <w:lang w:val="ca-ES"/>
        </w:rPr>
        <w:t>,</w:t>
      </w:r>
      <w:r w:rsidRPr="00316FD3">
        <w:rPr>
          <w:rFonts w:ascii="Times New Roman" w:hAnsi="Times New Roman" w:cs="Times New Roman"/>
          <w:i/>
          <w:lang w:val="ca-ES"/>
        </w:rPr>
        <w:t xml:space="preserve"> </w:t>
      </w:r>
      <w:r w:rsidRPr="00316FD3">
        <w:rPr>
          <w:rFonts w:ascii="Times New Roman" w:hAnsi="Times New Roman" w:cs="Times New Roman"/>
          <w:lang w:val="ca-ES"/>
        </w:rPr>
        <w:t xml:space="preserve">p. </w:t>
      </w:r>
      <w:r w:rsidRPr="00316FD3">
        <w:rPr>
          <w:rFonts w:ascii="Times New Roman" w:hAnsi="Times New Roman" w:cs="Times New Roman"/>
          <w:lang w:val="es-ES"/>
        </w:rPr>
        <w:t xml:space="preserve">140, recuerdan que el adverbio “manifiestamente” fue introducido para calificar la introducción entre la libre circulación de resoluciones y el orden público. GAUDEMET-TALLON, H., </w:t>
      </w:r>
      <w:r w:rsidRPr="00316FD3">
        <w:rPr>
          <w:rFonts w:ascii="Times New Roman" w:hAnsi="Times New Roman" w:cs="Times New Roman"/>
          <w:i/>
          <w:lang w:val="es-ES"/>
        </w:rPr>
        <w:t xml:space="preserve">Les </w:t>
      </w:r>
      <w:proofErr w:type="spellStart"/>
      <w:r w:rsidRPr="00316FD3">
        <w:rPr>
          <w:rFonts w:ascii="Times New Roman" w:hAnsi="Times New Roman" w:cs="Times New Roman"/>
          <w:i/>
          <w:lang w:val="es-ES"/>
        </w:rPr>
        <w:t>Conventions</w:t>
      </w:r>
      <w:proofErr w:type="spellEnd"/>
      <w:r w:rsidRPr="00316FD3">
        <w:rPr>
          <w:rFonts w:ascii="Times New Roman" w:hAnsi="Times New Roman" w:cs="Times New Roman"/>
          <w:i/>
          <w:lang w:val="es-ES"/>
        </w:rPr>
        <w:t>…</w:t>
      </w:r>
      <w:r w:rsidRPr="00316FD3">
        <w:rPr>
          <w:rFonts w:ascii="Times New Roman" w:hAnsi="Times New Roman" w:cs="Times New Roman"/>
          <w:lang w:val="es-ES"/>
        </w:rPr>
        <w:t>,</w:t>
      </w:r>
      <w:r w:rsidRPr="00316FD3">
        <w:rPr>
          <w:rFonts w:ascii="Times New Roman" w:hAnsi="Times New Roman" w:cs="Times New Roman"/>
          <w:i/>
          <w:lang w:val="es-ES"/>
        </w:rPr>
        <w:t xml:space="preserve"> cit.</w:t>
      </w:r>
      <w:r w:rsidRPr="00316FD3">
        <w:rPr>
          <w:rFonts w:ascii="Times New Roman" w:hAnsi="Times New Roman" w:cs="Times New Roman"/>
          <w:lang w:val="es-ES"/>
        </w:rPr>
        <w:t xml:space="preserve">, p. 252, señala que esta fórmula es habitual en numerosas convenciones internacionales, que aluden a decisiones manifiestamente contrarias al orden público. </w:t>
      </w:r>
    </w:p>
    <w:p w:rsidR="00092E61" w:rsidRPr="00316FD3" w:rsidRDefault="00092E61" w:rsidP="006A39A0">
      <w:pPr>
        <w:pStyle w:val="Textdenotaapeudepgina"/>
        <w:jc w:val="both"/>
        <w:rPr>
          <w:rFonts w:ascii="Times New Roman" w:hAnsi="Times New Roman" w:cs="Times New Roman"/>
          <w:lang w:val="ca-ES"/>
        </w:rPr>
      </w:pPr>
    </w:p>
  </w:footnote>
  <w:footnote w:id="56">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AGUILAR GRIEDER, H., “La </w:t>
      </w:r>
      <w:proofErr w:type="spellStart"/>
      <w:r w:rsidRPr="00316FD3">
        <w:rPr>
          <w:rFonts w:ascii="Times New Roman" w:hAnsi="Times New Roman" w:cs="Times New Roman"/>
          <w:lang w:val="es-ES"/>
        </w:rPr>
        <w:t>inconciliabilidad</w:t>
      </w:r>
      <w:proofErr w:type="spellEnd"/>
      <w:r w:rsidRPr="00316FD3">
        <w:rPr>
          <w:rFonts w:ascii="Times New Roman" w:hAnsi="Times New Roman" w:cs="Times New Roman"/>
          <w:lang w:val="es-ES"/>
        </w:rPr>
        <w:t xml:space="preserve">…”, </w:t>
      </w:r>
      <w:r w:rsidRPr="00316FD3">
        <w:rPr>
          <w:rFonts w:ascii="Times New Roman" w:hAnsi="Times New Roman" w:cs="Times New Roman"/>
          <w:i/>
          <w:lang w:val="es-ES"/>
        </w:rPr>
        <w:t>cit.</w:t>
      </w:r>
      <w:r w:rsidRPr="00316FD3">
        <w:rPr>
          <w:rFonts w:ascii="Times New Roman" w:hAnsi="Times New Roman" w:cs="Times New Roman"/>
          <w:lang w:val="es-ES"/>
        </w:rPr>
        <w:t>, p. 76. FRANQ, S., "</w:t>
      </w:r>
      <w:proofErr w:type="spellStart"/>
      <w:r w:rsidRPr="00316FD3">
        <w:rPr>
          <w:rFonts w:ascii="Times New Roman" w:hAnsi="Times New Roman" w:cs="Times New Roman"/>
          <w:lang w:val="es-ES"/>
        </w:rPr>
        <w:t>Commentary</w:t>
      </w:r>
      <w:proofErr w:type="spellEnd"/>
      <w:r w:rsidRPr="00316FD3">
        <w:rPr>
          <w:rFonts w:ascii="Times New Roman" w:hAnsi="Times New Roman" w:cs="Times New Roman"/>
          <w:lang w:val="es-ES"/>
        </w:rPr>
        <w:t xml:space="preserve"> to art. 45", </w:t>
      </w:r>
      <w:r w:rsidRPr="00316FD3">
        <w:rPr>
          <w:rFonts w:ascii="Times New Roman" w:hAnsi="Times New Roman" w:cs="Times New Roman"/>
          <w:i/>
          <w:lang w:val="es-ES"/>
        </w:rPr>
        <w:t>cit.</w:t>
      </w:r>
      <w:r w:rsidRPr="00316FD3">
        <w:rPr>
          <w:rFonts w:ascii="Times New Roman" w:hAnsi="Times New Roman" w:cs="Times New Roman"/>
          <w:lang w:val="es-ES"/>
        </w:rPr>
        <w:t xml:space="preserve">, p. 922, </w:t>
      </w:r>
      <w:proofErr w:type="spellStart"/>
      <w:r w:rsidRPr="00316FD3">
        <w:rPr>
          <w:rFonts w:ascii="Times New Roman" w:hAnsi="Times New Roman" w:cs="Times New Roman"/>
          <w:lang w:val="ca-ES"/>
        </w:rPr>
        <w:t>dice</w:t>
      </w:r>
      <w:proofErr w:type="spellEnd"/>
      <w:r w:rsidRPr="00316FD3">
        <w:rPr>
          <w:rFonts w:ascii="Times New Roman" w:hAnsi="Times New Roman" w:cs="Times New Roman"/>
          <w:lang w:val="ca-ES"/>
        </w:rPr>
        <w:t xml:space="preserve">, que de </w:t>
      </w:r>
      <w:proofErr w:type="spellStart"/>
      <w:r w:rsidRPr="00316FD3">
        <w:rPr>
          <w:rFonts w:ascii="Times New Roman" w:hAnsi="Times New Roman" w:cs="Times New Roman"/>
          <w:lang w:val="ca-ES"/>
        </w:rPr>
        <w:t>acuerdo</w:t>
      </w:r>
      <w:proofErr w:type="spellEnd"/>
      <w:r w:rsidRPr="00316FD3">
        <w:rPr>
          <w:rFonts w:ascii="Times New Roman" w:hAnsi="Times New Roman" w:cs="Times New Roman"/>
          <w:lang w:val="ca-ES"/>
        </w:rPr>
        <w:t xml:space="preserve"> con el </w:t>
      </w:r>
      <w:proofErr w:type="spellStart"/>
      <w:r w:rsidRPr="00316FD3">
        <w:rPr>
          <w:rFonts w:ascii="Times New Roman" w:hAnsi="Times New Roman" w:cs="Times New Roman"/>
          <w:lang w:val="ca-ES"/>
        </w:rPr>
        <w:t>asunto</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i/>
          <w:lang w:val="ca-ES"/>
        </w:rPr>
        <w:t>Trade</w:t>
      </w:r>
      <w:proofErr w:type="spellEnd"/>
      <w:r w:rsidRPr="00316FD3">
        <w:rPr>
          <w:rFonts w:ascii="Times New Roman" w:hAnsi="Times New Roman" w:cs="Times New Roman"/>
          <w:i/>
          <w:lang w:val="ca-ES"/>
        </w:rPr>
        <w:t xml:space="preserve"> </w:t>
      </w:r>
      <w:proofErr w:type="spellStart"/>
      <w:r w:rsidRPr="00316FD3">
        <w:rPr>
          <w:rFonts w:ascii="Times New Roman" w:hAnsi="Times New Roman" w:cs="Times New Roman"/>
          <w:i/>
          <w:lang w:val="ca-ES"/>
        </w:rPr>
        <w:t>Agency</w:t>
      </w:r>
      <w:proofErr w:type="spellEnd"/>
      <w:r w:rsidRPr="00316FD3">
        <w:rPr>
          <w:rFonts w:ascii="Times New Roman" w:hAnsi="Times New Roman" w:cs="Times New Roman"/>
          <w:lang w:val="ca-ES"/>
        </w:rPr>
        <w:t xml:space="preserve">, se </w:t>
      </w:r>
      <w:proofErr w:type="spellStart"/>
      <w:r w:rsidRPr="00316FD3">
        <w:rPr>
          <w:rFonts w:ascii="Times New Roman" w:hAnsi="Times New Roman" w:cs="Times New Roman"/>
          <w:lang w:val="ca-ES"/>
        </w:rPr>
        <w:t>pueden</w:t>
      </w:r>
      <w:proofErr w:type="spellEnd"/>
      <w:r w:rsidRPr="00316FD3">
        <w:rPr>
          <w:rFonts w:ascii="Times New Roman" w:hAnsi="Times New Roman" w:cs="Times New Roman"/>
          <w:lang w:val="ca-ES"/>
        </w:rPr>
        <w:t xml:space="preserve"> aplicar </w:t>
      </w:r>
      <w:proofErr w:type="spellStart"/>
      <w:r w:rsidRPr="00316FD3">
        <w:rPr>
          <w:rFonts w:ascii="Times New Roman" w:hAnsi="Times New Roman" w:cs="Times New Roman"/>
          <w:lang w:val="ca-ES"/>
        </w:rPr>
        <w:t>simultáneamente</w:t>
      </w:r>
      <w:proofErr w:type="spellEnd"/>
    </w:p>
  </w:footnote>
  <w:footnote w:id="57">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También VIRGÓS SORIANO, M. y GARCIMARTÍN ALFÉREZ F. J., </w:t>
      </w:r>
      <w:r w:rsidRPr="00316FD3">
        <w:rPr>
          <w:rFonts w:ascii="Times New Roman" w:hAnsi="Times New Roman" w:cs="Times New Roman"/>
          <w:i/>
          <w:lang w:val="es-ES"/>
        </w:rPr>
        <w:t>Derecho…, cit.</w:t>
      </w:r>
      <w:r w:rsidRPr="00316FD3">
        <w:rPr>
          <w:rFonts w:ascii="Times New Roman" w:hAnsi="Times New Roman" w:cs="Times New Roman"/>
          <w:lang w:val="es-ES"/>
        </w:rPr>
        <w:t xml:space="preserve">, p. 640, indican que el orden público es, técnicamente, una cláusula general. </w:t>
      </w:r>
    </w:p>
  </w:footnote>
  <w:footnote w:id="58">
    <w:p w:rsidR="00092E61" w:rsidRPr="00316FD3" w:rsidRDefault="00092E61" w:rsidP="006A39A0">
      <w:pPr>
        <w:pStyle w:val="Textdenotaapeudepgina"/>
        <w:jc w:val="both"/>
        <w:rPr>
          <w:rFonts w:ascii="Times New Roman" w:hAnsi="Times New Roman" w:cs="Times New Roman"/>
        </w:rPr>
      </w:pPr>
      <w:r w:rsidRPr="00316FD3">
        <w:rPr>
          <w:rStyle w:val="Refernciadenotaapeudepgina"/>
          <w:rFonts w:ascii="Times New Roman" w:hAnsi="Times New Roman" w:cs="Times New Roman"/>
        </w:rPr>
        <w:footnoteRef/>
      </w:r>
      <w:r w:rsidRPr="00316FD3">
        <w:rPr>
          <w:rFonts w:ascii="Times New Roman" w:hAnsi="Times New Roman" w:cs="Times New Roman"/>
        </w:rPr>
        <w:t xml:space="preserve"> FRANQ, S., "Commentary to art. 34", </w:t>
      </w:r>
      <w:r w:rsidRPr="00316FD3">
        <w:rPr>
          <w:rFonts w:ascii="Times New Roman" w:hAnsi="Times New Roman" w:cs="Times New Roman"/>
          <w:i/>
        </w:rPr>
        <w:t>cit.</w:t>
      </w:r>
      <w:r w:rsidRPr="00316FD3">
        <w:rPr>
          <w:rFonts w:ascii="Times New Roman" w:hAnsi="Times New Roman" w:cs="Times New Roman"/>
        </w:rPr>
        <w:t xml:space="preserve">, p. 567. </w:t>
      </w:r>
    </w:p>
  </w:footnote>
  <w:footnote w:id="59">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AGUILAR GRIEDER, H., “La </w:t>
      </w:r>
      <w:proofErr w:type="spellStart"/>
      <w:r w:rsidRPr="00316FD3">
        <w:rPr>
          <w:rFonts w:ascii="Times New Roman" w:hAnsi="Times New Roman" w:cs="Times New Roman"/>
          <w:lang w:val="es-ES"/>
        </w:rPr>
        <w:t>inconciliabilidad</w:t>
      </w:r>
      <w:proofErr w:type="spellEnd"/>
      <w:r w:rsidRPr="00316FD3">
        <w:rPr>
          <w:rFonts w:ascii="Times New Roman" w:hAnsi="Times New Roman" w:cs="Times New Roman"/>
          <w:lang w:val="es-ES"/>
        </w:rPr>
        <w:t xml:space="preserve">…”, </w:t>
      </w:r>
      <w:r w:rsidRPr="00316FD3">
        <w:rPr>
          <w:rFonts w:ascii="Times New Roman" w:hAnsi="Times New Roman" w:cs="Times New Roman"/>
          <w:i/>
          <w:lang w:val="es-ES"/>
        </w:rPr>
        <w:t>cit.</w:t>
      </w:r>
      <w:r w:rsidRPr="00316FD3">
        <w:rPr>
          <w:rFonts w:ascii="Times New Roman" w:hAnsi="Times New Roman" w:cs="Times New Roman"/>
          <w:lang w:val="es-ES"/>
        </w:rPr>
        <w:t>, p. 76.</w:t>
      </w:r>
    </w:p>
  </w:footnote>
  <w:footnote w:id="60">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lang w:val="ca-ES"/>
        </w:rPr>
        <w:t xml:space="preserve">El TJUE </w:t>
      </w:r>
      <w:proofErr w:type="spellStart"/>
      <w:r w:rsidRPr="00316FD3">
        <w:rPr>
          <w:rFonts w:ascii="Times New Roman" w:hAnsi="Times New Roman" w:cs="Times New Roman"/>
          <w:lang w:val="ca-ES"/>
        </w:rPr>
        <w:t>señala</w:t>
      </w:r>
      <w:proofErr w:type="spellEnd"/>
      <w:r w:rsidRPr="00316FD3">
        <w:rPr>
          <w:rFonts w:ascii="Times New Roman" w:hAnsi="Times New Roman" w:cs="Times New Roman"/>
          <w:lang w:val="ca-ES"/>
        </w:rPr>
        <w:t xml:space="preserve"> que las </w:t>
      </w:r>
      <w:proofErr w:type="spellStart"/>
      <w:r w:rsidRPr="00316FD3">
        <w:rPr>
          <w:rFonts w:ascii="Times New Roman" w:hAnsi="Times New Roman" w:cs="Times New Roman"/>
          <w:lang w:val="ca-ES"/>
        </w:rPr>
        <w:t>causas</w:t>
      </w:r>
      <w:proofErr w:type="spellEnd"/>
      <w:r w:rsidRPr="00316FD3">
        <w:rPr>
          <w:rFonts w:ascii="Times New Roman" w:hAnsi="Times New Roman" w:cs="Times New Roman"/>
          <w:lang w:val="ca-ES"/>
        </w:rPr>
        <w:t xml:space="preserve"> de </w:t>
      </w:r>
      <w:proofErr w:type="spellStart"/>
      <w:r w:rsidRPr="00316FD3">
        <w:rPr>
          <w:rFonts w:ascii="Times New Roman" w:hAnsi="Times New Roman" w:cs="Times New Roman"/>
          <w:lang w:val="ca-ES"/>
        </w:rPr>
        <w:t>denegación</w:t>
      </w:r>
      <w:proofErr w:type="spellEnd"/>
      <w:r w:rsidRPr="00316FD3">
        <w:rPr>
          <w:rFonts w:ascii="Times New Roman" w:hAnsi="Times New Roman" w:cs="Times New Roman"/>
          <w:lang w:val="ca-ES"/>
        </w:rPr>
        <w:t xml:space="preserve"> del </w:t>
      </w:r>
      <w:proofErr w:type="spellStart"/>
      <w:r w:rsidRPr="00316FD3">
        <w:rPr>
          <w:rFonts w:ascii="Times New Roman" w:hAnsi="Times New Roman" w:cs="Times New Roman"/>
          <w:lang w:val="ca-ES"/>
        </w:rPr>
        <w:t>reconocimiento</w:t>
      </w:r>
      <w:proofErr w:type="spellEnd"/>
      <w:r w:rsidRPr="00316FD3">
        <w:rPr>
          <w:rFonts w:ascii="Times New Roman" w:hAnsi="Times New Roman" w:cs="Times New Roman"/>
          <w:lang w:val="ca-ES"/>
        </w:rPr>
        <w:t xml:space="preserve"> han de </w:t>
      </w:r>
      <w:proofErr w:type="spellStart"/>
      <w:r w:rsidRPr="00316FD3">
        <w:rPr>
          <w:rFonts w:ascii="Times New Roman" w:hAnsi="Times New Roman" w:cs="Times New Roman"/>
          <w:lang w:val="ca-ES"/>
        </w:rPr>
        <w:t>considerarse</w:t>
      </w:r>
      <w:proofErr w:type="spellEnd"/>
      <w:r w:rsidRPr="00316FD3">
        <w:rPr>
          <w:rFonts w:ascii="Times New Roman" w:hAnsi="Times New Roman" w:cs="Times New Roman"/>
          <w:lang w:val="ca-ES"/>
        </w:rPr>
        <w:t xml:space="preserve"> una </w:t>
      </w:r>
      <w:proofErr w:type="spellStart"/>
      <w:r w:rsidRPr="00316FD3">
        <w:rPr>
          <w:rFonts w:ascii="Times New Roman" w:hAnsi="Times New Roman" w:cs="Times New Roman"/>
          <w:lang w:val="ca-ES"/>
        </w:rPr>
        <w:t>excepción</w:t>
      </w:r>
      <w:proofErr w:type="spellEnd"/>
      <w:r w:rsidRPr="00316FD3">
        <w:rPr>
          <w:rFonts w:ascii="Times New Roman" w:hAnsi="Times New Roman" w:cs="Times New Roman"/>
          <w:lang w:val="ca-ES"/>
        </w:rPr>
        <w:t xml:space="preserve"> al principio general de </w:t>
      </w:r>
      <w:proofErr w:type="spellStart"/>
      <w:r w:rsidRPr="00316FD3">
        <w:rPr>
          <w:rFonts w:ascii="Times New Roman" w:hAnsi="Times New Roman" w:cs="Times New Roman"/>
          <w:lang w:val="ca-ES"/>
        </w:rPr>
        <w:t>reconocimiento</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automático</w:t>
      </w:r>
      <w:proofErr w:type="spellEnd"/>
      <w:r w:rsidRPr="00316FD3">
        <w:rPr>
          <w:rFonts w:ascii="Times New Roman" w:hAnsi="Times New Roman" w:cs="Times New Roman"/>
          <w:lang w:val="ca-ES"/>
        </w:rPr>
        <w:t xml:space="preserve"> de las decisions </w:t>
      </w:r>
      <w:proofErr w:type="spellStart"/>
      <w:r w:rsidRPr="00316FD3">
        <w:rPr>
          <w:rFonts w:ascii="Times New Roman" w:hAnsi="Times New Roman" w:cs="Times New Roman"/>
          <w:lang w:val="ca-ES"/>
        </w:rPr>
        <w:t>extranjeras</w:t>
      </w:r>
      <w:proofErr w:type="spellEnd"/>
      <w:r w:rsidRPr="00316FD3">
        <w:rPr>
          <w:rFonts w:ascii="Times New Roman" w:hAnsi="Times New Roman" w:cs="Times New Roman"/>
          <w:lang w:val="ca-ES"/>
        </w:rPr>
        <w:t xml:space="preserve"> y, como tales, han de ser </w:t>
      </w:r>
      <w:proofErr w:type="spellStart"/>
      <w:r w:rsidRPr="00316FD3">
        <w:rPr>
          <w:rFonts w:ascii="Times New Roman" w:hAnsi="Times New Roman" w:cs="Times New Roman"/>
          <w:lang w:val="ca-ES"/>
        </w:rPr>
        <w:t>objeto</w:t>
      </w:r>
      <w:proofErr w:type="spellEnd"/>
      <w:r w:rsidRPr="00316FD3">
        <w:rPr>
          <w:rFonts w:ascii="Times New Roman" w:hAnsi="Times New Roman" w:cs="Times New Roman"/>
          <w:lang w:val="ca-ES"/>
        </w:rPr>
        <w:t xml:space="preserve"> de una </w:t>
      </w:r>
      <w:proofErr w:type="spellStart"/>
      <w:r w:rsidRPr="00316FD3">
        <w:rPr>
          <w:rFonts w:ascii="Times New Roman" w:hAnsi="Times New Roman" w:cs="Times New Roman"/>
          <w:lang w:val="ca-ES"/>
        </w:rPr>
        <w:t>interpretación</w:t>
      </w:r>
      <w:proofErr w:type="spellEnd"/>
      <w:r w:rsidRPr="00316FD3">
        <w:rPr>
          <w:rFonts w:ascii="Times New Roman" w:hAnsi="Times New Roman" w:cs="Times New Roman"/>
          <w:lang w:val="ca-ES"/>
        </w:rPr>
        <w:t xml:space="preserve"> restrictiva, </w:t>
      </w:r>
      <w:proofErr w:type="spellStart"/>
      <w:r w:rsidRPr="00316FD3">
        <w:rPr>
          <w:rFonts w:ascii="Times New Roman" w:hAnsi="Times New Roman" w:cs="Times New Roman"/>
          <w:lang w:val="ca-ES"/>
        </w:rPr>
        <w:t>así</w:t>
      </w:r>
      <w:proofErr w:type="spellEnd"/>
      <w:r w:rsidRPr="00316FD3">
        <w:rPr>
          <w:rFonts w:ascii="Times New Roman" w:hAnsi="Times New Roman" w:cs="Times New Roman"/>
          <w:lang w:val="ca-ES"/>
        </w:rPr>
        <w:t xml:space="preserve"> en los </w:t>
      </w:r>
      <w:proofErr w:type="spellStart"/>
      <w:r w:rsidRPr="00316FD3">
        <w:rPr>
          <w:rFonts w:ascii="Times New Roman" w:hAnsi="Times New Roman" w:cs="Times New Roman"/>
          <w:lang w:val="ca-ES"/>
        </w:rPr>
        <w:t>asuntos</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i/>
          <w:lang w:val="ca-ES"/>
        </w:rPr>
        <w:t>Krombach</w:t>
      </w:r>
      <w:proofErr w:type="spellEnd"/>
      <w:r w:rsidRPr="00316FD3">
        <w:rPr>
          <w:rFonts w:ascii="Times New Roman" w:hAnsi="Times New Roman" w:cs="Times New Roman"/>
          <w:lang w:val="ca-ES"/>
        </w:rPr>
        <w:t xml:space="preserve"> y </w:t>
      </w:r>
      <w:proofErr w:type="spellStart"/>
      <w:r w:rsidRPr="00316FD3">
        <w:rPr>
          <w:rFonts w:ascii="Times New Roman" w:hAnsi="Times New Roman" w:cs="Times New Roman"/>
          <w:i/>
          <w:lang w:val="ca-ES"/>
        </w:rPr>
        <w:t>Kleinmotoren</w:t>
      </w:r>
      <w:proofErr w:type="spellEnd"/>
      <w:r w:rsidRPr="00316FD3">
        <w:rPr>
          <w:rFonts w:ascii="Times New Roman" w:hAnsi="Times New Roman" w:cs="Times New Roman"/>
          <w:lang w:val="ca-ES"/>
        </w:rPr>
        <w:t xml:space="preserve">. Al respecto, </w:t>
      </w:r>
      <w:proofErr w:type="spellStart"/>
      <w:r w:rsidRPr="00316FD3">
        <w:rPr>
          <w:rFonts w:ascii="Times New Roman" w:hAnsi="Times New Roman" w:cs="Times New Roman"/>
          <w:lang w:val="ca-ES"/>
        </w:rPr>
        <w:t>también</w:t>
      </w:r>
      <w:proofErr w:type="spellEnd"/>
      <w:r w:rsidRPr="00316FD3">
        <w:rPr>
          <w:rFonts w:ascii="Times New Roman" w:hAnsi="Times New Roman" w:cs="Times New Roman"/>
          <w:lang w:val="ca-ES"/>
        </w:rPr>
        <w:t xml:space="preserve"> SAP, 15ª, Barcelona, 17-6-2010, en </w:t>
      </w:r>
      <w:proofErr w:type="spellStart"/>
      <w:r w:rsidRPr="00316FD3">
        <w:rPr>
          <w:rFonts w:ascii="Times New Roman" w:hAnsi="Times New Roman" w:cs="Times New Roman"/>
          <w:i/>
          <w:lang w:val="ca-ES"/>
        </w:rPr>
        <w:t>Anuario</w:t>
      </w:r>
      <w:proofErr w:type="spellEnd"/>
      <w:r w:rsidRPr="00316FD3">
        <w:rPr>
          <w:rFonts w:ascii="Times New Roman" w:hAnsi="Times New Roman" w:cs="Times New Roman"/>
          <w:i/>
          <w:lang w:val="ca-ES"/>
        </w:rPr>
        <w:t xml:space="preserve"> Español de </w:t>
      </w:r>
      <w:proofErr w:type="spellStart"/>
      <w:r w:rsidRPr="00316FD3">
        <w:rPr>
          <w:rFonts w:ascii="Times New Roman" w:hAnsi="Times New Roman" w:cs="Times New Roman"/>
          <w:i/>
          <w:lang w:val="ca-ES"/>
        </w:rPr>
        <w:t>Derecho</w:t>
      </w:r>
      <w:proofErr w:type="spellEnd"/>
      <w:r w:rsidRPr="00316FD3">
        <w:rPr>
          <w:rFonts w:ascii="Times New Roman" w:hAnsi="Times New Roman" w:cs="Times New Roman"/>
          <w:i/>
          <w:lang w:val="ca-ES"/>
        </w:rPr>
        <w:t xml:space="preserve"> Internacional </w:t>
      </w:r>
      <w:proofErr w:type="spellStart"/>
      <w:r w:rsidRPr="00316FD3">
        <w:rPr>
          <w:rFonts w:ascii="Times New Roman" w:hAnsi="Times New Roman" w:cs="Times New Roman"/>
          <w:i/>
          <w:lang w:val="ca-ES"/>
        </w:rPr>
        <w:t>Privado</w:t>
      </w:r>
      <w:proofErr w:type="spellEnd"/>
      <w:r w:rsidRPr="00316FD3">
        <w:rPr>
          <w:rFonts w:ascii="Times New Roman" w:hAnsi="Times New Roman" w:cs="Times New Roman"/>
          <w:lang w:val="ca-ES"/>
        </w:rPr>
        <w:t xml:space="preserve">, vol. X, 2010, 1129-1130. En este </w:t>
      </w:r>
      <w:proofErr w:type="spellStart"/>
      <w:r w:rsidRPr="00316FD3">
        <w:rPr>
          <w:rFonts w:ascii="Times New Roman" w:hAnsi="Times New Roman" w:cs="Times New Roman"/>
          <w:lang w:val="ca-ES"/>
        </w:rPr>
        <w:t>sentido</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i/>
          <w:lang w:val="ca-ES"/>
        </w:rPr>
        <w:t>vid</w:t>
      </w:r>
      <w:proofErr w:type="spellEnd"/>
      <w:r w:rsidRPr="00316FD3">
        <w:rPr>
          <w:rFonts w:ascii="Times New Roman" w:hAnsi="Times New Roman" w:cs="Times New Roman"/>
          <w:i/>
          <w:lang w:val="ca-ES"/>
        </w:rPr>
        <w:t xml:space="preserve"> </w:t>
      </w:r>
      <w:proofErr w:type="spellStart"/>
      <w:r w:rsidRPr="00316FD3">
        <w:rPr>
          <w:rFonts w:ascii="Times New Roman" w:hAnsi="Times New Roman" w:cs="Times New Roman"/>
          <w:lang w:val="ca-ES"/>
        </w:rPr>
        <w:t>también</w:t>
      </w:r>
      <w:proofErr w:type="spellEnd"/>
      <w:r w:rsidRPr="00316FD3">
        <w:rPr>
          <w:rFonts w:ascii="Times New Roman" w:hAnsi="Times New Roman" w:cs="Times New Roman"/>
          <w:lang w:val="ca-ES"/>
        </w:rPr>
        <w:t xml:space="preserve"> </w:t>
      </w:r>
      <w:r w:rsidRPr="00316FD3">
        <w:rPr>
          <w:rFonts w:ascii="Times New Roman" w:hAnsi="Times New Roman" w:cs="Times New Roman"/>
          <w:lang w:val="es-ES"/>
        </w:rPr>
        <w:t xml:space="preserve">los asuntos </w:t>
      </w:r>
      <w:proofErr w:type="spellStart"/>
      <w:r w:rsidRPr="00316FD3">
        <w:rPr>
          <w:rFonts w:ascii="Times New Roman" w:hAnsi="Times New Roman" w:cs="Times New Roman"/>
          <w:i/>
          <w:lang w:val="es-ES"/>
        </w:rPr>
        <w:t>FlyLAL</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i/>
          <w:lang w:val="es-ES"/>
        </w:rPr>
        <w:t>Apostolides</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i/>
          <w:lang w:val="es-ES"/>
        </w:rPr>
        <w:t>Trade</w:t>
      </w:r>
      <w:proofErr w:type="spellEnd"/>
      <w:r w:rsidRPr="00316FD3">
        <w:rPr>
          <w:rFonts w:ascii="Times New Roman" w:hAnsi="Times New Roman" w:cs="Times New Roman"/>
          <w:i/>
          <w:lang w:val="es-ES"/>
        </w:rPr>
        <w:t xml:space="preserve"> Agency</w:t>
      </w:r>
      <w:r w:rsidRPr="00316FD3">
        <w:rPr>
          <w:rFonts w:ascii="Times New Roman" w:hAnsi="Times New Roman" w:cs="Times New Roman"/>
          <w:lang w:val="es-ES"/>
        </w:rPr>
        <w:t xml:space="preserve">, </w:t>
      </w:r>
      <w:proofErr w:type="spellStart"/>
      <w:r w:rsidRPr="00316FD3">
        <w:rPr>
          <w:rFonts w:ascii="Times New Roman" w:hAnsi="Times New Roman" w:cs="Times New Roman"/>
          <w:i/>
          <w:lang w:val="es-ES"/>
        </w:rPr>
        <w:t>Rudolfs</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i/>
          <w:lang w:val="es-ES"/>
        </w:rPr>
        <w:t>Diageo</w:t>
      </w:r>
      <w:proofErr w:type="spellEnd"/>
      <w:r w:rsidRPr="00316FD3">
        <w:rPr>
          <w:rFonts w:ascii="Times New Roman" w:hAnsi="Times New Roman" w:cs="Times New Roman"/>
          <w:lang w:val="es-ES"/>
        </w:rPr>
        <w:t xml:space="preserve">, </w:t>
      </w:r>
      <w:proofErr w:type="spellStart"/>
      <w:r w:rsidRPr="00316FD3">
        <w:rPr>
          <w:rFonts w:ascii="Times New Roman" w:hAnsi="Times New Roman" w:cs="Times New Roman"/>
          <w:i/>
          <w:lang w:val="es-ES"/>
        </w:rPr>
        <w:t>Liberato</w:t>
      </w:r>
      <w:proofErr w:type="spellEnd"/>
      <w:r w:rsidRPr="00316FD3">
        <w:rPr>
          <w:rFonts w:ascii="Times New Roman" w:hAnsi="Times New Roman" w:cs="Times New Roman"/>
          <w:lang w:val="es-ES"/>
        </w:rPr>
        <w:t xml:space="preserve"> o </w:t>
      </w:r>
      <w:proofErr w:type="spellStart"/>
      <w:r w:rsidRPr="00316FD3">
        <w:rPr>
          <w:rFonts w:ascii="Times New Roman" w:hAnsi="Times New Roman" w:cs="Times New Roman"/>
          <w:lang w:val="es-ES"/>
        </w:rPr>
        <w:t>Prism</w:t>
      </w:r>
      <w:proofErr w:type="spellEnd"/>
      <w:r w:rsidRPr="00316FD3">
        <w:rPr>
          <w:rFonts w:ascii="Times New Roman" w:hAnsi="Times New Roman" w:cs="Times New Roman"/>
          <w:lang w:val="es-ES"/>
        </w:rPr>
        <w:t xml:space="preserve"> y, bajo el Convenio de Bruselas, el citado asunto </w:t>
      </w:r>
      <w:proofErr w:type="spellStart"/>
      <w:r w:rsidRPr="00316FD3">
        <w:rPr>
          <w:rFonts w:ascii="Times New Roman" w:hAnsi="Times New Roman" w:cs="Times New Roman"/>
          <w:i/>
          <w:lang w:val="es-ES"/>
        </w:rPr>
        <w:t>Krombach</w:t>
      </w:r>
      <w:proofErr w:type="spellEnd"/>
      <w:r w:rsidRPr="00316FD3">
        <w:rPr>
          <w:rFonts w:ascii="Times New Roman" w:hAnsi="Times New Roman" w:cs="Times New Roman"/>
          <w:lang w:val="es-ES"/>
        </w:rPr>
        <w:t xml:space="preserve">, pero también </w:t>
      </w:r>
      <w:proofErr w:type="spellStart"/>
      <w:r w:rsidRPr="00316FD3">
        <w:rPr>
          <w:rFonts w:ascii="Times New Roman" w:hAnsi="Times New Roman" w:cs="Times New Roman"/>
          <w:i/>
          <w:lang w:val="es-ES"/>
        </w:rPr>
        <w:t>Maxicar</w:t>
      </w:r>
      <w:proofErr w:type="spellEnd"/>
      <w:r w:rsidRPr="00316FD3">
        <w:rPr>
          <w:rFonts w:ascii="Times New Roman" w:hAnsi="Times New Roman" w:cs="Times New Roman"/>
          <w:lang w:val="es-ES"/>
        </w:rPr>
        <w:t xml:space="preserve"> y </w:t>
      </w:r>
      <w:proofErr w:type="spellStart"/>
      <w:r w:rsidRPr="00316FD3">
        <w:rPr>
          <w:rFonts w:ascii="Times New Roman" w:hAnsi="Times New Roman" w:cs="Times New Roman"/>
          <w:i/>
          <w:lang w:val="es-ES"/>
        </w:rPr>
        <w:t>Gambazzi</w:t>
      </w:r>
      <w:proofErr w:type="spellEnd"/>
      <w:r w:rsidRPr="00316FD3">
        <w:rPr>
          <w:rFonts w:ascii="Times New Roman" w:hAnsi="Times New Roman" w:cs="Times New Roman"/>
          <w:lang w:val="es-ES"/>
        </w:rPr>
        <w:t xml:space="preserve">. En la doctrina, </w:t>
      </w:r>
      <w:r w:rsidRPr="00316FD3">
        <w:rPr>
          <w:rFonts w:ascii="Times New Roman" w:hAnsi="Times New Roman" w:cs="Times New Roman"/>
          <w:lang w:val="ca-ES"/>
        </w:rPr>
        <w:t xml:space="preserve">HESS, B., PFEIFFER, T. y SCHLOSSER, P., </w:t>
      </w:r>
      <w:proofErr w:type="spellStart"/>
      <w:r w:rsidRPr="00316FD3">
        <w:rPr>
          <w:rFonts w:ascii="Times New Roman" w:hAnsi="Times New Roman" w:cs="Times New Roman"/>
          <w:i/>
          <w:lang w:val="ca-ES"/>
        </w:rPr>
        <w:t>The</w:t>
      </w:r>
      <w:proofErr w:type="spellEnd"/>
      <w:r w:rsidRPr="00316FD3">
        <w:rPr>
          <w:rFonts w:ascii="Times New Roman" w:hAnsi="Times New Roman" w:cs="Times New Roman"/>
          <w:i/>
          <w:lang w:val="ca-ES"/>
        </w:rPr>
        <w:t xml:space="preserve"> </w:t>
      </w:r>
      <w:proofErr w:type="spellStart"/>
      <w:r w:rsidRPr="00316FD3">
        <w:rPr>
          <w:rFonts w:ascii="Times New Roman" w:hAnsi="Times New Roman" w:cs="Times New Roman"/>
          <w:i/>
          <w:lang w:val="ca-ES"/>
        </w:rPr>
        <w:t>Brussels</w:t>
      </w:r>
      <w:proofErr w:type="spellEnd"/>
      <w:r w:rsidRPr="00316FD3">
        <w:rPr>
          <w:rFonts w:ascii="Times New Roman" w:hAnsi="Times New Roman" w:cs="Times New Roman"/>
          <w:i/>
          <w:lang w:val="ca-ES"/>
        </w:rPr>
        <w:t>...</w:t>
      </w:r>
      <w:r w:rsidRPr="00316FD3">
        <w:rPr>
          <w:rFonts w:ascii="Times New Roman" w:hAnsi="Times New Roman" w:cs="Times New Roman"/>
          <w:lang w:val="ca-ES"/>
        </w:rPr>
        <w:t>,</w:t>
      </w:r>
      <w:r w:rsidRPr="00316FD3">
        <w:rPr>
          <w:rFonts w:ascii="Times New Roman" w:hAnsi="Times New Roman" w:cs="Times New Roman"/>
          <w:i/>
          <w:lang w:val="ca-ES"/>
        </w:rPr>
        <w:t xml:space="preserve"> cit.</w:t>
      </w:r>
      <w:r w:rsidRPr="00316FD3">
        <w:rPr>
          <w:rFonts w:ascii="Times New Roman" w:hAnsi="Times New Roman" w:cs="Times New Roman"/>
          <w:lang w:val="ca-ES"/>
        </w:rPr>
        <w:t xml:space="preserve">, p. 140, indican que la </w:t>
      </w:r>
      <w:proofErr w:type="spellStart"/>
      <w:r w:rsidRPr="00316FD3">
        <w:rPr>
          <w:rFonts w:ascii="Times New Roman" w:hAnsi="Times New Roman" w:cs="Times New Roman"/>
          <w:lang w:val="ca-ES"/>
        </w:rPr>
        <w:t>confianza</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mutua</w:t>
      </w:r>
      <w:proofErr w:type="spellEnd"/>
      <w:r w:rsidRPr="00316FD3">
        <w:rPr>
          <w:rFonts w:ascii="Times New Roman" w:hAnsi="Times New Roman" w:cs="Times New Roman"/>
          <w:lang w:val="ca-ES"/>
        </w:rPr>
        <w:t xml:space="preserve"> implica que los </w:t>
      </w:r>
      <w:proofErr w:type="spellStart"/>
      <w:r w:rsidRPr="00316FD3">
        <w:rPr>
          <w:rFonts w:ascii="Times New Roman" w:hAnsi="Times New Roman" w:cs="Times New Roman"/>
          <w:lang w:val="ca-ES"/>
        </w:rPr>
        <w:t>motivos</w:t>
      </w:r>
      <w:proofErr w:type="spellEnd"/>
      <w:r w:rsidRPr="00316FD3">
        <w:rPr>
          <w:rFonts w:ascii="Times New Roman" w:hAnsi="Times New Roman" w:cs="Times New Roman"/>
          <w:lang w:val="ca-ES"/>
        </w:rPr>
        <w:t xml:space="preserve"> para no </w:t>
      </w:r>
      <w:proofErr w:type="spellStart"/>
      <w:r w:rsidRPr="00316FD3">
        <w:rPr>
          <w:rFonts w:ascii="Times New Roman" w:hAnsi="Times New Roman" w:cs="Times New Roman"/>
          <w:lang w:val="ca-ES"/>
        </w:rPr>
        <w:t>reconocer</w:t>
      </w:r>
      <w:proofErr w:type="spellEnd"/>
      <w:r w:rsidRPr="00316FD3">
        <w:rPr>
          <w:rFonts w:ascii="Times New Roman" w:hAnsi="Times New Roman" w:cs="Times New Roman"/>
          <w:lang w:val="ca-ES"/>
        </w:rPr>
        <w:t xml:space="preserve"> una sentencia </w:t>
      </w:r>
      <w:proofErr w:type="spellStart"/>
      <w:r w:rsidRPr="00316FD3">
        <w:rPr>
          <w:rFonts w:ascii="Times New Roman" w:hAnsi="Times New Roman" w:cs="Times New Roman"/>
          <w:lang w:val="ca-ES"/>
        </w:rPr>
        <w:t>extranjera</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especialmente</w:t>
      </w:r>
      <w:proofErr w:type="spellEnd"/>
      <w:r w:rsidRPr="00316FD3">
        <w:rPr>
          <w:rFonts w:ascii="Times New Roman" w:hAnsi="Times New Roman" w:cs="Times New Roman"/>
          <w:lang w:val="ca-ES"/>
        </w:rPr>
        <w:t xml:space="preserve"> por la </w:t>
      </w:r>
      <w:proofErr w:type="spellStart"/>
      <w:r w:rsidRPr="00316FD3">
        <w:rPr>
          <w:rFonts w:ascii="Times New Roman" w:hAnsi="Times New Roman" w:cs="Times New Roman"/>
          <w:lang w:val="ca-ES"/>
        </w:rPr>
        <w:t>excepción</w:t>
      </w:r>
      <w:proofErr w:type="spellEnd"/>
      <w:r w:rsidRPr="00316FD3">
        <w:rPr>
          <w:rFonts w:ascii="Times New Roman" w:hAnsi="Times New Roman" w:cs="Times New Roman"/>
          <w:lang w:val="ca-ES"/>
        </w:rPr>
        <w:t xml:space="preserve"> de </w:t>
      </w:r>
      <w:proofErr w:type="spellStart"/>
      <w:r w:rsidRPr="00316FD3">
        <w:rPr>
          <w:rFonts w:ascii="Times New Roman" w:hAnsi="Times New Roman" w:cs="Times New Roman"/>
          <w:lang w:val="ca-ES"/>
        </w:rPr>
        <w:t>orden</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público</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debe</w:t>
      </w:r>
      <w:proofErr w:type="spellEnd"/>
      <w:r w:rsidRPr="00316FD3">
        <w:rPr>
          <w:rFonts w:ascii="Times New Roman" w:hAnsi="Times New Roman" w:cs="Times New Roman"/>
          <w:lang w:val="ca-ES"/>
        </w:rPr>
        <w:t xml:space="preserve"> ser interpretada </w:t>
      </w:r>
      <w:proofErr w:type="spellStart"/>
      <w:r w:rsidRPr="00316FD3">
        <w:rPr>
          <w:rFonts w:ascii="Times New Roman" w:hAnsi="Times New Roman" w:cs="Times New Roman"/>
          <w:lang w:val="ca-ES"/>
        </w:rPr>
        <w:t>restrictivamente</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Añaden</w:t>
      </w:r>
      <w:proofErr w:type="spellEnd"/>
      <w:r w:rsidRPr="00316FD3">
        <w:rPr>
          <w:rFonts w:ascii="Times New Roman" w:hAnsi="Times New Roman" w:cs="Times New Roman"/>
          <w:lang w:val="ca-ES"/>
        </w:rPr>
        <w:t xml:space="preserve"> (p. 141), que los informes </w:t>
      </w:r>
      <w:proofErr w:type="spellStart"/>
      <w:r w:rsidRPr="00316FD3">
        <w:rPr>
          <w:rFonts w:ascii="Times New Roman" w:hAnsi="Times New Roman" w:cs="Times New Roman"/>
          <w:lang w:val="ca-ES"/>
        </w:rPr>
        <w:t>nacionales</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revelan</w:t>
      </w:r>
      <w:proofErr w:type="spellEnd"/>
      <w:r w:rsidRPr="00316FD3">
        <w:rPr>
          <w:rFonts w:ascii="Times New Roman" w:hAnsi="Times New Roman" w:cs="Times New Roman"/>
          <w:lang w:val="ca-ES"/>
        </w:rPr>
        <w:t xml:space="preserve"> que esta </w:t>
      </w:r>
      <w:proofErr w:type="spellStart"/>
      <w:r w:rsidRPr="00316FD3">
        <w:rPr>
          <w:rFonts w:ascii="Times New Roman" w:hAnsi="Times New Roman" w:cs="Times New Roman"/>
          <w:lang w:val="ca-ES"/>
        </w:rPr>
        <w:t>excepción</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raramente</w:t>
      </w:r>
      <w:proofErr w:type="spellEnd"/>
      <w:r w:rsidRPr="00316FD3">
        <w:rPr>
          <w:rFonts w:ascii="Times New Roman" w:hAnsi="Times New Roman" w:cs="Times New Roman"/>
          <w:lang w:val="ca-ES"/>
        </w:rPr>
        <w:t xml:space="preserve"> es </w:t>
      </w:r>
      <w:proofErr w:type="spellStart"/>
      <w:r w:rsidRPr="00316FD3">
        <w:rPr>
          <w:rFonts w:ascii="Times New Roman" w:hAnsi="Times New Roman" w:cs="Times New Roman"/>
          <w:lang w:val="ca-ES"/>
        </w:rPr>
        <w:t>aceptada</w:t>
      </w:r>
      <w:proofErr w:type="spellEnd"/>
      <w:r w:rsidRPr="00316FD3">
        <w:rPr>
          <w:rFonts w:ascii="Times New Roman" w:hAnsi="Times New Roman" w:cs="Times New Roman"/>
          <w:lang w:val="ca-ES"/>
        </w:rPr>
        <w:t xml:space="preserve">, que los autores </w:t>
      </w:r>
      <w:proofErr w:type="spellStart"/>
      <w:r w:rsidRPr="00316FD3">
        <w:rPr>
          <w:rFonts w:ascii="Times New Roman" w:hAnsi="Times New Roman" w:cs="Times New Roman"/>
          <w:lang w:val="ca-ES"/>
        </w:rPr>
        <w:t>distinguen</w:t>
      </w:r>
      <w:proofErr w:type="spellEnd"/>
      <w:r w:rsidRPr="00316FD3">
        <w:rPr>
          <w:rFonts w:ascii="Times New Roman" w:hAnsi="Times New Roman" w:cs="Times New Roman"/>
          <w:lang w:val="ca-ES"/>
        </w:rPr>
        <w:t xml:space="preserve"> entre </w:t>
      </w:r>
      <w:proofErr w:type="spellStart"/>
      <w:r w:rsidRPr="00316FD3">
        <w:rPr>
          <w:rFonts w:ascii="Times New Roman" w:hAnsi="Times New Roman" w:cs="Times New Roman"/>
          <w:lang w:val="ca-ES"/>
        </w:rPr>
        <w:t>orden</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público</w:t>
      </w:r>
      <w:proofErr w:type="spellEnd"/>
      <w:r w:rsidRPr="00316FD3">
        <w:rPr>
          <w:rFonts w:ascii="Times New Roman" w:hAnsi="Times New Roman" w:cs="Times New Roman"/>
          <w:lang w:val="ca-ES"/>
        </w:rPr>
        <w:t xml:space="preserve"> material y processal (p. 142), </w:t>
      </w:r>
      <w:proofErr w:type="spellStart"/>
      <w:r w:rsidRPr="00316FD3">
        <w:rPr>
          <w:rFonts w:ascii="Times New Roman" w:hAnsi="Times New Roman" w:cs="Times New Roman"/>
          <w:lang w:val="ca-ES"/>
        </w:rPr>
        <w:t>pero</w:t>
      </w:r>
      <w:proofErr w:type="spellEnd"/>
      <w:r w:rsidRPr="00316FD3">
        <w:rPr>
          <w:rFonts w:ascii="Times New Roman" w:hAnsi="Times New Roman" w:cs="Times New Roman"/>
          <w:lang w:val="ca-ES"/>
        </w:rPr>
        <w:t xml:space="preserve"> que </w:t>
      </w:r>
      <w:proofErr w:type="spellStart"/>
      <w:r w:rsidRPr="00316FD3">
        <w:rPr>
          <w:rFonts w:ascii="Times New Roman" w:hAnsi="Times New Roman" w:cs="Times New Roman"/>
          <w:lang w:val="ca-ES"/>
        </w:rPr>
        <w:t>suele</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utilizarse</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especialmente</w:t>
      </w:r>
      <w:proofErr w:type="spellEnd"/>
      <w:r w:rsidRPr="00316FD3">
        <w:rPr>
          <w:rFonts w:ascii="Times New Roman" w:hAnsi="Times New Roman" w:cs="Times New Roman"/>
          <w:lang w:val="ca-ES"/>
        </w:rPr>
        <w:t xml:space="preserve"> por </w:t>
      </w:r>
      <w:proofErr w:type="spellStart"/>
      <w:r w:rsidRPr="00316FD3">
        <w:rPr>
          <w:rFonts w:ascii="Times New Roman" w:hAnsi="Times New Roman" w:cs="Times New Roman"/>
          <w:lang w:val="ca-ES"/>
        </w:rPr>
        <w:t>razones</w:t>
      </w:r>
      <w:proofErr w:type="spellEnd"/>
      <w:r w:rsidRPr="00316FD3">
        <w:rPr>
          <w:rFonts w:ascii="Times New Roman" w:hAnsi="Times New Roman" w:cs="Times New Roman"/>
          <w:lang w:val="ca-ES"/>
        </w:rPr>
        <w:t xml:space="preserve"> de </w:t>
      </w:r>
      <w:proofErr w:type="spellStart"/>
      <w:r w:rsidRPr="00316FD3">
        <w:rPr>
          <w:rFonts w:ascii="Times New Roman" w:hAnsi="Times New Roman" w:cs="Times New Roman"/>
          <w:lang w:val="ca-ES"/>
        </w:rPr>
        <w:t>orden</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público</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procesal</w:t>
      </w:r>
      <w:proofErr w:type="spellEnd"/>
      <w:r w:rsidRPr="00316FD3">
        <w:rPr>
          <w:rFonts w:ascii="Times New Roman" w:hAnsi="Times New Roman" w:cs="Times New Roman"/>
          <w:lang w:val="ca-ES"/>
        </w:rPr>
        <w:t xml:space="preserve"> (p. 143).</w:t>
      </w:r>
    </w:p>
  </w:footnote>
  <w:footnote w:id="61">
    <w:p w:rsidR="00092E61" w:rsidRPr="00316FD3" w:rsidRDefault="00092E61" w:rsidP="006A39A0">
      <w:pPr>
        <w:pStyle w:val="nova-e-listitem"/>
        <w:shd w:val="clear" w:color="auto" w:fill="FFFFFF"/>
        <w:spacing w:before="0" w:beforeAutospacing="0" w:after="0" w:afterAutospacing="0"/>
        <w:jc w:val="both"/>
        <w:rPr>
          <w:sz w:val="20"/>
          <w:szCs w:val="20"/>
          <w:lang w:val="en-GB"/>
        </w:rPr>
      </w:pPr>
      <w:r w:rsidRPr="00316FD3">
        <w:rPr>
          <w:rStyle w:val="Refernciadenotaapeudepgina"/>
          <w:sz w:val="20"/>
          <w:szCs w:val="20"/>
        </w:rPr>
        <w:footnoteRef/>
      </w:r>
      <w:r w:rsidRPr="00316FD3">
        <w:rPr>
          <w:sz w:val="20"/>
          <w:szCs w:val="20"/>
          <w:lang w:val="en-GB"/>
        </w:rPr>
        <w:t xml:space="preserve"> FRANQ, S., "Commentary to art. 45", </w:t>
      </w:r>
      <w:r w:rsidRPr="00316FD3">
        <w:rPr>
          <w:i/>
          <w:sz w:val="20"/>
          <w:szCs w:val="20"/>
          <w:lang w:val="en-GB"/>
        </w:rPr>
        <w:t>cit.</w:t>
      </w:r>
      <w:r w:rsidRPr="00316FD3">
        <w:rPr>
          <w:sz w:val="20"/>
          <w:szCs w:val="20"/>
          <w:lang w:val="en-GB"/>
        </w:rPr>
        <w:t xml:space="preserve">, p. 878. VAN DER HAEGEN, O., "European public policy in commercial arbitration: bridge over troubled water", en </w:t>
      </w:r>
      <w:r w:rsidRPr="00316FD3">
        <w:rPr>
          <w:i/>
          <w:sz w:val="20"/>
          <w:szCs w:val="20"/>
          <w:lang w:val="en-GB"/>
        </w:rPr>
        <w:t>Maastricht journal of European and Comparative Law</w:t>
      </w:r>
      <w:r w:rsidRPr="00316FD3">
        <w:rPr>
          <w:sz w:val="20"/>
          <w:szCs w:val="20"/>
          <w:lang w:val="en-GB"/>
        </w:rPr>
        <w:t xml:space="preserve"> 16(4), 2009, pp. 464-465, lo </w:t>
      </w:r>
      <w:proofErr w:type="spellStart"/>
      <w:r w:rsidRPr="00316FD3">
        <w:rPr>
          <w:sz w:val="20"/>
          <w:szCs w:val="20"/>
          <w:lang w:val="en-GB"/>
        </w:rPr>
        <w:t>compara</w:t>
      </w:r>
      <w:proofErr w:type="spellEnd"/>
      <w:r w:rsidRPr="00316FD3">
        <w:rPr>
          <w:sz w:val="20"/>
          <w:szCs w:val="20"/>
          <w:lang w:val="en-GB"/>
        </w:rPr>
        <w:t xml:space="preserve"> con el </w:t>
      </w:r>
      <w:proofErr w:type="spellStart"/>
      <w:r w:rsidRPr="00316FD3">
        <w:rPr>
          <w:sz w:val="20"/>
          <w:szCs w:val="20"/>
          <w:lang w:val="en-GB"/>
        </w:rPr>
        <w:t>caso</w:t>
      </w:r>
      <w:proofErr w:type="spellEnd"/>
      <w:r w:rsidRPr="00316FD3">
        <w:rPr>
          <w:sz w:val="20"/>
          <w:szCs w:val="20"/>
          <w:lang w:val="en-GB"/>
        </w:rPr>
        <w:t xml:space="preserve"> Eco Swiss.</w:t>
      </w:r>
    </w:p>
  </w:footnote>
  <w:footnote w:id="62">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Vid</w:t>
      </w:r>
      <w:r w:rsidRPr="00316FD3">
        <w:rPr>
          <w:rFonts w:ascii="Times New Roman" w:hAnsi="Times New Roman" w:cs="Times New Roman"/>
          <w:lang w:val="es-ES"/>
        </w:rPr>
        <w:t xml:space="preserve"> asunto </w:t>
      </w:r>
      <w:proofErr w:type="spellStart"/>
      <w:r w:rsidRPr="00316FD3">
        <w:rPr>
          <w:rFonts w:ascii="Times New Roman" w:hAnsi="Times New Roman" w:cs="Times New Roman"/>
          <w:lang w:val="ca-ES"/>
        </w:rPr>
        <w:t>FlyLAL</w:t>
      </w:r>
      <w:proofErr w:type="spellEnd"/>
      <w:r w:rsidRPr="00316FD3">
        <w:rPr>
          <w:rFonts w:ascii="Times New Roman" w:hAnsi="Times New Roman" w:cs="Times New Roman"/>
          <w:lang w:val="ca-ES"/>
        </w:rPr>
        <w:t xml:space="preserve">, </w:t>
      </w:r>
      <w:proofErr w:type="spellStart"/>
      <w:r w:rsidRPr="00316FD3">
        <w:rPr>
          <w:rFonts w:ascii="Times New Roman" w:hAnsi="Times New Roman" w:cs="Times New Roman"/>
          <w:lang w:val="ca-ES"/>
        </w:rPr>
        <w:t>párrafo</w:t>
      </w:r>
      <w:proofErr w:type="spellEnd"/>
      <w:r w:rsidRPr="00316FD3">
        <w:rPr>
          <w:rFonts w:ascii="Times New Roman" w:hAnsi="Times New Roman" w:cs="Times New Roman"/>
          <w:lang w:val="ca-ES"/>
        </w:rPr>
        <w:t xml:space="preserve"> 48.</w:t>
      </w:r>
    </w:p>
  </w:footnote>
  <w:footnote w:id="63">
    <w:p w:rsidR="00092E61" w:rsidRPr="00316FD3" w:rsidRDefault="00092E61" w:rsidP="006A39A0">
      <w:pPr>
        <w:pStyle w:val="Textdenotaapeudepgina"/>
        <w:jc w:val="both"/>
        <w:rPr>
          <w:rFonts w:ascii="Times New Roman" w:hAnsi="Times New Roman" w:cs="Times New Roman"/>
          <w:lang w:val="ca-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SCHACK, H., “La (indebida) abolición de los procedimientos de exequatur en la Unión Europea”, en </w:t>
      </w:r>
      <w:r w:rsidRPr="00316FD3">
        <w:rPr>
          <w:rFonts w:ascii="Times New Roman" w:hAnsi="Times New Roman" w:cs="Times New Roman"/>
          <w:i/>
          <w:lang w:val="es-ES"/>
        </w:rPr>
        <w:t>Anuario Español de Derecho Internacional Privado</w:t>
      </w:r>
      <w:r w:rsidRPr="00316FD3">
        <w:rPr>
          <w:rFonts w:ascii="Times New Roman" w:hAnsi="Times New Roman" w:cs="Times New Roman"/>
          <w:lang w:val="es-ES"/>
        </w:rPr>
        <w:t>, t. IX, 2009, p. 75.</w:t>
      </w:r>
    </w:p>
  </w:footnote>
  <w:footnote w:id="64">
    <w:p w:rsidR="00092E61" w:rsidRPr="00316FD3" w:rsidRDefault="00092E61" w:rsidP="006A39A0">
      <w:pPr>
        <w:pStyle w:val="Textdenotaapeudepgina"/>
        <w:jc w:val="both"/>
        <w:rPr>
          <w:rFonts w:ascii="Times New Roman" w:hAnsi="Times New Roman" w:cs="Times New Roman"/>
          <w:lang w:val="es-ES"/>
        </w:rPr>
      </w:pPr>
      <w:r w:rsidRPr="00316FD3">
        <w:rPr>
          <w:rStyle w:val="Refernciadenotaapeudepgina"/>
          <w:rFonts w:ascii="Times New Roman" w:hAnsi="Times New Roman" w:cs="Times New Roman"/>
        </w:rPr>
        <w:footnoteRef/>
      </w:r>
      <w:r w:rsidRPr="00316FD3">
        <w:rPr>
          <w:rFonts w:ascii="Times New Roman" w:hAnsi="Times New Roman" w:cs="Times New Roman"/>
          <w:lang w:val="es-ES"/>
        </w:rPr>
        <w:t xml:space="preserve"> </w:t>
      </w:r>
      <w:r w:rsidRPr="00316FD3">
        <w:rPr>
          <w:rFonts w:ascii="Times New Roman" w:hAnsi="Times New Roman" w:cs="Times New Roman"/>
          <w:i/>
          <w:lang w:val="es-ES"/>
        </w:rPr>
        <w:t>Vid</w:t>
      </w:r>
      <w:r w:rsidRPr="00316FD3">
        <w:rPr>
          <w:rFonts w:ascii="Times New Roman" w:hAnsi="Times New Roman" w:cs="Times New Roman"/>
          <w:lang w:val="es-ES"/>
        </w:rPr>
        <w:t xml:space="preserve"> página web de FIDAC, consultada el 28 de junio de 2021, disponible en https://bit.ly/2TaUEro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E22E4"/>
    <w:multiLevelType w:val="hybridMultilevel"/>
    <w:tmpl w:val="5D5E74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E14F3A"/>
    <w:multiLevelType w:val="hybridMultilevel"/>
    <w:tmpl w:val="CF4E88D4"/>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8E2D6A"/>
    <w:multiLevelType w:val="hybridMultilevel"/>
    <w:tmpl w:val="0B889F44"/>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77B14"/>
    <w:multiLevelType w:val="hybridMultilevel"/>
    <w:tmpl w:val="A39E4ED8"/>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5445E8"/>
    <w:multiLevelType w:val="hybridMultilevel"/>
    <w:tmpl w:val="A39E4ED8"/>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CD5F33"/>
    <w:multiLevelType w:val="hybridMultilevel"/>
    <w:tmpl w:val="DF5691E4"/>
    <w:lvl w:ilvl="0" w:tplc="EB76A160">
      <w:start w:val="1"/>
      <w:numFmt w:val="decimal"/>
      <w:lvlText w:val="%1."/>
      <w:lvlJc w:val="left"/>
      <w:pPr>
        <w:ind w:left="720" w:hanging="360"/>
      </w:pPr>
      <w:rPr>
        <w:rFonts w:ascii="Arial" w:eastAsiaTheme="minorHAnsi" w:hAnsi="Arial" w:cs="Arial"/>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2E2BE9"/>
    <w:multiLevelType w:val="hybridMultilevel"/>
    <w:tmpl w:val="218429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447267"/>
    <w:multiLevelType w:val="hybridMultilevel"/>
    <w:tmpl w:val="2EA01B28"/>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913EA4"/>
    <w:multiLevelType w:val="hybridMultilevel"/>
    <w:tmpl w:val="00AC32C8"/>
    <w:lvl w:ilvl="0" w:tplc="D55E1504">
      <w:start w:val="1"/>
      <w:numFmt w:val="decimal"/>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B36037"/>
    <w:multiLevelType w:val="multilevel"/>
    <w:tmpl w:val="B1E0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032C"/>
    <w:multiLevelType w:val="hybridMultilevel"/>
    <w:tmpl w:val="D2743626"/>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7501AA"/>
    <w:multiLevelType w:val="hybridMultilevel"/>
    <w:tmpl w:val="67DA8166"/>
    <w:lvl w:ilvl="0" w:tplc="6B702420">
      <w:numFmt w:val="bullet"/>
      <w:lvlText w:val="-"/>
      <w:lvlJc w:val="left"/>
      <w:pPr>
        <w:ind w:left="1068" w:hanging="360"/>
      </w:pPr>
      <w:rPr>
        <w:rFonts w:ascii="Arial" w:eastAsiaTheme="minorHAnsi"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5CB54B25"/>
    <w:multiLevelType w:val="hybridMultilevel"/>
    <w:tmpl w:val="39085D84"/>
    <w:lvl w:ilvl="0" w:tplc="D55E1504">
      <w:start w:val="1"/>
      <w:numFmt w:val="decimal"/>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5BF3030"/>
    <w:multiLevelType w:val="hybridMultilevel"/>
    <w:tmpl w:val="8F1EEEDE"/>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6E0819"/>
    <w:multiLevelType w:val="hybridMultilevel"/>
    <w:tmpl w:val="9C2EF67A"/>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656EFA"/>
    <w:multiLevelType w:val="hybridMultilevel"/>
    <w:tmpl w:val="08002FBA"/>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B9E3F0C"/>
    <w:multiLevelType w:val="hybridMultilevel"/>
    <w:tmpl w:val="E2D24C00"/>
    <w:lvl w:ilvl="0" w:tplc="EB76A160">
      <w:start w:val="1"/>
      <w:numFmt w:val="decimal"/>
      <w:lvlText w:val="%1."/>
      <w:lvlJc w:val="left"/>
      <w:pPr>
        <w:ind w:left="720" w:hanging="360"/>
      </w:pPr>
      <w:rPr>
        <w:rFonts w:ascii="Arial" w:eastAsiaTheme="minorHAns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10"/>
  </w:num>
  <w:num w:numId="5">
    <w:abstractNumId w:val="1"/>
  </w:num>
  <w:num w:numId="6">
    <w:abstractNumId w:val="0"/>
  </w:num>
  <w:num w:numId="7">
    <w:abstractNumId w:val="4"/>
  </w:num>
  <w:num w:numId="8">
    <w:abstractNumId w:val="14"/>
  </w:num>
  <w:num w:numId="9">
    <w:abstractNumId w:val="13"/>
  </w:num>
  <w:num w:numId="10">
    <w:abstractNumId w:val="7"/>
  </w:num>
  <w:num w:numId="11">
    <w:abstractNumId w:val="2"/>
  </w:num>
  <w:num w:numId="12">
    <w:abstractNumId w:val="9"/>
  </w:num>
  <w:num w:numId="13">
    <w:abstractNumId w:val="8"/>
  </w:num>
  <w:num w:numId="14">
    <w:abstractNumId w:val="12"/>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BB"/>
    <w:rsid w:val="0000432F"/>
    <w:rsid w:val="00004537"/>
    <w:rsid w:val="00007AFC"/>
    <w:rsid w:val="00014051"/>
    <w:rsid w:val="000145AB"/>
    <w:rsid w:val="00015D7D"/>
    <w:rsid w:val="00023B50"/>
    <w:rsid w:val="00026B4B"/>
    <w:rsid w:val="00032E43"/>
    <w:rsid w:val="0004439B"/>
    <w:rsid w:val="00050526"/>
    <w:rsid w:val="00056FA5"/>
    <w:rsid w:val="000614D9"/>
    <w:rsid w:val="000624AB"/>
    <w:rsid w:val="00064AA3"/>
    <w:rsid w:val="00072919"/>
    <w:rsid w:val="0007361B"/>
    <w:rsid w:val="00077355"/>
    <w:rsid w:val="00086351"/>
    <w:rsid w:val="00086C36"/>
    <w:rsid w:val="00092E61"/>
    <w:rsid w:val="000A14B2"/>
    <w:rsid w:val="000A66EA"/>
    <w:rsid w:val="000A6D40"/>
    <w:rsid w:val="000B43D6"/>
    <w:rsid w:val="000B4BCA"/>
    <w:rsid w:val="000B4CDC"/>
    <w:rsid w:val="000B5899"/>
    <w:rsid w:val="000B79B9"/>
    <w:rsid w:val="000C023D"/>
    <w:rsid w:val="000C1FA2"/>
    <w:rsid w:val="000C4C93"/>
    <w:rsid w:val="000D09DA"/>
    <w:rsid w:val="000D40E3"/>
    <w:rsid w:val="000E1C05"/>
    <w:rsid w:val="000E6CC8"/>
    <w:rsid w:val="000F0282"/>
    <w:rsid w:val="000F0B97"/>
    <w:rsid w:val="000F4882"/>
    <w:rsid w:val="000F51F3"/>
    <w:rsid w:val="00100EFA"/>
    <w:rsid w:val="00103BBE"/>
    <w:rsid w:val="00114244"/>
    <w:rsid w:val="00123A71"/>
    <w:rsid w:val="00124379"/>
    <w:rsid w:val="00125699"/>
    <w:rsid w:val="00133724"/>
    <w:rsid w:val="00142940"/>
    <w:rsid w:val="00160295"/>
    <w:rsid w:val="00176EAC"/>
    <w:rsid w:val="00177320"/>
    <w:rsid w:val="001773D1"/>
    <w:rsid w:val="001849EB"/>
    <w:rsid w:val="00193018"/>
    <w:rsid w:val="00195200"/>
    <w:rsid w:val="001A38A9"/>
    <w:rsid w:val="001A411D"/>
    <w:rsid w:val="001A6745"/>
    <w:rsid w:val="001E0528"/>
    <w:rsid w:val="001E4B85"/>
    <w:rsid w:val="001F1795"/>
    <w:rsid w:val="001F2C61"/>
    <w:rsid w:val="001F75EF"/>
    <w:rsid w:val="002057B8"/>
    <w:rsid w:val="00207D74"/>
    <w:rsid w:val="002132B3"/>
    <w:rsid w:val="00222BEF"/>
    <w:rsid w:val="002271B6"/>
    <w:rsid w:val="00230D16"/>
    <w:rsid w:val="002324AE"/>
    <w:rsid w:val="002336E5"/>
    <w:rsid w:val="00233F9D"/>
    <w:rsid w:val="00236FAE"/>
    <w:rsid w:val="00240B01"/>
    <w:rsid w:val="00251663"/>
    <w:rsid w:val="00256CB7"/>
    <w:rsid w:val="002600D5"/>
    <w:rsid w:val="002718FF"/>
    <w:rsid w:val="00275D8E"/>
    <w:rsid w:val="00290DAB"/>
    <w:rsid w:val="002920D7"/>
    <w:rsid w:val="00297D0B"/>
    <w:rsid w:val="002A102D"/>
    <w:rsid w:val="002A3FBC"/>
    <w:rsid w:val="002A478D"/>
    <w:rsid w:val="002B1658"/>
    <w:rsid w:val="002B193C"/>
    <w:rsid w:val="002B25D9"/>
    <w:rsid w:val="002B37FD"/>
    <w:rsid w:val="002C20DC"/>
    <w:rsid w:val="002C4825"/>
    <w:rsid w:val="002C69D8"/>
    <w:rsid w:val="002D4150"/>
    <w:rsid w:val="002F0E70"/>
    <w:rsid w:val="002F4FF0"/>
    <w:rsid w:val="002F603A"/>
    <w:rsid w:val="002F74DC"/>
    <w:rsid w:val="002F7FB5"/>
    <w:rsid w:val="003036B3"/>
    <w:rsid w:val="00303BEB"/>
    <w:rsid w:val="00305FCB"/>
    <w:rsid w:val="00312374"/>
    <w:rsid w:val="003131C0"/>
    <w:rsid w:val="00314D3F"/>
    <w:rsid w:val="00316FD3"/>
    <w:rsid w:val="003304AD"/>
    <w:rsid w:val="003376F7"/>
    <w:rsid w:val="00340F33"/>
    <w:rsid w:val="00352446"/>
    <w:rsid w:val="00353F1B"/>
    <w:rsid w:val="00361239"/>
    <w:rsid w:val="00361350"/>
    <w:rsid w:val="0036494D"/>
    <w:rsid w:val="00372629"/>
    <w:rsid w:val="003735E9"/>
    <w:rsid w:val="003766F0"/>
    <w:rsid w:val="00377F11"/>
    <w:rsid w:val="00382707"/>
    <w:rsid w:val="00385961"/>
    <w:rsid w:val="0039007C"/>
    <w:rsid w:val="00395145"/>
    <w:rsid w:val="003A4A2A"/>
    <w:rsid w:val="003B0350"/>
    <w:rsid w:val="003B1B32"/>
    <w:rsid w:val="003B298E"/>
    <w:rsid w:val="003C439B"/>
    <w:rsid w:val="003E6DFE"/>
    <w:rsid w:val="00401945"/>
    <w:rsid w:val="00412EB4"/>
    <w:rsid w:val="00415408"/>
    <w:rsid w:val="004154AC"/>
    <w:rsid w:val="00421F62"/>
    <w:rsid w:val="004222C2"/>
    <w:rsid w:val="0042383A"/>
    <w:rsid w:val="004458BD"/>
    <w:rsid w:val="00453225"/>
    <w:rsid w:val="00453FBF"/>
    <w:rsid w:val="004658AB"/>
    <w:rsid w:val="00470980"/>
    <w:rsid w:val="004750B9"/>
    <w:rsid w:val="00476B73"/>
    <w:rsid w:val="004775A3"/>
    <w:rsid w:val="004777CF"/>
    <w:rsid w:val="00482A9A"/>
    <w:rsid w:val="00486760"/>
    <w:rsid w:val="00487B62"/>
    <w:rsid w:val="00497684"/>
    <w:rsid w:val="004A16D1"/>
    <w:rsid w:val="004A2753"/>
    <w:rsid w:val="004B4593"/>
    <w:rsid w:val="004B6835"/>
    <w:rsid w:val="004C6455"/>
    <w:rsid w:val="004C64C8"/>
    <w:rsid w:val="004D21B0"/>
    <w:rsid w:val="004D5B68"/>
    <w:rsid w:val="004E7199"/>
    <w:rsid w:val="005017D4"/>
    <w:rsid w:val="00515A16"/>
    <w:rsid w:val="00515C64"/>
    <w:rsid w:val="00516C13"/>
    <w:rsid w:val="00527058"/>
    <w:rsid w:val="0054138C"/>
    <w:rsid w:val="00553B40"/>
    <w:rsid w:val="00556372"/>
    <w:rsid w:val="00556BBF"/>
    <w:rsid w:val="00561A49"/>
    <w:rsid w:val="00566C79"/>
    <w:rsid w:val="00571FAB"/>
    <w:rsid w:val="00580D36"/>
    <w:rsid w:val="005C4408"/>
    <w:rsid w:val="005D77D6"/>
    <w:rsid w:val="005E75F6"/>
    <w:rsid w:val="005F4316"/>
    <w:rsid w:val="00603EE2"/>
    <w:rsid w:val="006112F0"/>
    <w:rsid w:val="0061438C"/>
    <w:rsid w:val="00614E03"/>
    <w:rsid w:val="00615FA5"/>
    <w:rsid w:val="00631578"/>
    <w:rsid w:val="0063427B"/>
    <w:rsid w:val="00641396"/>
    <w:rsid w:val="0064257D"/>
    <w:rsid w:val="00644BAD"/>
    <w:rsid w:val="00665906"/>
    <w:rsid w:val="00665AAD"/>
    <w:rsid w:val="006712B1"/>
    <w:rsid w:val="00685D5D"/>
    <w:rsid w:val="00690601"/>
    <w:rsid w:val="006906DC"/>
    <w:rsid w:val="006977CB"/>
    <w:rsid w:val="0069785D"/>
    <w:rsid w:val="006A2765"/>
    <w:rsid w:val="006A39A0"/>
    <w:rsid w:val="006A449D"/>
    <w:rsid w:val="006B1446"/>
    <w:rsid w:val="006B3B1E"/>
    <w:rsid w:val="006C063A"/>
    <w:rsid w:val="006D1438"/>
    <w:rsid w:val="006D3EA6"/>
    <w:rsid w:val="006D56A7"/>
    <w:rsid w:val="006F191C"/>
    <w:rsid w:val="006F20AB"/>
    <w:rsid w:val="007052A2"/>
    <w:rsid w:val="00712C19"/>
    <w:rsid w:val="00727ACE"/>
    <w:rsid w:val="00740E20"/>
    <w:rsid w:val="00744EA2"/>
    <w:rsid w:val="0074752D"/>
    <w:rsid w:val="00754454"/>
    <w:rsid w:val="007549A1"/>
    <w:rsid w:val="00770F40"/>
    <w:rsid w:val="0078094F"/>
    <w:rsid w:val="007841FC"/>
    <w:rsid w:val="00785624"/>
    <w:rsid w:val="00792671"/>
    <w:rsid w:val="00793638"/>
    <w:rsid w:val="00797229"/>
    <w:rsid w:val="00797C7B"/>
    <w:rsid w:val="007A75A3"/>
    <w:rsid w:val="007C0DDF"/>
    <w:rsid w:val="007C12B6"/>
    <w:rsid w:val="007C5D42"/>
    <w:rsid w:val="007D31C4"/>
    <w:rsid w:val="007F23B4"/>
    <w:rsid w:val="007F2B12"/>
    <w:rsid w:val="007F557C"/>
    <w:rsid w:val="007F564F"/>
    <w:rsid w:val="00800EBB"/>
    <w:rsid w:val="00807B3B"/>
    <w:rsid w:val="008102BF"/>
    <w:rsid w:val="00816877"/>
    <w:rsid w:val="008217D1"/>
    <w:rsid w:val="0082502E"/>
    <w:rsid w:val="00825339"/>
    <w:rsid w:val="00825787"/>
    <w:rsid w:val="0083189C"/>
    <w:rsid w:val="00867B4D"/>
    <w:rsid w:val="00871CCF"/>
    <w:rsid w:val="00881230"/>
    <w:rsid w:val="00882917"/>
    <w:rsid w:val="008853DE"/>
    <w:rsid w:val="008900CF"/>
    <w:rsid w:val="0089117D"/>
    <w:rsid w:val="0089320C"/>
    <w:rsid w:val="00895D18"/>
    <w:rsid w:val="008A2BA1"/>
    <w:rsid w:val="008B04D4"/>
    <w:rsid w:val="008B338D"/>
    <w:rsid w:val="008B40EC"/>
    <w:rsid w:val="008C100C"/>
    <w:rsid w:val="008C1023"/>
    <w:rsid w:val="008C1E06"/>
    <w:rsid w:val="008C4A81"/>
    <w:rsid w:val="008D3EFF"/>
    <w:rsid w:val="008E35B9"/>
    <w:rsid w:val="008E4E89"/>
    <w:rsid w:val="008F17C7"/>
    <w:rsid w:val="008F5489"/>
    <w:rsid w:val="008F6BB4"/>
    <w:rsid w:val="00902785"/>
    <w:rsid w:val="00907CCE"/>
    <w:rsid w:val="00912776"/>
    <w:rsid w:val="00933701"/>
    <w:rsid w:val="00934078"/>
    <w:rsid w:val="00934DF5"/>
    <w:rsid w:val="00940780"/>
    <w:rsid w:val="009518B6"/>
    <w:rsid w:val="0095324E"/>
    <w:rsid w:val="00960FC9"/>
    <w:rsid w:val="009611BA"/>
    <w:rsid w:val="009638EE"/>
    <w:rsid w:val="00973B03"/>
    <w:rsid w:val="00974509"/>
    <w:rsid w:val="009802C8"/>
    <w:rsid w:val="00983C30"/>
    <w:rsid w:val="00984619"/>
    <w:rsid w:val="00986528"/>
    <w:rsid w:val="00993C1D"/>
    <w:rsid w:val="00994BEE"/>
    <w:rsid w:val="009A388B"/>
    <w:rsid w:val="009B5DB8"/>
    <w:rsid w:val="009C6535"/>
    <w:rsid w:val="009C7231"/>
    <w:rsid w:val="009D59D8"/>
    <w:rsid w:val="009D67F7"/>
    <w:rsid w:val="00A004AD"/>
    <w:rsid w:val="00A0201E"/>
    <w:rsid w:val="00A03D6D"/>
    <w:rsid w:val="00A06F0A"/>
    <w:rsid w:val="00A10B79"/>
    <w:rsid w:val="00A13FA8"/>
    <w:rsid w:val="00A233A4"/>
    <w:rsid w:val="00A25F87"/>
    <w:rsid w:val="00A36999"/>
    <w:rsid w:val="00A37A54"/>
    <w:rsid w:val="00A42912"/>
    <w:rsid w:val="00A52998"/>
    <w:rsid w:val="00A60369"/>
    <w:rsid w:val="00A60DD8"/>
    <w:rsid w:val="00A63A05"/>
    <w:rsid w:val="00A679CF"/>
    <w:rsid w:val="00A746EF"/>
    <w:rsid w:val="00A77834"/>
    <w:rsid w:val="00A829BF"/>
    <w:rsid w:val="00A866FE"/>
    <w:rsid w:val="00A86C17"/>
    <w:rsid w:val="00AA3F71"/>
    <w:rsid w:val="00AA4369"/>
    <w:rsid w:val="00AB0CDE"/>
    <w:rsid w:val="00AC1577"/>
    <w:rsid w:val="00AC6741"/>
    <w:rsid w:val="00AD0165"/>
    <w:rsid w:val="00AE25C3"/>
    <w:rsid w:val="00AF24AD"/>
    <w:rsid w:val="00AF5380"/>
    <w:rsid w:val="00AF71A3"/>
    <w:rsid w:val="00B1679E"/>
    <w:rsid w:val="00B20350"/>
    <w:rsid w:val="00B20D89"/>
    <w:rsid w:val="00B25D1C"/>
    <w:rsid w:val="00B270A9"/>
    <w:rsid w:val="00B3129F"/>
    <w:rsid w:val="00B42A17"/>
    <w:rsid w:val="00B44EF7"/>
    <w:rsid w:val="00B5409B"/>
    <w:rsid w:val="00B61686"/>
    <w:rsid w:val="00B73844"/>
    <w:rsid w:val="00B77AF1"/>
    <w:rsid w:val="00B81139"/>
    <w:rsid w:val="00B834B0"/>
    <w:rsid w:val="00BA0D2A"/>
    <w:rsid w:val="00BA5A09"/>
    <w:rsid w:val="00BA6FF7"/>
    <w:rsid w:val="00BA7D5B"/>
    <w:rsid w:val="00BB3291"/>
    <w:rsid w:val="00BD09A9"/>
    <w:rsid w:val="00BD0AFE"/>
    <w:rsid w:val="00BE26BC"/>
    <w:rsid w:val="00BE298E"/>
    <w:rsid w:val="00BE60A6"/>
    <w:rsid w:val="00C175BB"/>
    <w:rsid w:val="00C203E4"/>
    <w:rsid w:val="00C20B6E"/>
    <w:rsid w:val="00C23474"/>
    <w:rsid w:val="00C2481A"/>
    <w:rsid w:val="00C24C81"/>
    <w:rsid w:val="00C25C87"/>
    <w:rsid w:val="00C26533"/>
    <w:rsid w:val="00C326E2"/>
    <w:rsid w:val="00C3654D"/>
    <w:rsid w:val="00C36734"/>
    <w:rsid w:val="00C63372"/>
    <w:rsid w:val="00C6615A"/>
    <w:rsid w:val="00C73EDB"/>
    <w:rsid w:val="00C76683"/>
    <w:rsid w:val="00C77AF2"/>
    <w:rsid w:val="00C8173A"/>
    <w:rsid w:val="00C95646"/>
    <w:rsid w:val="00C96F01"/>
    <w:rsid w:val="00CA57AA"/>
    <w:rsid w:val="00CA708D"/>
    <w:rsid w:val="00CB1913"/>
    <w:rsid w:val="00CB2FE4"/>
    <w:rsid w:val="00CB7D09"/>
    <w:rsid w:val="00CC5D71"/>
    <w:rsid w:val="00CC79AC"/>
    <w:rsid w:val="00CD0FDF"/>
    <w:rsid w:val="00CE6BD3"/>
    <w:rsid w:val="00CF1F72"/>
    <w:rsid w:val="00D00F2D"/>
    <w:rsid w:val="00D0423F"/>
    <w:rsid w:val="00D04FC5"/>
    <w:rsid w:val="00D11DFF"/>
    <w:rsid w:val="00D147AB"/>
    <w:rsid w:val="00D27444"/>
    <w:rsid w:val="00D30D96"/>
    <w:rsid w:val="00D321B6"/>
    <w:rsid w:val="00D34154"/>
    <w:rsid w:val="00D43D7F"/>
    <w:rsid w:val="00D569C3"/>
    <w:rsid w:val="00D63D98"/>
    <w:rsid w:val="00D67DED"/>
    <w:rsid w:val="00D728F6"/>
    <w:rsid w:val="00D82A9A"/>
    <w:rsid w:val="00D8369D"/>
    <w:rsid w:val="00D902FA"/>
    <w:rsid w:val="00D90F79"/>
    <w:rsid w:val="00D92012"/>
    <w:rsid w:val="00D924B1"/>
    <w:rsid w:val="00DA09A2"/>
    <w:rsid w:val="00DB24DA"/>
    <w:rsid w:val="00DB5C0B"/>
    <w:rsid w:val="00DC5A33"/>
    <w:rsid w:val="00DD0386"/>
    <w:rsid w:val="00DD03D5"/>
    <w:rsid w:val="00DD5205"/>
    <w:rsid w:val="00DD7E70"/>
    <w:rsid w:val="00DF0325"/>
    <w:rsid w:val="00DF271D"/>
    <w:rsid w:val="00DF2EAD"/>
    <w:rsid w:val="00DF618B"/>
    <w:rsid w:val="00E00A6E"/>
    <w:rsid w:val="00E00C9C"/>
    <w:rsid w:val="00E02D63"/>
    <w:rsid w:val="00E14140"/>
    <w:rsid w:val="00E260FB"/>
    <w:rsid w:val="00E31EF6"/>
    <w:rsid w:val="00E336C2"/>
    <w:rsid w:val="00E35553"/>
    <w:rsid w:val="00E515A5"/>
    <w:rsid w:val="00E56368"/>
    <w:rsid w:val="00E60060"/>
    <w:rsid w:val="00E67EFF"/>
    <w:rsid w:val="00E76AC8"/>
    <w:rsid w:val="00E811C9"/>
    <w:rsid w:val="00E84696"/>
    <w:rsid w:val="00E86B1D"/>
    <w:rsid w:val="00E96FBA"/>
    <w:rsid w:val="00EA294D"/>
    <w:rsid w:val="00EC6189"/>
    <w:rsid w:val="00ED0C70"/>
    <w:rsid w:val="00ED559D"/>
    <w:rsid w:val="00ED5D4B"/>
    <w:rsid w:val="00ED6BFC"/>
    <w:rsid w:val="00EE139D"/>
    <w:rsid w:val="00EE191B"/>
    <w:rsid w:val="00EE35FB"/>
    <w:rsid w:val="00EE48B0"/>
    <w:rsid w:val="00EE577B"/>
    <w:rsid w:val="00EF437D"/>
    <w:rsid w:val="00EF61A5"/>
    <w:rsid w:val="00EF70B3"/>
    <w:rsid w:val="00F01029"/>
    <w:rsid w:val="00F05EAB"/>
    <w:rsid w:val="00F12506"/>
    <w:rsid w:val="00F13A71"/>
    <w:rsid w:val="00F13E55"/>
    <w:rsid w:val="00F15D0F"/>
    <w:rsid w:val="00F34B04"/>
    <w:rsid w:val="00F352AF"/>
    <w:rsid w:val="00F3780C"/>
    <w:rsid w:val="00F57AC0"/>
    <w:rsid w:val="00F66024"/>
    <w:rsid w:val="00F703A6"/>
    <w:rsid w:val="00F723AF"/>
    <w:rsid w:val="00F73A39"/>
    <w:rsid w:val="00F74CFF"/>
    <w:rsid w:val="00F777F1"/>
    <w:rsid w:val="00F80D2E"/>
    <w:rsid w:val="00F86382"/>
    <w:rsid w:val="00F871A5"/>
    <w:rsid w:val="00F93482"/>
    <w:rsid w:val="00FA053A"/>
    <w:rsid w:val="00FA3F63"/>
    <w:rsid w:val="00FA6083"/>
    <w:rsid w:val="00FA65FA"/>
    <w:rsid w:val="00FC0141"/>
    <w:rsid w:val="00FC51F9"/>
    <w:rsid w:val="00FC621A"/>
    <w:rsid w:val="00FD14DB"/>
    <w:rsid w:val="00FD34E5"/>
    <w:rsid w:val="00FD3D38"/>
    <w:rsid w:val="00FD3E16"/>
    <w:rsid w:val="00FE0DA1"/>
    <w:rsid w:val="00FE2F9D"/>
    <w:rsid w:val="00FE59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95B5C-9109-4937-9745-C12C5DB9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0A66EA"/>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0A66EA"/>
    <w:rPr>
      <w:rFonts w:ascii="Segoe UI" w:hAnsi="Segoe UI" w:cs="Segoe UI"/>
      <w:sz w:val="18"/>
      <w:szCs w:val="18"/>
    </w:rPr>
  </w:style>
  <w:style w:type="paragraph" w:styleId="Pargrafdellista">
    <w:name w:val="List Paragraph"/>
    <w:basedOn w:val="Normal"/>
    <w:uiPriority w:val="34"/>
    <w:qFormat/>
    <w:rsid w:val="003036B3"/>
    <w:pPr>
      <w:ind w:left="720"/>
      <w:contextualSpacing/>
    </w:pPr>
  </w:style>
  <w:style w:type="paragraph" w:styleId="Textdenotaapeudepgina">
    <w:name w:val="footnote text"/>
    <w:basedOn w:val="Normal"/>
    <w:link w:val="TextdenotaapeudepginaCar"/>
    <w:uiPriority w:val="99"/>
    <w:unhideWhenUsed/>
    <w:rsid w:val="000624AB"/>
    <w:pPr>
      <w:spacing w:after="0" w:line="240" w:lineRule="auto"/>
    </w:pPr>
    <w:rPr>
      <w:sz w:val="20"/>
      <w:szCs w:val="20"/>
      <w:lang w:val="en-GB"/>
    </w:rPr>
  </w:style>
  <w:style w:type="character" w:customStyle="1" w:styleId="TextdenotaapeudepginaCar">
    <w:name w:val="Text de nota a peu de pàgina Car"/>
    <w:basedOn w:val="Tipusdelletraperdefectedelpargraf"/>
    <w:link w:val="Textdenotaapeudepgina"/>
    <w:uiPriority w:val="99"/>
    <w:rsid w:val="000624AB"/>
    <w:rPr>
      <w:sz w:val="20"/>
      <w:szCs w:val="20"/>
      <w:lang w:val="en-GB"/>
    </w:rPr>
  </w:style>
  <w:style w:type="character" w:styleId="Refernciadenotaapeudepgina">
    <w:name w:val="footnote reference"/>
    <w:basedOn w:val="Tipusdelletraperdefectedelpargraf"/>
    <w:uiPriority w:val="99"/>
    <w:semiHidden/>
    <w:unhideWhenUsed/>
    <w:rsid w:val="000624AB"/>
    <w:rPr>
      <w:vertAlign w:val="superscript"/>
    </w:rPr>
  </w:style>
  <w:style w:type="character" w:styleId="Enlla">
    <w:name w:val="Hyperlink"/>
    <w:basedOn w:val="Tipusdelletraperdefectedelpargraf"/>
    <w:uiPriority w:val="99"/>
    <w:unhideWhenUsed/>
    <w:rsid w:val="00D321B6"/>
    <w:rPr>
      <w:color w:val="0563C1" w:themeColor="hyperlink"/>
      <w:u w:val="single"/>
    </w:rPr>
  </w:style>
  <w:style w:type="character" w:customStyle="1" w:styleId="l6">
    <w:name w:val="l6"/>
    <w:basedOn w:val="Tipusdelletraperdefectedelpargraf"/>
    <w:rsid w:val="00933701"/>
  </w:style>
  <w:style w:type="paragraph" w:styleId="NormalWeb">
    <w:name w:val="Normal (Web)"/>
    <w:basedOn w:val="Normal"/>
    <w:uiPriority w:val="99"/>
    <w:unhideWhenUsed/>
    <w:rsid w:val="001849EB"/>
    <w:rPr>
      <w:rFonts w:ascii="Times New Roman" w:hAnsi="Times New Roman" w:cs="Times New Roman"/>
      <w:sz w:val="24"/>
      <w:szCs w:val="24"/>
    </w:rPr>
  </w:style>
  <w:style w:type="paragraph" w:customStyle="1" w:styleId="nova-e-listitem">
    <w:name w:val="nova-e-list__item"/>
    <w:basedOn w:val="Normal"/>
    <w:rsid w:val="008B04D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apalera">
    <w:name w:val="header"/>
    <w:basedOn w:val="Normal"/>
    <w:link w:val="CapaleraCar"/>
    <w:uiPriority w:val="99"/>
    <w:unhideWhenUsed/>
    <w:rsid w:val="00372629"/>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72629"/>
  </w:style>
  <w:style w:type="paragraph" w:styleId="Peu">
    <w:name w:val="footer"/>
    <w:basedOn w:val="Normal"/>
    <w:link w:val="PeuCar"/>
    <w:uiPriority w:val="99"/>
    <w:unhideWhenUsed/>
    <w:rsid w:val="00372629"/>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372629"/>
  </w:style>
  <w:style w:type="character" w:styleId="mfasi">
    <w:name w:val="Emphasis"/>
    <w:basedOn w:val="Tipusdelletraperdefectedelpargraf"/>
    <w:uiPriority w:val="20"/>
    <w:qFormat/>
    <w:rsid w:val="008B40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23">
      <w:bodyDiv w:val="1"/>
      <w:marLeft w:val="0"/>
      <w:marRight w:val="0"/>
      <w:marTop w:val="0"/>
      <w:marBottom w:val="0"/>
      <w:divBdr>
        <w:top w:val="none" w:sz="0" w:space="0" w:color="auto"/>
        <w:left w:val="none" w:sz="0" w:space="0" w:color="auto"/>
        <w:bottom w:val="none" w:sz="0" w:space="0" w:color="auto"/>
        <w:right w:val="none" w:sz="0" w:space="0" w:color="auto"/>
      </w:divBdr>
      <w:divsChild>
        <w:div w:id="826868153">
          <w:marLeft w:val="0"/>
          <w:marRight w:val="0"/>
          <w:marTop w:val="0"/>
          <w:marBottom w:val="0"/>
          <w:divBdr>
            <w:top w:val="none" w:sz="0" w:space="0" w:color="auto"/>
            <w:left w:val="none" w:sz="0" w:space="0" w:color="auto"/>
            <w:bottom w:val="none" w:sz="0" w:space="0" w:color="auto"/>
            <w:right w:val="none" w:sz="0" w:space="0" w:color="auto"/>
          </w:divBdr>
        </w:div>
        <w:div w:id="269898651">
          <w:marLeft w:val="0"/>
          <w:marRight w:val="0"/>
          <w:marTop w:val="0"/>
          <w:marBottom w:val="0"/>
          <w:divBdr>
            <w:top w:val="none" w:sz="0" w:space="0" w:color="auto"/>
            <w:left w:val="none" w:sz="0" w:space="0" w:color="auto"/>
            <w:bottom w:val="none" w:sz="0" w:space="0" w:color="auto"/>
            <w:right w:val="none" w:sz="0" w:space="0" w:color="auto"/>
          </w:divBdr>
        </w:div>
      </w:divsChild>
    </w:div>
    <w:div w:id="442655323">
      <w:bodyDiv w:val="1"/>
      <w:marLeft w:val="0"/>
      <w:marRight w:val="0"/>
      <w:marTop w:val="0"/>
      <w:marBottom w:val="0"/>
      <w:divBdr>
        <w:top w:val="none" w:sz="0" w:space="0" w:color="auto"/>
        <w:left w:val="none" w:sz="0" w:space="0" w:color="auto"/>
        <w:bottom w:val="none" w:sz="0" w:space="0" w:color="auto"/>
        <w:right w:val="none" w:sz="0" w:space="0" w:color="auto"/>
      </w:divBdr>
    </w:div>
    <w:div w:id="555357978">
      <w:bodyDiv w:val="1"/>
      <w:marLeft w:val="0"/>
      <w:marRight w:val="0"/>
      <w:marTop w:val="0"/>
      <w:marBottom w:val="0"/>
      <w:divBdr>
        <w:top w:val="none" w:sz="0" w:space="0" w:color="auto"/>
        <w:left w:val="none" w:sz="0" w:space="0" w:color="auto"/>
        <w:bottom w:val="none" w:sz="0" w:space="0" w:color="auto"/>
        <w:right w:val="none" w:sz="0" w:space="0" w:color="auto"/>
      </w:divBdr>
    </w:div>
    <w:div w:id="1249921496">
      <w:bodyDiv w:val="1"/>
      <w:marLeft w:val="0"/>
      <w:marRight w:val="0"/>
      <w:marTop w:val="0"/>
      <w:marBottom w:val="0"/>
      <w:divBdr>
        <w:top w:val="none" w:sz="0" w:space="0" w:color="auto"/>
        <w:left w:val="none" w:sz="0" w:space="0" w:color="auto"/>
        <w:bottom w:val="none" w:sz="0" w:space="0" w:color="auto"/>
        <w:right w:val="none" w:sz="0" w:space="0" w:color="auto"/>
      </w:divBdr>
    </w:div>
    <w:div w:id="1936089990">
      <w:bodyDiv w:val="1"/>
      <w:marLeft w:val="0"/>
      <w:marRight w:val="0"/>
      <w:marTop w:val="0"/>
      <w:marBottom w:val="0"/>
      <w:divBdr>
        <w:top w:val="none" w:sz="0" w:space="0" w:color="auto"/>
        <w:left w:val="none" w:sz="0" w:space="0" w:color="auto"/>
        <w:bottom w:val="none" w:sz="0" w:space="0" w:color="auto"/>
        <w:right w:val="none" w:sz="0" w:space="0" w:color="auto"/>
      </w:divBdr>
    </w:div>
    <w:div w:id="21010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E244-9F22-449D-9F3D-685C3F2A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8635</Words>
  <Characters>47496</Characters>
  <Application>Microsoft Office Word</Application>
  <DocSecurity>0</DocSecurity>
  <Lines>395</Lines>
  <Paragraphs>112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2021-06-28T12:01:00Z</cp:lastPrinted>
  <dcterms:created xsi:type="dcterms:W3CDTF">2022-11-27T22:00:00Z</dcterms:created>
  <dcterms:modified xsi:type="dcterms:W3CDTF">2022-11-27T22:00:00Z</dcterms:modified>
</cp:coreProperties>
</file>