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2F42" w14:textId="1A67995A" w:rsidR="00135C5D" w:rsidRPr="0072632C" w:rsidRDefault="0072632C">
      <w:pPr>
        <w:rPr>
          <w:rFonts w:ascii="Helvetica" w:hAnsi="Helvetica"/>
          <w:lang w:val="ca-ES"/>
        </w:rPr>
      </w:pPr>
      <w:r w:rsidRPr="0072632C">
        <w:rPr>
          <w:rFonts w:ascii="Helvetica" w:hAnsi="Helvetica"/>
          <w:lang w:val="ca-ES"/>
        </w:rPr>
        <w:t>Resum executiu</w:t>
      </w:r>
    </w:p>
    <w:p w14:paraId="3D4859EC" w14:textId="77777777" w:rsidR="0072632C" w:rsidRDefault="0072632C">
      <w:pPr>
        <w:rPr>
          <w:rFonts w:ascii="Helvetica" w:hAnsi="Helvetica"/>
          <w:lang w:val="ca-ES"/>
        </w:rPr>
      </w:pPr>
    </w:p>
    <w:p w14:paraId="634132FF" w14:textId="77777777" w:rsidR="0072632C" w:rsidRPr="00D06C9C" w:rsidRDefault="0072632C" w:rsidP="0072632C">
      <w:pPr>
        <w:spacing w:line="276" w:lineRule="auto"/>
        <w:jc w:val="both"/>
        <w:rPr>
          <w:rFonts w:ascii="Helvetica" w:hAnsi="Helvetica" w:cs="Arial"/>
          <w:color w:val="000000" w:themeColor="text1"/>
          <w:shd w:val="clear" w:color="auto" w:fill="FFFFFF"/>
          <w:lang w:val="ca-ES"/>
        </w:rPr>
      </w:pPr>
      <w:r w:rsidRPr="00D06C9C">
        <w:rPr>
          <w:rFonts w:ascii="Helvetica" w:hAnsi="Helvetica" w:cs="Arial"/>
          <w:color w:val="000000" w:themeColor="text1"/>
          <w:shd w:val="clear" w:color="auto" w:fill="FFFFFF"/>
          <w:lang w:val="ca-ES"/>
        </w:rPr>
        <w:t xml:space="preserve">Des d’inicis del segle XXI, els nostres municipis ja no son administracions bolcades quasi exclusivament a un número molt reduït de funcions bàsiques. Des d’aquest moment, la necessitat de millorar els mecanismes de comunicació i consulta per assegurar una governança participativa i sostenible en la formulació de polítiques municipals és fonamental. Aquesta recerca examina la repercussió de la manca de participació ciutadana en la implementació d’un nou sistema de recollida de residus a Ripollet, especialment en relació amb la derrota del govern de Decidim Ripollet a les eleccions municipals del 2023 presumptament conseqüent. Mitjançant </w:t>
      </w:r>
      <w:r>
        <w:rPr>
          <w:rFonts w:ascii="Helvetica" w:hAnsi="Helvetica" w:cs="Arial"/>
          <w:color w:val="000000" w:themeColor="text1"/>
          <w:shd w:val="clear" w:color="auto" w:fill="FFFFFF"/>
          <w:lang w:val="ca-ES"/>
        </w:rPr>
        <w:t xml:space="preserve">aquest </w:t>
      </w:r>
      <w:r w:rsidRPr="0092329A">
        <w:rPr>
          <w:rFonts w:ascii="Helvetica" w:hAnsi="Helvetica" w:cs="Arial"/>
          <w:i/>
          <w:iCs/>
          <w:color w:val="000000" w:themeColor="text1"/>
          <w:shd w:val="clear" w:color="auto" w:fill="FFFFFF"/>
          <w:lang w:val="ca-ES"/>
        </w:rPr>
        <w:t>policy paper</w:t>
      </w:r>
      <w:r w:rsidRPr="00D06C9C">
        <w:rPr>
          <w:rFonts w:ascii="Helvetica" w:hAnsi="Helvetica" w:cs="Arial"/>
          <w:color w:val="000000" w:themeColor="text1"/>
          <w:shd w:val="clear" w:color="auto" w:fill="FFFFFF"/>
          <w:lang w:val="ca-ES"/>
        </w:rPr>
        <w:t xml:space="preserve">, s’investiguen les causes d’aquesta falta d’implicació ciutadana i les conseqüències polítiques resultants. </w:t>
      </w:r>
    </w:p>
    <w:p w14:paraId="574E41E4" w14:textId="77777777" w:rsidR="0072632C" w:rsidRPr="00D06C9C" w:rsidRDefault="0072632C" w:rsidP="0072632C">
      <w:pPr>
        <w:spacing w:line="276" w:lineRule="auto"/>
        <w:jc w:val="both"/>
        <w:rPr>
          <w:rFonts w:ascii="Helvetica" w:hAnsi="Helvetica" w:cs="Arial"/>
          <w:color w:val="000000" w:themeColor="text1"/>
          <w:shd w:val="clear" w:color="auto" w:fill="FFFFFF"/>
          <w:lang w:val="ca-ES"/>
        </w:rPr>
      </w:pPr>
      <w:r w:rsidRPr="00D06C9C">
        <w:rPr>
          <w:rFonts w:ascii="Helvetica" w:hAnsi="Helvetica" w:cs="Arial"/>
          <w:color w:val="000000" w:themeColor="text1"/>
          <w:shd w:val="clear" w:color="auto" w:fill="FFFFFF"/>
          <w:lang w:val="ca-ES"/>
        </w:rPr>
        <w:t xml:space="preserve">Les conclusions ressalten la importància crítica d’establir una relació positiva entre la participació ciutadana i el suport electoral per mantenir la legitimitat i estabilitat dels governs locals. </w:t>
      </w:r>
    </w:p>
    <w:p w14:paraId="7042BF30" w14:textId="77777777" w:rsidR="0072632C" w:rsidRPr="00D06C9C" w:rsidRDefault="0072632C" w:rsidP="0072632C">
      <w:pPr>
        <w:spacing w:line="276" w:lineRule="auto"/>
        <w:jc w:val="both"/>
        <w:rPr>
          <w:rFonts w:ascii="Helvetica" w:hAnsi="Helvetica" w:cs="Arial"/>
          <w:color w:val="000000" w:themeColor="text1"/>
          <w:shd w:val="clear" w:color="auto" w:fill="FFFFFF"/>
          <w:lang w:val="ca-ES"/>
        </w:rPr>
      </w:pPr>
    </w:p>
    <w:p w14:paraId="4BAD7BD7" w14:textId="77777777" w:rsidR="0072632C" w:rsidRPr="00D06C9C" w:rsidRDefault="0072632C" w:rsidP="0072632C">
      <w:pPr>
        <w:spacing w:line="276" w:lineRule="auto"/>
        <w:jc w:val="both"/>
        <w:rPr>
          <w:rFonts w:ascii="Helvetica" w:hAnsi="Helvetica"/>
          <w:shd w:val="clear" w:color="auto" w:fill="FFFFFF"/>
          <w:lang w:val="ca-ES"/>
        </w:rPr>
      </w:pPr>
      <w:proofErr w:type="spellStart"/>
      <w:r w:rsidRPr="00D06C9C">
        <w:rPr>
          <w:rFonts w:ascii="Helvetica" w:hAnsi="Helvetica"/>
        </w:rPr>
        <w:t>Paraules</w:t>
      </w:r>
      <w:proofErr w:type="spellEnd"/>
      <w:r w:rsidRPr="00D06C9C">
        <w:rPr>
          <w:rFonts w:ascii="Helvetica" w:hAnsi="Helvetica"/>
        </w:rPr>
        <w:t xml:space="preserve"> </w:t>
      </w:r>
      <w:proofErr w:type="spellStart"/>
      <w:r w:rsidRPr="00D06C9C">
        <w:rPr>
          <w:rFonts w:ascii="Helvetica" w:hAnsi="Helvetica"/>
        </w:rPr>
        <w:t>clau</w:t>
      </w:r>
      <w:proofErr w:type="spellEnd"/>
      <w:r w:rsidRPr="00D06C9C">
        <w:rPr>
          <w:rFonts w:ascii="Helvetica" w:hAnsi="Helvetica"/>
        </w:rPr>
        <w:t>:</w:t>
      </w:r>
      <w:r w:rsidRPr="00D06C9C">
        <w:rPr>
          <w:rFonts w:ascii="Helvetica" w:hAnsi="Helvetica"/>
          <w:shd w:val="clear" w:color="auto" w:fill="FFFFFF"/>
          <w:lang w:val="ca-ES"/>
        </w:rPr>
        <w:t xml:space="preserve"> </w:t>
      </w:r>
      <w:r w:rsidRPr="00D06C9C">
        <w:rPr>
          <w:rFonts w:ascii="Helvetica" w:hAnsi="Helvetica"/>
          <w:i/>
          <w:iCs/>
          <w:shd w:val="clear" w:color="auto" w:fill="FFFFFF"/>
          <w:lang w:val="ca-ES"/>
        </w:rPr>
        <w:t>participació ciutadana,</w:t>
      </w:r>
      <w:r>
        <w:rPr>
          <w:rFonts w:ascii="Helvetica" w:hAnsi="Helvetica"/>
          <w:i/>
          <w:iCs/>
          <w:shd w:val="clear" w:color="auto" w:fill="FFFFFF"/>
          <w:lang w:val="ca-ES"/>
        </w:rPr>
        <w:t xml:space="preserve"> </w:t>
      </w:r>
      <w:r w:rsidRPr="00D06C9C">
        <w:rPr>
          <w:rFonts w:ascii="Helvetica" w:hAnsi="Helvetica"/>
          <w:i/>
          <w:iCs/>
          <w:shd w:val="clear" w:color="auto" w:fill="FFFFFF"/>
          <w:lang w:val="ca-ES"/>
        </w:rPr>
        <w:t xml:space="preserve">recollida de residus, </w:t>
      </w:r>
      <w:r>
        <w:rPr>
          <w:rFonts w:ascii="Helvetica" w:hAnsi="Helvetica"/>
          <w:i/>
          <w:iCs/>
          <w:shd w:val="clear" w:color="auto" w:fill="FFFFFF"/>
          <w:lang w:val="ca-ES"/>
        </w:rPr>
        <w:t xml:space="preserve">sostenibilitat, </w:t>
      </w:r>
      <w:r w:rsidRPr="00D06C9C">
        <w:rPr>
          <w:rFonts w:ascii="Helvetica" w:hAnsi="Helvetica"/>
          <w:i/>
          <w:iCs/>
          <w:shd w:val="clear" w:color="auto" w:fill="FFFFFF"/>
          <w:lang w:val="ca-ES"/>
        </w:rPr>
        <w:t>polítiques públiques</w:t>
      </w:r>
      <w:r>
        <w:rPr>
          <w:rFonts w:ascii="Helvetica" w:hAnsi="Helvetica"/>
          <w:i/>
          <w:iCs/>
          <w:shd w:val="clear" w:color="auto" w:fill="FFFFFF"/>
          <w:lang w:val="ca-ES"/>
        </w:rPr>
        <w:t xml:space="preserve">, policy paper, </w:t>
      </w:r>
      <w:r w:rsidRPr="00D06C9C">
        <w:rPr>
          <w:rFonts w:ascii="Helvetica" w:hAnsi="Helvetica"/>
          <w:i/>
          <w:iCs/>
          <w:shd w:val="clear" w:color="auto" w:fill="FFFFFF"/>
          <w:lang w:val="ca-ES"/>
        </w:rPr>
        <w:t>polítiques municipals, legitimitat</w:t>
      </w:r>
      <w:r w:rsidRPr="00D06C9C">
        <w:rPr>
          <w:rFonts w:ascii="Helvetica" w:hAnsi="Helvetica"/>
          <w:shd w:val="clear" w:color="auto" w:fill="FFFFFF"/>
          <w:lang w:val="ca-ES"/>
        </w:rPr>
        <w:t>.</w:t>
      </w:r>
    </w:p>
    <w:p w14:paraId="728BCA52" w14:textId="77777777" w:rsidR="0072632C" w:rsidRPr="0072632C" w:rsidRDefault="0072632C">
      <w:pPr>
        <w:rPr>
          <w:lang w:val="ca-ES"/>
        </w:rPr>
      </w:pPr>
    </w:p>
    <w:sectPr w:rsidR="0072632C" w:rsidRPr="007263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2C"/>
    <w:rsid w:val="0007061A"/>
    <w:rsid w:val="00135C5D"/>
    <w:rsid w:val="00306715"/>
    <w:rsid w:val="0072632C"/>
    <w:rsid w:val="00F64F24"/>
    <w:rsid w:val="00F8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5604BA"/>
  <w15:chartTrackingRefBased/>
  <w15:docId w15:val="{B85408B1-13E5-2441-AFAA-1A7B9AE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715"/>
    <w:rPr>
      <w:rFonts w:ascii="Times New Roman" w:hAnsi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06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067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67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63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63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63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63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63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63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671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306715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306715"/>
    <w:rPr>
      <w:rFonts w:asciiTheme="majorHAnsi" w:eastAsiaTheme="majorEastAsia" w:hAnsiTheme="majorHAnsi" w:cstheme="majorBidi"/>
      <w:color w:val="0A2F40" w:themeColor="accent1" w:themeShade="7F"/>
      <w:lang w:eastAsia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3067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6715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_tradnl"/>
    </w:rPr>
  </w:style>
  <w:style w:type="paragraph" w:styleId="Prrafodelista">
    <w:name w:val="List Paragraph"/>
    <w:basedOn w:val="Normal"/>
    <w:uiPriority w:val="34"/>
    <w:qFormat/>
    <w:rsid w:val="00306715"/>
    <w:pPr>
      <w:ind w:left="720"/>
      <w:contextualSpacing/>
    </w:pPr>
    <w:rPr>
      <w:rFonts w:eastAsia="Times New Roman" w:cs="Times New Roman"/>
    </w:rPr>
  </w:style>
  <w:style w:type="paragraph" w:styleId="TtuloTDC">
    <w:name w:val="TOC Heading"/>
    <w:basedOn w:val="Ttulo1"/>
    <w:next w:val="Normal"/>
    <w:uiPriority w:val="39"/>
    <w:unhideWhenUsed/>
    <w:qFormat/>
    <w:rsid w:val="00306715"/>
    <w:pPr>
      <w:spacing w:before="480" w:line="276" w:lineRule="auto"/>
      <w:outlineLvl w:val="9"/>
    </w:pPr>
    <w:rPr>
      <w:b/>
      <w:bC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632C"/>
    <w:rPr>
      <w:rFonts w:eastAsiaTheme="majorEastAsia" w:cstheme="majorBidi"/>
      <w:i/>
      <w:iCs/>
      <w:color w:val="0F4761" w:themeColor="accent1" w:themeShade="BF"/>
      <w:lang w:eastAsia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632C"/>
    <w:rPr>
      <w:rFonts w:eastAsiaTheme="majorEastAsia" w:cstheme="majorBidi"/>
      <w:color w:val="0F4761" w:themeColor="accent1" w:themeShade="BF"/>
      <w:lang w:eastAsia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632C"/>
    <w:rPr>
      <w:rFonts w:eastAsiaTheme="majorEastAsia" w:cstheme="majorBidi"/>
      <w:i/>
      <w:iCs/>
      <w:color w:val="595959" w:themeColor="text1" w:themeTint="A6"/>
      <w:lang w:eastAsia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632C"/>
    <w:rPr>
      <w:rFonts w:eastAsiaTheme="majorEastAsia" w:cstheme="majorBidi"/>
      <w:color w:val="595959" w:themeColor="text1" w:themeTint="A6"/>
      <w:lang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632C"/>
    <w:rPr>
      <w:rFonts w:eastAsiaTheme="majorEastAsia" w:cstheme="majorBidi"/>
      <w:i/>
      <w:iCs/>
      <w:color w:val="272727" w:themeColor="text1" w:themeTint="D8"/>
      <w:lang w:eastAsia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632C"/>
    <w:rPr>
      <w:rFonts w:eastAsiaTheme="majorEastAsia" w:cstheme="majorBidi"/>
      <w:color w:val="272727" w:themeColor="text1" w:themeTint="D8"/>
      <w:lang w:eastAsia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7263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632C"/>
    <w:rPr>
      <w:rFonts w:eastAsiaTheme="majorEastAsia" w:cstheme="majorBidi"/>
      <w:color w:val="595959" w:themeColor="text1" w:themeTint="A6"/>
      <w:spacing w:val="15"/>
      <w:sz w:val="28"/>
      <w:szCs w:val="28"/>
      <w:lang w:eastAsia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7263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632C"/>
    <w:rPr>
      <w:rFonts w:ascii="Times New Roman" w:hAnsi="Times New Roman"/>
      <w:i/>
      <w:iCs/>
      <w:color w:val="404040" w:themeColor="text1" w:themeTint="BF"/>
      <w:lang w:eastAsia="es-ES_tradnl"/>
    </w:rPr>
  </w:style>
  <w:style w:type="character" w:styleId="nfasisintenso">
    <w:name w:val="Intense Emphasis"/>
    <w:basedOn w:val="Fuentedeprrafopredeter"/>
    <w:uiPriority w:val="21"/>
    <w:qFormat/>
    <w:rsid w:val="007263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6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632C"/>
    <w:rPr>
      <w:rFonts w:ascii="Times New Roman" w:hAnsi="Times New Roman"/>
      <w:i/>
      <w:iCs/>
      <w:color w:val="0F4761" w:themeColor="accent1" w:themeShade="BF"/>
      <w:lang w:eastAsia="es-ES_tradnl"/>
    </w:rPr>
  </w:style>
  <w:style w:type="character" w:styleId="Referenciaintensa">
    <w:name w:val="Intense Reference"/>
    <w:basedOn w:val="Fuentedeprrafopredeter"/>
    <w:uiPriority w:val="32"/>
    <w:qFormat/>
    <w:rsid w:val="007263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Pérez Herrera</dc:creator>
  <cp:keywords/>
  <dc:description/>
  <cp:lastModifiedBy>Silvia Pérez Herrera</cp:lastModifiedBy>
  <cp:revision>1</cp:revision>
  <dcterms:created xsi:type="dcterms:W3CDTF">2024-05-17T19:42:00Z</dcterms:created>
  <dcterms:modified xsi:type="dcterms:W3CDTF">2024-05-17T19:50:00Z</dcterms:modified>
</cp:coreProperties>
</file>